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AEE9B" w14:textId="37F93435" w:rsidR="004332E5" w:rsidRPr="00B71AC6" w:rsidRDefault="004332E5" w:rsidP="004332E5">
      <w:pPr>
        <w:spacing w:line="360" w:lineRule="auto"/>
        <w:jc w:val="both"/>
        <w:rPr>
          <w:b/>
          <w:bCs/>
        </w:rPr>
      </w:pPr>
      <w:r w:rsidRPr="00B71AC6">
        <w:rPr>
          <w:b/>
          <w:bCs/>
        </w:rPr>
        <w:t>Critically discuss ONE of the personality theories and, using empirical research, consider how this theory impacts academic performance.</w:t>
      </w:r>
    </w:p>
    <w:p w14:paraId="3C336F8B" w14:textId="77777777" w:rsidR="004332E5" w:rsidRDefault="004332E5" w:rsidP="004332E5">
      <w:pPr>
        <w:pStyle w:val="NormalWeb"/>
        <w:shd w:val="clear" w:color="auto" w:fill="FFFFFF"/>
        <w:spacing w:before="0" w:beforeAutospacing="0" w:after="0" w:afterAutospacing="0" w:line="360" w:lineRule="auto"/>
        <w:jc w:val="both"/>
        <w:rPr>
          <w:color w:val="000000" w:themeColor="text1"/>
          <w:spacing w:val="1"/>
          <w:shd w:val="clear" w:color="auto" w:fill="FFFFFF"/>
        </w:rPr>
      </w:pPr>
    </w:p>
    <w:p w14:paraId="65D642D6" w14:textId="4D97AB47" w:rsidR="00623D57" w:rsidRPr="004332E5" w:rsidRDefault="00623D57" w:rsidP="004332E5">
      <w:pPr>
        <w:pStyle w:val="NormalWeb"/>
        <w:shd w:val="clear" w:color="auto" w:fill="FFFFFF"/>
        <w:spacing w:before="0" w:beforeAutospacing="0" w:after="0" w:afterAutospacing="0" w:line="360" w:lineRule="auto"/>
        <w:jc w:val="both"/>
        <w:rPr>
          <w:color w:val="000000" w:themeColor="text1"/>
          <w:spacing w:val="1"/>
        </w:rPr>
      </w:pPr>
      <w:r w:rsidRPr="00680E71">
        <w:rPr>
          <w:color w:val="000000" w:themeColor="text1"/>
          <w:spacing w:val="1"/>
          <w:shd w:val="clear" w:color="auto" w:fill="FFFFFF"/>
        </w:rPr>
        <w:t xml:space="preserve">Trait theory is a psychological approach that </w:t>
      </w:r>
      <w:r w:rsidR="00F64F95">
        <w:rPr>
          <w:color w:val="000000" w:themeColor="text1"/>
          <w:spacing w:val="1"/>
          <w:shd w:val="clear" w:color="auto" w:fill="FFFFFF"/>
        </w:rPr>
        <w:t>focuses</w:t>
      </w:r>
      <w:r w:rsidR="00E06DDF" w:rsidRPr="00680E71">
        <w:rPr>
          <w:color w:val="000000" w:themeColor="text1"/>
          <w:spacing w:val="1"/>
          <w:shd w:val="clear" w:color="auto" w:fill="FFFFFF"/>
        </w:rPr>
        <w:t xml:space="preserve"> on understanding</w:t>
      </w:r>
      <w:r w:rsidRPr="00680E71">
        <w:rPr>
          <w:color w:val="000000" w:themeColor="text1"/>
          <w:spacing w:val="1"/>
          <w:shd w:val="clear" w:color="auto" w:fill="FFFFFF"/>
        </w:rPr>
        <w:t xml:space="preserve"> and </w:t>
      </w:r>
      <w:r w:rsidR="00E06DDF" w:rsidRPr="00680E71">
        <w:rPr>
          <w:color w:val="000000" w:themeColor="text1"/>
          <w:spacing w:val="1"/>
          <w:shd w:val="clear" w:color="auto" w:fill="FFFFFF"/>
        </w:rPr>
        <w:t>classifying</w:t>
      </w:r>
      <w:r w:rsidRPr="00680E71">
        <w:rPr>
          <w:color w:val="000000" w:themeColor="text1"/>
          <w:spacing w:val="1"/>
          <w:shd w:val="clear" w:color="auto" w:fill="FFFFFF"/>
        </w:rPr>
        <w:t xml:space="preserve"> human personality traits. According to this theory, personality traits are </w:t>
      </w:r>
      <w:r w:rsidR="00E06DDF" w:rsidRPr="00680E71">
        <w:rPr>
          <w:color w:val="000000" w:themeColor="text1"/>
          <w:spacing w:val="1"/>
          <w:shd w:val="clear" w:color="auto" w:fill="FFFFFF"/>
        </w:rPr>
        <w:t>patterns of behaviour</w:t>
      </w:r>
      <w:r w:rsidR="00E06DDF">
        <w:rPr>
          <w:color w:val="000000" w:themeColor="text1"/>
          <w:spacing w:val="1"/>
          <w:shd w:val="clear" w:color="auto" w:fill="FFFFFF"/>
        </w:rPr>
        <w:t>, thoughts, and emotions consistent across situations.</w:t>
      </w:r>
      <w:r w:rsidRPr="004332E5">
        <w:rPr>
          <w:color w:val="000000" w:themeColor="text1"/>
          <w:spacing w:val="1"/>
          <w:shd w:val="clear" w:color="auto" w:fill="FFFFFF"/>
        </w:rPr>
        <w:t xml:space="preserve"> Trait theorists believe that individuals possess a </w:t>
      </w:r>
      <w:r w:rsidR="00192410" w:rsidRPr="004332E5">
        <w:rPr>
          <w:color w:val="000000" w:themeColor="text1"/>
          <w:spacing w:val="1"/>
          <w:shd w:val="clear" w:color="auto" w:fill="FFFFFF"/>
        </w:rPr>
        <w:t>pattern</w:t>
      </w:r>
      <w:r w:rsidRPr="004332E5">
        <w:rPr>
          <w:color w:val="000000" w:themeColor="text1"/>
          <w:spacing w:val="1"/>
          <w:shd w:val="clear" w:color="auto" w:fill="FFFFFF"/>
        </w:rPr>
        <w:t xml:space="preserve"> of traits that shape their overall personality</w:t>
      </w:r>
      <w:r w:rsidR="00680E71">
        <w:rPr>
          <w:color w:val="000000" w:themeColor="text1"/>
          <w:spacing w:val="1"/>
          <w:shd w:val="clear" w:color="auto" w:fill="FFFFFF"/>
        </w:rPr>
        <w:t xml:space="preserve"> </w:t>
      </w:r>
      <w:r w:rsidR="00076DBF">
        <w:rPr>
          <w:color w:val="000000" w:themeColor="text1"/>
          <w:spacing w:val="1"/>
          <w:shd w:val="clear" w:color="auto" w:fill="FFFFFF"/>
        </w:rPr>
        <w:t>(</w:t>
      </w:r>
      <w:r w:rsidR="00680E71" w:rsidRPr="00A26341">
        <w:rPr>
          <w:color w:val="3A3A3A"/>
          <w:shd w:val="clear" w:color="auto" w:fill="FFFFFF"/>
        </w:rPr>
        <w:t>Gross,</w:t>
      </w:r>
      <w:r w:rsidR="00680E71">
        <w:rPr>
          <w:color w:val="3A3A3A"/>
          <w:shd w:val="clear" w:color="auto" w:fill="FFFFFF"/>
        </w:rPr>
        <w:t xml:space="preserve"> </w:t>
      </w:r>
      <w:r w:rsidR="00680E71" w:rsidRPr="00A26341">
        <w:rPr>
          <w:color w:val="3A3A3A"/>
          <w:shd w:val="clear" w:color="auto" w:fill="FFFFFF"/>
        </w:rPr>
        <w:t>2020)</w:t>
      </w:r>
      <w:r w:rsidR="00680E71">
        <w:rPr>
          <w:color w:val="3A3A3A"/>
          <w:shd w:val="clear" w:color="auto" w:fill="FFFFFF"/>
        </w:rPr>
        <w:t>.</w:t>
      </w:r>
      <w:r w:rsidRPr="004332E5">
        <w:rPr>
          <w:color w:val="000000" w:themeColor="text1"/>
          <w:spacing w:val="1"/>
          <w:shd w:val="clear" w:color="auto" w:fill="FFFFFF"/>
        </w:rPr>
        <w:t xml:space="preserve"> One prominent framework within trait theory is the Big Five personality traits, also known as the Five Factor Model (FFM). </w:t>
      </w:r>
      <w:r w:rsidR="00767AFF" w:rsidRPr="00643740">
        <w:rPr>
          <w:color w:val="000000" w:themeColor="text1"/>
        </w:rPr>
        <w:t>The Big Five Personality Theory, suggests that personality traits can be grouped into five elements: openness to experience, conscientiousness, extraversion, agreeableness, and neuroticism</w:t>
      </w:r>
      <w:r w:rsidR="00680E71">
        <w:rPr>
          <w:color w:val="000000" w:themeColor="text1"/>
        </w:rPr>
        <w:t>; t</w:t>
      </w:r>
      <w:r w:rsidR="00767AFF" w:rsidRPr="00643740">
        <w:rPr>
          <w:color w:val="000000" w:themeColor="text1"/>
        </w:rPr>
        <w:t xml:space="preserve">hese traits are believed to reflect individual differences in </w:t>
      </w:r>
      <w:r w:rsidR="00E06DDF">
        <w:rPr>
          <w:color w:val="000000" w:themeColor="text1"/>
        </w:rPr>
        <w:t>behaviour</w:t>
      </w:r>
      <w:r w:rsidR="00767AFF" w:rsidRPr="00643740">
        <w:rPr>
          <w:color w:val="000000" w:themeColor="text1"/>
        </w:rPr>
        <w:t xml:space="preserve">, forming the foundation of </w:t>
      </w:r>
      <w:r w:rsidR="00140CEE">
        <w:rPr>
          <w:color w:val="000000" w:themeColor="text1"/>
        </w:rPr>
        <w:t>an individual’s</w:t>
      </w:r>
      <w:r w:rsidR="00767AFF" w:rsidRPr="00643740">
        <w:rPr>
          <w:color w:val="000000" w:themeColor="text1"/>
        </w:rPr>
        <w:t xml:space="preserve"> disposition</w:t>
      </w:r>
      <w:r w:rsidR="00680E71">
        <w:rPr>
          <w:color w:val="000000" w:themeColor="text1"/>
        </w:rPr>
        <w:t xml:space="preserve"> (</w:t>
      </w:r>
      <w:r w:rsidR="00680E71" w:rsidRPr="00A26341">
        <w:t>McCrae &amp; Costa,</w:t>
      </w:r>
      <w:r w:rsidR="00680E71">
        <w:t xml:space="preserve"> </w:t>
      </w:r>
      <w:r w:rsidR="00680E71" w:rsidRPr="00A26341">
        <w:t>1987)</w:t>
      </w:r>
      <w:r w:rsidR="00767AFF" w:rsidRPr="00643740">
        <w:rPr>
          <w:color w:val="000000" w:themeColor="text1"/>
        </w:rPr>
        <w:t>.</w:t>
      </w:r>
      <w:r w:rsidR="00767AFF">
        <w:rPr>
          <w:color w:val="000000" w:themeColor="text1"/>
        </w:rPr>
        <w:t xml:space="preserve"> </w:t>
      </w:r>
      <w:r w:rsidR="00D41D99">
        <w:rPr>
          <w:color w:val="000000"/>
        </w:rPr>
        <w:t>However,</w:t>
      </w:r>
      <w:r w:rsidR="00680E71" w:rsidRPr="00680E71">
        <w:rPr>
          <w:color w:val="000000"/>
        </w:rPr>
        <w:t xml:space="preserve"> this </w:t>
      </w:r>
      <w:r w:rsidR="00680E71">
        <w:rPr>
          <w:color w:val="000000"/>
        </w:rPr>
        <w:t xml:space="preserve">stance </w:t>
      </w:r>
      <w:r w:rsidR="00680E71" w:rsidRPr="00680E71">
        <w:rPr>
          <w:color w:val="000000"/>
        </w:rPr>
        <w:t>has been questioned, that personality traits change in adulthood compared with childhood</w:t>
      </w:r>
      <w:r w:rsidR="00680E71">
        <w:rPr>
          <w:color w:val="000000"/>
        </w:rPr>
        <w:t xml:space="preserve"> as a result of biological development (</w:t>
      </w:r>
      <w:r w:rsidR="00680E71" w:rsidRPr="00A26341">
        <w:t>Roberts</w:t>
      </w:r>
      <w:r w:rsidR="00680E71">
        <w:t xml:space="preserve"> et al., </w:t>
      </w:r>
      <w:r w:rsidR="00680E71" w:rsidRPr="00A26341">
        <w:t xml:space="preserve">2006). </w:t>
      </w:r>
      <w:r w:rsidR="00680E71">
        <w:rPr>
          <w:color w:val="000000"/>
        </w:rPr>
        <w:t xml:space="preserve">Nevertheless, </w:t>
      </w:r>
      <w:r w:rsidRPr="004332E5">
        <w:rPr>
          <w:color w:val="000000" w:themeColor="text1"/>
          <w:spacing w:val="1"/>
          <w:shd w:val="clear" w:color="auto" w:fill="FFFFFF"/>
        </w:rPr>
        <w:t>The Big Five Theory has numerous practical applications across various domains</w:t>
      </w:r>
      <w:r w:rsidR="00E06DDF">
        <w:rPr>
          <w:color w:val="000000" w:themeColor="text1"/>
          <w:spacing w:val="1"/>
          <w:shd w:val="clear" w:color="auto" w:fill="FFFFFF"/>
        </w:rPr>
        <w:t xml:space="preserve"> and </w:t>
      </w:r>
      <w:r w:rsidRPr="004332E5">
        <w:rPr>
          <w:color w:val="000000" w:themeColor="text1"/>
          <w:spacing w:val="1"/>
          <w:shd w:val="clear" w:color="auto" w:fill="FFFFFF"/>
        </w:rPr>
        <w:t xml:space="preserve">has </w:t>
      </w:r>
      <w:r w:rsidRPr="00680E71">
        <w:rPr>
          <w:color w:val="000000" w:themeColor="text1"/>
          <w:spacing w:val="1"/>
          <w:shd w:val="clear" w:color="auto" w:fill="FFFFFF"/>
        </w:rPr>
        <w:t xml:space="preserve">been extensively </w:t>
      </w:r>
      <w:r w:rsidR="00680E71" w:rsidRPr="00680E71">
        <w:rPr>
          <w:color w:val="000000" w:themeColor="text1"/>
          <w:spacing w:val="1"/>
          <w:shd w:val="clear" w:color="auto" w:fill="FFFFFF"/>
        </w:rPr>
        <w:t>utilised</w:t>
      </w:r>
      <w:r w:rsidR="00680E71">
        <w:rPr>
          <w:color w:val="000000" w:themeColor="text1"/>
          <w:spacing w:val="1"/>
          <w:shd w:val="clear" w:color="auto" w:fill="FFFFFF"/>
        </w:rPr>
        <w:t xml:space="preserve"> in the field of personality theory (</w:t>
      </w:r>
      <w:r w:rsidR="00680E71" w:rsidRPr="00A26341">
        <w:t>Feher &amp; Vernon,</w:t>
      </w:r>
      <w:r w:rsidR="00680E71">
        <w:t xml:space="preserve"> </w:t>
      </w:r>
      <w:r w:rsidR="00680E71" w:rsidRPr="00A26341">
        <w:t>2021).</w:t>
      </w:r>
      <w:r w:rsidRPr="004332E5">
        <w:rPr>
          <w:color w:val="000000" w:themeColor="text1"/>
          <w:spacing w:val="1"/>
          <w:shd w:val="clear" w:color="auto" w:fill="FFFFFF"/>
        </w:rPr>
        <w:t xml:space="preserve"> One such area of interest is how the Big Five traits relate to </w:t>
      </w:r>
      <w:r w:rsidR="00680E71">
        <w:rPr>
          <w:color w:val="000000" w:themeColor="text1"/>
          <w:spacing w:val="1"/>
          <w:shd w:val="clear" w:color="auto" w:fill="FFFFFF"/>
        </w:rPr>
        <w:t xml:space="preserve">academia. It is pertinent to explore each of the five traits and how they relate to academic performance. </w:t>
      </w:r>
    </w:p>
    <w:p w14:paraId="53AC604A" w14:textId="77777777" w:rsidR="00623D57" w:rsidRPr="004332E5" w:rsidRDefault="00623D57" w:rsidP="004332E5">
      <w:pPr>
        <w:spacing w:line="360" w:lineRule="auto"/>
        <w:jc w:val="both"/>
        <w:rPr>
          <w:rFonts w:ascii="Times New Roman" w:hAnsi="Times New Roman" w:cs="Times New Roman"/>
          <w:b/>
          <w:bCs/>
          <w:color w:val="000000" w:themeColor="text1"/>
        </w:rPr>
      </w:pPr>
    </w:p>
    <w:p w14:paraId="2C81AA4B" w14:textId="3E4F213E" w:rsidR="00767AFF" w:rsidRPr="00006E78" w:rsidRDefault="00006E78" w:rsidP="00767AFF">
      <w:pPr>
        <w:pStyle w:val="NormalWeb"/>
        <w:shd w:val="clear" w:color="auto" w:fill="FFFFFF"/>
        <w:spacing w:before="0" w:beforeAutospacing="0" w:after="0" w:afterAutospacing="0" w:line="360" w:lineRule="auto"/>
        <w:jc w:val="both"/>
      </w:pPr>
      <w:r>
        <w:rPr>
          <w:color w:val="000000" w:themeColor="text1"/>
          <w:spacing w:val="1"/>
        </w:rPr>
        <w:t>Research has shown that conscientiousness plays a vital role in determining academic achievement.</w:t>
      </w:r>
      <w:r w:rsidR="00F243AE">
        <w:rPr>
          <w:color w:val="000000" w:themeColor="text1"/>
          <w:spacing w:val="1"/>
        </w:rPr>
        <w:t xml:space="preserve"> </w:t>
      </w:r>
      <w:r>
        <w:rPr>
          <w:color w:val="000000" w:themeColor="text1"/>
          <w:spacing w:val="1"/>
        </w:rPr>
        <w:t>(</w:t>
      </w:r>
      <w:r w:rsidRPr="00993EB8">
        <w:t>Kappe &amp; Van Der Flier, 2012)</w:t>
      </w:r>
      <w:r w:rsidR="00767AFF">
        <w:rPr>
          <w:color w:val="000000" w:themeColor="text1"/>
          <w:spacing w:val="1"/>
        </w:rPr>
        <w:t xml:space="preserve">. </w:t>
      </w:r>
      <w:r w:rsidR="00767AFF" w:rsidRPr="00680E71">
        <w:rPr>
          <w:color w:val="000000" w:themeColor="text1"/>
          <w:spacing w:val="1"/>
        </w:rPr>
        <w:t xml:space="preserve">Individuals who exhibit high levels of conscientiousness tend to possess organized, diligent, and self-disciplined </w:t>
      </w:r>
      <w:r w:rsidR="00680E71">
        <w:rPr>
          <w:color w:val="000000" w:themeColor="text1"/>
          <w:spacing w:val="1"/>
        </w:rPr>
        <w:t>behaviours</w:t>
      </w:r>
      <w:r w:rsidR="00767AFF" w:rsidRPr="00680E71">
        <w:rPr>
          <w:color w:val="000000" w:themeColor="text1"/>
          <w:spacing w:val="1"/>
        </w:rPr>
        <w:t>, which lay a solid foundation for academic achievement</w:t>
      </w:r>
      <w:r w:rsidR="00680E71" w:rsidRPr="00680E71">
        <w:rPr>
          <w:color w:val="000000" w:themeColor="text1"/>
          <w:spacing w:val="1"/>
        </w:rPr>
        <w:t xml:space="preserve"> (</w:t>
      </w:r>
      <w:r w:rsidR="00680E71" w:rsidRPr="00680E71">
        <w:t>Jensen, 2015).</w:t>
      </w:r>
      <w:r w:rsidR="00767AFF" w:rsidRPr="004332E5">
        <w:rPr>
          <w:color w:val="000000" w:themeColor="text1"/>
          <w:spacing w:val="1"/>
        </w:rPr>
        <w:t xml:space="preserve"> Firstly, conscientiousness influences a</w:t>
      </w:r>
      <w:r w:rsidR="00767AFF">
        <w:rPr>
          <w:color w:val="000000" w:themeColor="text1"/>
          <w:spacing w:val="1"/>
        </w:rPr>
        <w:t xml:space="preserve">n individual’s </w:t>
      </w:r>
      <w:r w:rsidR="00767AFF" w:rsidRPr="004332E5">
        <w:rPr>
          <w:color w:val="000000" w:themeColor="text1"/>
          <w:spacing w:val="1"/>
        </w:rPr>
        <w:t xml:space="preserve">time management skills. A conscientious individual is more likely </w:t>
      </w:r>
      <w:r w:rsidR="00767AFF" w:rsidRPr="00680E71">
        <w:rPr>
          <w:color w:val="000000" w:themeColor="text1"/>
          <w:spacing w:val="1"/>
        </w:rPr>
        <w:t xml:space="preserve">to create and adhere to a well-structured schedule, ensuring that sufficient time is allocated </w:t>
      </w:r>
      <w:r w:rsidR="00680E71" w:rsidRPr="00680E71">
        <w:rPr>
          <w:color w:val="000000" w:themeColor="text1"/>
          <w:spacing w:val="1"/>
        </w:rPr>
        <w:t>for academic</w:t>
      </w:r>
      <w:r w:rsidR="00680E71">
        <w:rPr>
          <w:color w:val="000000" w:themeColor="text1"/>
          <w:spacing w:val="1"/>
        </w:rPr>
        <w:t xml:space="preserve"> pursuits, such as studying, attending classes, completing assignments, and engaging in </w:t>
      </w:r>
      <w:r w:rsidR="00680E71" w:rsidRPr="00680E71">
        <w:rPr>
          <w:color w:val="000000" w:themeColor="text1"/>
          <w:spacing w:val="1"/>
        </w:rPr>
        <w:t>extracurricular activities.</w:t>
      </w:r>
      <w:r w:rsidR="00767AFF" w:rsidRPr="00680E71">
        <w:rPr>
          <w:color w:val="000000" w:themeColor="text1"/>
          <w:spacing w:val="1"/>
        </w:rPr>
        <w:t xml:space="preserve"> By effectively managing their time, conscientious students are less likely to procrastinate, leading to better quality work and reduced stress levels</w:t>
      </w:r>
      <w:r w:rsidR="00680E71" w:rsidRPr="00680E71">
        <w:rPr>
          <w:color w:val="000000" w:themeColor="text1"/>
          <w:spacing w:val="1"/>
        </w:rPr>
        <w:t xml:space="preserve"> (</w:t>
      </w:r>
      <w:r w:rsidR="00680E71" w:rsidRPr="00680E71">
        <w:t>Spielmann et al., 2022)</w:t>
      </w:r>
      <w:r w:rsidR="00767AFF" w:rsidRPr="00680E71">
        <w:rPr>
          <w:color w:val="000000" w:themeColor="text1"/>
          <w:spacing w:val="1"/>
        </w:rPr>
        <w:t>.</w:t>
      </w:r>
      <w:r w:rsidR="00E06DDF" w:rsidRPr="00680E71">
        <w:rPr>
          <w:color w:val="000000" w:themeColor="text1"/>
          <w:spacing w:val="1"/>
        </w:rPr>
        <w:t xml:space="preserve"> </w:t>
      </w:r>
      <w:r w:rsidR="00767AFF" w:rsidRPr="00680E71">
        <w:rPr>
          <w:color w:val="000000" w:themeColor="text1"/>
          <w:spacing w:val="1"/>
        </w:rPr>
        <w:t>Secondly</w:t>
      </w:r>
      <w:r w:rsidR="00767AFF" w:rsidRPr="004332E5">
        <w:rPr>
          <w:color w:val="000000" w:themeColor="text1"/>
          <w:spacing w:val="1"/>
        </w:rPr>
        <w:t xml:space="preserve">, conscientiousness impacts a student's study habits. Conscientious individuals </w:t>
      </w:r>
      <w:r w:rsidR="00E06DDF">
        <w:rPr>
          <w:color w:val="000000" w:themeColor="text1"/>
          <w:spacing w:val="1"/>
        </w:rPr>
        <w:t>tend to be</w:t>
      </w:r>
      <w:r w:rsidR="00767AFF" w:rsidRPr="004332E5">
        <w:rPr>
          <w:color w:val="000000" w:themeColor="text1"/>
          <w:spacing w:val="1"/>
        </w:rPr>
        <w:t xml:space="preserve"> motivated to engage in active learning strategies, such as consistently reviewing lecture materials</w:t>
      </w:r>
      <w:r w:rsidR="00767AFF" w:rsidRPr="00680E71">
        <w:rPr>
          <w:color w:val="000000" w:themeColor="text1"/>
          <w:spacing w:val="1"/>
        </w:rPr>
        <w:t>, taking detailed notes, and seeking clarification when needed</w:t>
      </w:r>
      <w:r w:rsidR="00680E71" w:rsidRPr="00680E71">
        <w:rPr>
          <w:color w:val="000000" w:themeColor="text1"/>
          <w:spacing w:val="1"/>
        </w:rPr>
        <w:t xml:space="preserve"> (</w:t>
      </w:r>
      <w:r w:rsidR="00680E71" w:rsidRPr="00680E71">
        <w:t>Imhof &amp; Spaeth-Hilbert, 2013).</w:t>
      </w:r>
      <w:r w:rsidR="00767AFF" w:rsidRPr="004332E5">
        <w:rPr>
          <w:color w:val="000000" w:themeColor="text1"/>
          <w:spacing w:val="1"/>
        </w:rPr>
        <w:t xml:space="preserve"> </w:t>
      </w:r>
      <w:r w:rsidR="00680E71">
        <w:rPr>
          <w:color w:val="000000" w:themeColor="text1"/>
          <w:spacing w:val="1"/>
        </w:rPr>
        <w:t xml:space="preserve"> The facet </w:t>
      </w:r>
      <w:r w:rsidR="003F3440">
        <w:rPr>
          <w:color w:val="000000" w:themeColor="text1"/>
          <w:spacing w:val="1"/>
        </w:rPr>
        <w:t xml:space="preserve">of </w:t>
      </w:r>
      <w:r w:rsidR="00680E71" w:rsidRPr="00680E71">
        <w:rPr>
          <w:i/>
          <w:iCs/>
          <w:color w:val="000000" w:themeColor="text1"/>
          <w:spacing w:val="1"/>
        </w:rPr>
        <w:t>orderliness</w:t>
      </w:r>
      <w:r w:rsidR="00680E71">
        <w:rPr>
          <w:color w:val="000000" w:themeColor="text1"/>
          <w:spacing w:val="1"/>
        </w:rPr>
        <w:t xml:space="preserve"> refers to the tendency to maintain neatness and organi</w:t>
      </w:r>
      <w:r w:rsidR="00810B4E">
        <w:rPr>
          <w:color w:val="000000" w:themeColor="text1"/>
          <w:spacing w:val="1"/>
        </w:rPr>
        <w:t>s</w:t>
      </w:r>
      <w:r w:rsidR="00680E71">
        <w:rPr>
          <w:color w:val="000000" w:themeColor="text1"/>
          <w:spacing w:val="1"/>
        </w:rPr>
        <w:t xml:space="preserve">ation, both in personal space and belongings. </w:t>
      </w:r>
      <w:r w:rsidR="00767AFF" w:rsidRPr="004332E5">
        <w:rPr>
          <w:color w:val="000000" w:themeColor="text1"/>
          <w:spacing w:val="1"/>
        </w:rPr>
        <w:t xml:space="preserve">They are also </w:t>
      </w:r>
      <w:r w:rsidR="00767AFF" w:rsidRPr="004332E5">
        <w:rPr>
          <w:color w:val="000000" w:themeColor="text1"/>
          <w:spacing w:val="1"/>
        </w:rPr>
        <w:lastRenderedPageBreak/>
        <w:t xml:space="preserve">likely to adopt effective studying techniques, such as breaking down complex topics into manageable chunks, </w:t>
      </w:r>
      <w:r w:rsidR="00680E71">
        <w:rPr>
          <w:color w:val="000000" w:themeColor="text1"/>
          <w:spacing w:val="1"/>
        </w:rPr>
        <w:t>practising</w:t>
      </w:r>
      <w:r w:rsidR="00767AFF" w:rsidRPr="004332E5">
        <w:rPr>
          <w:color w:val="000000" w:themeColor="text1"/>
          <w:spacing w:val="1"/>
        </w:rPr>
        <w:t xml:space="preserve"> self-testing, and seeking additional study resources. These habits positively contribute to a deeper understanding of the course material and </w:t>
      </w:r>
      <w:r w:rsidR="00767AFF" w:rsidRPr="00680E71">
        <w:rPr>
          <w:color w:val="000000" w:themeColor="text1"/>
          <w:spacing w:val="1"/>
        </w:rPr>
        <w:t>improved retention of information</w:t>
      </w:r>
      <w:r w:rsidR="00680E71" w:rsidRPr="00680E71">
        <w:rPr>
          <w:color w:val="000000" w:themeColor="text1"/>
          <w:spacing w:val="1"/>
        </w:rPr>
        <w:t xml:space="preserve"> (</w:t>
      </w:r>
      <w:r w:rsidR="00680E71" w:rsidRPr="00680E71">
        <w:t>Kitchenham, 2019).</w:t>
      </w:r>
      <w:r w:rsidR="00E06DDF" w:rsidRPr="00680E71">
        <w:rPr>
          <w:color w:val="000000" w:themeColor="text1"/>
          <w:spacing w:val="1"/>
        </w:rPr>
        <w:t xml:space="preserve"> </w:t>
      </w:r>
      <w:r w:rsidR="00767AFF" w:rsidRPr="00680E71">
        <w:rPr>
          <w:color w:val="000000" w:themeColor="text1"/>
          <w:spacing w:val="1"/>
        </w:rPr>
        <w:t xml:space="preserve">Furthermore, conscientious students are adept at goal setting. </w:t>
      </w:r>
      <w:r w:rsidR="00680E71" w:rsidRPr="00680E71">
        <w:rPr>
          <w:color w:val="000000" w:themeColor="text1"/>
          <w:spacing w:val="1"/>
        </w:rPr>
        <w:t xml:space="preserve">The term self-control describes the ability to regulate attention, emotions, and </w:t>
      </w:r>
      <w:r w:rsidR="003F3440">
        <w:rPr>
          <w:color w:val="000000" w:themeColor="text1"/>
          <w:spacing w:val="1"/>
        </w:rPr>
        <w:t>behaviours</w:t>
      </w:r>
      <w:r w:rsidR="00680E71" w:rsidRPr="00680E71">
        <w:rPr>
          <w:color w:val="000000" w:themeColor="text1"/>
          <w:spacing w:val="1"/>
        </w:rPr>
        <w:t xml:space="preserve"> to achieve valued goals and standards. </w:t>
      </w:r>
      <w:r w:rsidR="00767AFF" w:rsidRPr="00680E71">
        <w:rPr>
          <w:color w:val="000000" w:themeColor="text1"/>
          <w:spacing w:val="1"/>
        </w:rPr>
        <w:t>They set realistic and achievable academic goals, both short-term and long-term, which provide a sense of direction and purpose. With a clear vision of their objectives, conscientious individuals are able to stay focused, motivated, and committed to their studies, ultimately leading to improved academic performance. Moreover, they monitor their progress regularly and make necessary adjustments to ensure they are on track to achieving their goals</w:t>
      </w:r>
      <w:r w:rsidR="00680E71">
        <w:rPr>
          <w:color w:val="000000" w:themeColor="text1"/>
          <w:spacing w:val="1"/>
        </w:rPr>
        <w:t xml:space="preserve"> (</w:t>
      </w:r>
      <w:r w:rsidR="00680E71" w:rsidRPr="00A26341">
        <w:t>Werner</w:t>
      </w:r>
      <w:r w:rsidR="00680E71">
        <w:t xml:space="preserve"> et al., </w:t>
      </w:r>
      <w:r w:rsidR="00680E71" w:rsidRPr="00A26341">
        <w:t>2019)</w:t>
      </w:r>
      <w:r w:rsidR="00767AFF" w:rsidRPr="004332E5">
        <w:rPr>
          <w:color w:val="000000" w:themeColor="text1"/>
          <w:spacing w:val="1"/>
        </w:rPr>
        <w:t>.</w:t>
      </w:r>
      <w:r w:rsidR="00680E71">
        <w:rPr>
          <w:color w:val="000000" w:themeColor="text1"/>
          <w:spacing w:val="1"/>
        </w:rPr>
        <w:t xml:space="preserve"> </w:t>
      </w:r>
      <w:r w:rsidR="00767AFF" w:rsidRPr="004332E5">
        <w:rPr>
          <w:color w:val="000000" w:themeColor="text1"/>
          <w:spacing w:val="1"/>
        </w:rPr>
        <w:t xml:space="preserve">In </w:t>
      </w:r>
      <w:r w:rsidR="00767AFF" w:rsidRPr="00F64F95">
        <w:rPr>
          <w:color w:val="000000" w:themeColor="text1"/>
          <w:spacing w:val="1"/>
        </w:rPr>
        <w:t>addition to goal setting, conscientiousness also influences academic motivation. Conscientious students possess a strong internal drive to excel academically. They exhibit discipline and perseverance, even when faced with challenging tasks or setbacks. This intrinsic motivation encourages them to consistently put in the effort required to succeed, as they understand that their hard work will directly contribute to their academic growth</w:t>
      </w:r>
      <w:r w:rsidR="00F64F95" w:rsidRPr="00F64F95">
        <w:rPr>
          <w:color w:val="000000" w:themeColor="text1"/>
          <w:spacing w:val="1"/>
        </w:rPr>
        <w:t xml:space="preserve"> (</w:t>
      </w:r>
      <w:r w:rsidR="00F64F95" w:rsidRPr="00F64F95">
        <w:t>Conrad &amp; Patry, 2012).</w:t>
      </w:r>
    </w:p>
    <w:p w14:paraId="399A2C79" w14:textId="77777777" w:rsidR="00E06DDF" w:rsidRDefault="00E06DDF" w:rsidP="00767AFF">
      <w:pPr>
        <w:pStyle w:val="NormalWeb"/>
        <w:shd w:val="clear" w:color="auto" w:fill="FFFFFF"/>
        <w:spacing w:before="0" w:beforeAutospacing="0" w:after="0" w:afterAutospacing="0" w:line="360" w:lineRule="auto"/>
        <w:jc w:val="both"/>
        <w:rPr>
          <w:color w:val="000000" w:themeColor="text1"/>
          <w:spacing w:val="1"/>
        </w:rPr>
      </w:pPr>
    </w:p>
    <w:p w14:paraId="79D079F3" w14:textId="6513AC9C" w:rsidR="00767AFF" w:rsidRPr="004332E5" w:rsidRDefault="00767AFF" w:rsidP="00767AFF">
      <w:pPr>
        <w:pStyle w:val="NormalWeb"/>
        <w:shd w:val="clear" w:color="auto" w:fill="FFFFFF"/>
        <w:spacing w:before="0" w:beforeAutospacing="0" w:after="0" w:afterAutospacing="0" w:line="360" w:lineRule="auto"/>
        <w:jc w:val="both"/>
        <w:rPr>
          <w:color w:val="000000" w:themeColor="text1"/>
          <w:spacing w:val="1"/>
        </w:rPr>
      </w:pPr>
      <w:r w:rsidRPr="004332E5">
        <w:rPr>
          <w:color w:val="000000" w:themeColor="text1"/>
          <w:spacing w:val="1"/>
        </w:rPr>
        <w:t xml:space="preserve">It is essential to note that while conscientiousness has been shown to be positively correlated with academic performance, it is not the sole determinant. Other factors, such as intelligence, learning styles, and external circumstances, also play a significant role in academic success. </w:t>
      </w:r>
      <w:r w:rsidRPr="00006E78">
        <w:rPr>
          <w:color w:val="000000" w:themeColor="text1"/>
          <w:spacing w:val="1"/>
        </w:rPr>
        <w:t>However, conscientiousness acts as a sort of catalyst, enhancing the effectiveness of these factors</w:t>
      </w:r>
      <w:r w:rsidR="00006E78" w:rsidRPr="00006E78">
        <w:rPr>
          <w:color w:val="000000" w:themeColor="text1"/>
          <w:spacing w:val="1"/>
        </w:rPr>
        <w:t xml:space="preserve"> (</w:t>
      </w:r>
      <w:r w:rsidR="00006E78" w:rsidRPr="00006E78">
        <w:t>Dumfart &amp; Neubauer, 2016).</w:t>
      </w:r>
      <w:r w:rsidRPr="004332E5">
        <w:rPr>
          <w:color w:val="000000" w:themeColor="text1"/>
          <w:spacing w:val="1"/>
        </w:rPr>
        <w:t xml:space="preserve"> Firstly, it is crucial to acknowledge that conscientiousness alone may not guarantee academic success. While being diligent and responsible can certainly contribute to improved performance, other factors such as </w:t>
      </w:r>
      <w:r w:rsidR="00006E78">
        <w:rPr>
          <w:color w:val="000000" w:themeColor="text1"/>
          <w:spacing w:val="1"/>
        </w:rPr>
        <w:t xml:space="preserve">socioeconomic status, access to resources and parenting styles can affect the facet of focus, </w:t>
      </w:r>
      <w:r w:rsidR="00620AC2">
        <w:rPr>
          <w:color w:val="000000" w:themeColor="text1"/>
          <w:spacing w:val="1"/>
        </w:rPr>
        <w:t xml:space="preserve">hence, the trait of conscientiousness becomes confounded. </w:t>
      </w:r>
      <w:r w:rsidR="00006E78">
        <w:rPr>
          <w:color w:val="000000" w:themeColor="text1"/>
          <w:spacing w:val="1"/>
        </w:rPr>
        <w:t>(</w:t>
      </w:r>
      <w:r w:rsidR="00006E78" w:rsidRPr="00993EB8">
        <w:t>Kaiser,</w:t>
      </w:r>
      <w:r w:rsidR="00006E78">
        <w:t xml:space="preserve"> </w:t>
      </w:r>
      <w:r w:rsidR="00006E78" w:rsidRPr="00993EB8">
        <w:t xml:space="preserve">2017). </w:t>
      </w:r>
      <w:r w:rsidRPr="004332E5">
        <w:rPr>
          <w:color w:val="000000" w:themeColor="text1"/>
          <w:spacing w:val="1"/>
        </w:rPr>
        <w:t xml:space="preserve">For instance, conscientious </w:t>
      </w:r>
      <w:r w:rsidR="00006E78">
        <w:rPr>
          <w:color w:val="000000" w:themeColor="text1"/>
          <w:spacing w:val="1"/>
        </w:rPr>
        <w:t>students</w:t>
      </w:r>
      <w:r w:rsidRPr="004332E5">
        <w:rPr>
          <w:color w:val="000000" w:themeColor="text1"/>
          <w:spacing w:val="1"/>
        </w:rPr>
        <w:t xml:space="preserve"> may struggle academically if they lack effective study strategies or face significant external stressors. Thus, it is essential to examine conscientiousness within the </w:t>
      </w:r>
      <w:r w:rsidRPr="00006E78">
        <w:rPr>
          <w:color w:val="000000" w:themeColor="text1"/>
          <w:spacing w:val="1"/>
        </w:rPr>
        <w:t>broader context of various influences on academic achievement.</w:t>
      </w:r>
      <w:r w:rsidR="00E06DDF" w:rsidRPr="00006E78">
        <w:rPr>
          <w:color w:val="000000" w:themeColor="text1"/>
          <w:spacing w:val="1"/>
        </w:rPr>
        <w:t xml:space="preserve"> </w:t>
      </w:r>
      <w:r w:rsidRPr="00006E78">
        <w:rPr>
          <w:color w:val="000000" w:themeColor="text1"/>
          <w:spacing w:val="1"/>
        </w:rPr>
        <w:t>Furthermore, the relationship between conscientiousness and academic performance can be influenced by individual differences and cultural variations. For instance, certain students may possess high levels of conscientiousness but struggle with attention disorders or learning disabilities, which can impact their ability to effectively apply their conscientiousness to their studies</w:t>
      </w:r>
      <w:r w:rsidR="00006E78" w:rsidRPr="00006E78">
        <w:rPr>
          <w:color w:val="000000" w:themeColor="text1"/>
          <w:spacing w:val="1"/>
        </w:rPr>
        <w:t xml:space="preserve"> (</w:t>
      </w:r>
      <w:r w:rsidR="00006E78" w:rsidRPr="00006E78">
        <w:t>Gomez &amp; Corr, 2014).</w:t>
      </w:r>
      <w:r w:rsidRPr="004332E5">
        <w:rPr>
          <w:color w:val="000000" w:themeColor="text1"/>
          <w:spacing w:val="1"/>
        </w:rPr>
        <w:t xml:space="preserve"> </w:t>
      </w:r>
      <w:r w:rsidRPr="00006E78">
        <w:rPr>
          <w:color w:val="000000" w:themeColor="text1"/>
          <w:spacing w:val="1"/>
        </w:rPr>
        <w:t xml:space="preserve">Additionally, cultural </w:t>
      </w:r>
      <w:r w:rsidR="00006E78" w:rsidRPr="00006E78">
        <w:rPr>
          <w:color w:val="000000" w:themeColor="text1"/>
          <w:spacing w:val="1"/>
        </w:rPr>
        <w:t>differences</w:t>
      </w:r>
      <w:r w:rsidRPr="00006E78">
        <w:rPr>
          <w:color w:val="000000" w:themeColor="text1"/>
          <w:spacing w:val="1"/>
        </w:rPr>
        <w:t xml:space="preserve"> and expectations can shape the manifestation </w:t>
      </w:r>
      <w:r w:rsidRPr="00006E78">
        <w:rPr>
          <w:color w:val="000000" w:themeColor="text1"/>
          <w:spacing w:val="1"/>
        </w:rPr>
        <w:lastRenderedPageBreak/>
        <w:t>of conscientiousness.</w:t>
      </w:r>
      <w:r w:rsidRPr="004332E5">
        <w:rPr>
          <w:color w:val="000000" w:themeColor="text1"/>
          <w:spacing w:val="1"/>
        </w:rPr>
        <w:t xml:space="preserve"> In some cultures, conformity and obedience may be valued over independent thinking and creative problem-solving, potentially affecting academic performance</w:t>
      </w:r>
      <w:r w:rsidR="00006E78">
        <w:rPr>
          <w:color w:val="000000" w:themeColor="text1"/>
          <w:spacing w:val="1"/>
        </w:rPr>
        <w:t xml:space="preserve"> (</w:t>
      </w:r>
      <w:r w:rsidR="00006E78" w:rsidRPr="00993EB8">
        <w:t>Chen</w:t>
      </w:r>
      <w:r w:rsidR="00006E78">
        <w:t xml:space="preserve"> et al., </w:t>
      </w:r>
      <w:r w:rsidR="00006E78" w:rsidRPr="00993EB8">
        <w:t>2014)</w:t>
      </w:r>
      <w:r w:rsidRPr="004332E5">
        <w:rPr>
          <w:color w:val="000000" w:themeColor="text1"/>
          <w:spacing w:val="1"/>
        </w:rPr>
        <w:t>.</w:t>
      </w:r>
      <w:r w:rsidR="00E06DDF">
        <w:rPr>
          <w:color w:val="000000" w:themeColor="text1"/>
          <w:spacing w:val="1"/>
        </w:rPr>
        <w:t xml:space="preserve"> </w:t>
      </w:r>
      <w:r w:rsidRPr="004332E5">
        <w:rPr>
          <w:color w:val="000000" w:themeColor="text1"/>
          <w:spacing w:val="1"/>
        </w:rPr>
        <w:t xml:space="preserve">Lastly, it is important to consider the potential biases and limitations in measuring conscientiousness itself. Personality assessments, such as self-report questionnaires, are commonly used to measure </w:t>
      </w:r>
      <w:r w:rsidRPr="00AE0749">
        <w:rPr>
          <w:color w:val="000000" w:themeColor="text1"/>
          <w:spacing w:val="1"/>
        </w:rPr>
        <w:t>conscientiousness</w:t>
      </w:r>
      <w:r w:rsidR="00AE0749" w:rsidRPr="00AE0749">
        <w:rPr>
          <w:color w:val="000000" w:themeColor="text1"/>
          <w:spacing w:val="1"/>
        </w:rPr>
        <w:t>, h</w:t>
      </w:r>
      <w:r w:rsidRPr="00AE0749">
        <w:rPr>
          <w:color w:val="000000" w:themeColor="text1"/>
          <w:spacing w:val="1"/>
        </w:rPr>
        <w:t xml:space="preserve">owever, these assessments are prone to response biases </w:t>
      </w:r>
      <w:r w:rsidR="00AE0749" w:rsidRPr="00AE0749">
        <w:rPr>
          <w:color w:val="000000" w:themeColor="text1"/>
          <w:spacing w:val="1"/>
        </w:rPr>
        <w:t>(</w:t>
      </w:r>
      <w:r w:rsidR="00AE0749" w:rsidRPr="00AE0749">
        <w:t>Gawronski &amp; De Houwer, 2014</w:t>
      </w:r>
      <w:r w:rsidR="00AE0749" w:rsidRPr="00993EB8">
        <w:t>)</w:t>
      </w:r>
      <w:r w:rsidR="00AE0749">
        <w:t>.</w:t>
      </w:r>
      <w:r w:rsidRPr="004332E5">
        <w:rPr>
          <w:color w:val="000000" w:themeColor="text1"/>
          <w:spacing w:val="1"/>
        </w:rPr>
        <w:t xml:space="preserve"> Moreover, the academic environment, with its emphasis on punctuality and rule-following, may disproportionately reward those with high conscientiousness, leading to biased perceptions of academic performance.</w:t>
      </w:r>
    </w:p>
    <w:p w14:paraId="4DE349C0" w14:textId="77777777" w:rsidR="00767AFF" w:rsidRPr="004332E5" w:rsidRDefault="00767AFF" w:rsidP="00767AFF">
      <w:pPr>
        <w:spacing w:line="360" w:lineRule="auto"/>
        <w:jc w:val="both"/>
        <w:rPr>
          <w:rFonts w:ascii="Times New Roman" w:hAnsi="Times New Roman" w:cs="Times New Roman"/>
          <w:color w:val="000000" w:themeColor="text1"/>
        </w:rPr>
      </w:pPr>
    </w:p>
    <w:p w14:paraId="6A8697DE" w14:textId="629A0CB9" w:rsidR="00767AFF" w:rsidRDefault="003A679D" w:rsidP="00767AFF">
      <w:pPr>
        <w:pStyle w:val="NormalWeb"/>
        <w:shd w:val="clear" w:color="auto" w:fill="FFFFFF"/>
        <w:spacing w:before="0" w:beforeAutospacing="0" w:after="0" w:afterAutospacing="0" w:line="360" w:lineRule="auto"/>
        <w:jc w:val="both"/>
        <w:rPr>
          <w:color w:val="000000" w:themeColor="text1"/>
          <w:spacing w:val="1"/>
        </w:rPr>
      </w:pPr>
      <w:r>
        <w:rPr>
          <w:color w:val="000000" w:themeColor="text1"/>
          <w:spacing w:val="1"/>
        </w:rPr>
        <w:t>Agreeableness</w:t>
      </w:r>
      <w:r w:rsidR="00813317">
        <w:rPr>
          <w:color w:val="000000" w:themeColor="text1"/>
          <w:spacing w:val="1"/>
        </w:rPr>
        <w:t xml:space="preserve"> is characterised by </w:t>
      </w:r>
      <w:r>
        <w:rPr>
          <w:color w:val="000000" w:themeColor="text1"/>
          <w:spacing w:val="1"/>
        </w:rPr>
        <w:t>an</w:t>
      </w:r>
      <w:r w:rsidR="00813317">
        <w:rPr>
          <w:color w:val="000000" w:themeColor="text1"/>
          <w:spacing w:val="1"/>
        </w:rPr>
        <w:t xml:space="preserve"> inclination to show </w:t>
      </w:r>
      <w:r w:rsidR="00E21159">
        <w:rPr>
          <w:color w:val="000000" w:themeColor="text1"/>
          <w:spacing w:val="1"/>
        </w:rPr>
        <w:t>empathy</w:t>
      </w:r>
      <w:r w:rsidR="00813317">
        <w:rPr>
          <w:color w:val="000000" w:themeColor="text1"/>
          <w:spacing w:val="1"/>
        </w:rPr>
        <w:t xml:space="preserve">, cooperation, and </w:t>
      </w:r>
      <w:r w:rsidR="009A263D">
        <w:rPr>
          <w:color w:val="000000" w:themeColor="text1"/>
          <w:spacing w:val="1"/>
        </w:rPr>
        <w:t>attention</w:t>
      </w:r>
      <w:r w:rsidR="00813317">
        <w:rPr>
          <w:color w:val="000000" w:themeColor="text1"/>
          <w:spacing w:val="1"/>
        </w:rPr>
        <w:t xml:space="preserve"> towards others.</w:t>
      </w:r>
      <w:r>
        <w:rPr>
          <w:color w:val="000000" w:themeColor="text1"/>
          <w:spacing w:val="1"/>
        </w:rPr>
        <w:t xml:space="preserve"> </w:t>
      </w:r>
      <w:r w:rsidR="00AE0749" w:rsidRPr="00AE0749">
        <w:rPr>
          <w:color w:val="000000" w:themeColor="text1"/>
          <w:spacing w:val="1"/>
        </w:rPr>
        <w:t>(</w:t>
      </w:r>
      <w:r w:rsidR="00AE0749" w:rsidRPr="00993EB8">
        <w:t>Hewstone</w:t>
      </w:r>
      <w:r w:rsidR="00AE0749">
        <w:t xml:space="preserve"> et al., </w:t>
      </w:r>
      <w:r w:rsidR="00AE0749" w:rsidRPr="00993EB8">
        <w:t>2005).</w:t>
      </w:r>
      <w:r w:rsidR="00767AFF" w:rsidRPr="004332E5">
        <w:rPr>
          <w:color w:val="000000" w:themeColor="text1"/>
          <w:spacing w:val="1"/>
        </w:rPr>
        <w:t xml:space="preserve"> </w:t>
      </w:r>
      <w:r w:rsidR="00132718">
        <w:rPr>
          <w:color w:val="000000" w:themeColor="text1"/>
          <w:spacing w:val="1"/>
        </w:rPr>
        <w:t>While it may seem intuitive to assume that agreeable individuals would excel academically due to their positive interpersonal skills and cooperative nature, the literature on this topic is mixed.</w:t>
      </w:r>
      <w:r w:rsidR="00E06DDF">
        <w:rPr>
          <w:color w:val="000000" w:themeColor="text1"/>
          <w:spacing w:val="1"/>
        </w:rPr>
        <w:t xml:space="preserve"> </w:t>
      </w:r>
      <w:r w:rsidR="00767AFF" w:rsidRPr="004332E5">
        <w:rPr>
          <w:color w:val="000000" w:themeColor="text1"/>
          <w:spacing w:val="1"/>
        </w:rPr>
        <w:t>For instance, some studies suggest that agreeableness positively impacts academic performance</w:t>
      </w:r>
      <w:r w:rsidR="00132718">
        <w:rPr>
          <w:color w:val="000000" w:themeColor="text1"/>
          <w:spacing w:val="1"/>
        </w:rPr>
        <w:t xml:space="preserve"> (</w:t>
      </w:r>
      <w:r w:rsidR="00132718" w:rsidRPr="00993EB8">
        <w:t>Furnham</w:t>
      </w:r>
      <w:r w:rsidR="00132718">
        <w:t xml:space="preserve"> et al.,</w:t>
      </w:r>
      <w:r w:rsidR="00132718" w:rsidRPr="00993EB8">
        <w:t xml:space="preserve"> 2013</w:t>
      </w:r>
      <w:r w:rsidR="00132718">
        <w:t xml:space="preserve">; </w:t>
      </w:r>
      <w:r w:rsidR="00132718" w:rsidRPr="00993EB8">
        <w:t>Vedel, 2014</w:t>
      </w:r>
      <w:r w:rsidR="00132718">
        <w:t xml:space="preserve">; </w:t>
      </w:r>
      <w:r w:rsidR="00132718" w:rsidRPr="00993EB8">
        <w:t>K</w:t>
      </w:r>
      <w:r w:rsidR="00132718">
        <w:t xml:space="preserve">omarraju et al., </w:t>
      </w:r>
      <w:r w:rsidR="00132718" w:rsidRPr="00993EB8">
        <w:t>2011)</w:t>
      </w:r>
      <w:r w:rsidR="00132718">
        <w:t>.</w:t>
      </w:r>
      <w:r w:rsidR="00132718">
        <w:rPr>
          <w:color w:val="000000" w:themeColor="text1"/>
          <w:spacing w:val="1"/>
        </w:rPr>
        <w:t xml:space="preserve"> It is also purported</w:t>
      </w:r>
      <w:r w:rsidR="00767AFF" w:rsidRPr="00B01948">
        <w:rPr>
          <w:color w:val="000000" w:themeColor="text1"/>
          <w:spacing w:val="1"/>
        </w:rPr>
        <w:t xml:space="preserve"> that agreeable individuals tend to easily </w:t>
      </w:r>
      <w:r w:rsidR="00C94DE5" w:rsidRPr="00B01948">
        <w:rPr>
          <w:color w:val="000000" w:themeColor="text1"/>
          <w:spacing w:val="1"/>
        </w:rPr>
        <w:t xml:space="preserve">integrate socially with pro-social behaviour, </w:t>
      </w:r>
      <w:r w:rsidR="00767AFF" w:rsidRPr="00B01948">
        <w:rPr>
          <w:color w:val="000000" w:themeColor="text1"/>
          <w:spacing w:val="1"/>
        </w:rPr>
        <w:t>leading to increased access to academic resources and support systems</w:t>
      </w:r>
      <w:r w:rsidR="00C94DE5" w:rsidRPr="00B01948">
        <w:rPr>
          <w:color w:val="000000" w:themeColor="text1"/>
          <w:spacing w:val="1"/>
        </w:rPr>
        <w:t xml:space="preserve"> (</w:t>
      </w:r>
      <w:r w:rsidR="00C94DE5" w:rsidRPr="00B01948">
        <w:t>Wilmot &amp; Ones, 2022).</w:t>
      </w:r>
      <w:r w:rsidR="00767AFF" w:rsidRPr="00B01948">
        <w:rPr>
          <w:color w:val="000000" w:themeColor="text1"/>
          <w:spacing w:val="1"/>
        </w:rPr>
        <w:t xml:space="preserve"> Additionally, </w:t>
      </w:r>
      <w:r w:rsidR="00132718">
        <w:rPr>
          <w:color w:val="000000" w:themeColor="text1"/>
          <w:spacing w:val="1"/>
        </w:rPr>
        <w:t>it has been suggested</w:t>
      </w:r>
      <w:r w:rsidR="00767AFF" w:rsidRPr="00B01948">
        <w:rPr>
          <w:color w:val="000000" w:themeColor="text1"/>
          <w:spacing w:val="1"/>
        </w:rPr>
        <w:t xml:space="preserve"> that agreeable students tend to be well-liked by teachers, resulting in more </w:t>
      </w:r>
      <w:r w:rsidR="00B01948">
        <w:rPr>
          <w:color w:val="000000" w:themeColor="text1"/>
          <w:spacing w:val="1"/>
        </w:rPr>
        <w:t>favourable</w:t>
      </w:r>
      <w:r w:rsidR="00767AFF" w:rsidRPr="00B01948">
        <w:rPr>
          <w:color w:val="000000" w:themeColor="text1"/>
          <w:spacing w:val="1"/>
        </w:rPr>
        <w:t xml:space="preserve"> treatment and potentially better grades</w:t>
      </w:r>
      <w:r w:rsidR="00B01948">
        <w:rPr>
          <w:color w:val="000000" w:themeColor="text1"/>
          <w:spacing w:val="1"/>
        </w:rPr>
        <w:t xml:space="preserve"> (</w:t>
      </w:r>
      <w:r w:rsidR="00B01948" w:rsidRPr="00993EB8">
        <w:t>Mammadov,</w:t>
      </w:r>
      <w:r w:rsidR="00B01948">
        <w:t xml:space="preserve"> </w:t>
      </w:r>
      <w:r w:rsidR="00B01948" w:rsidRPr="00993EB8">
        <w:t>2022)</w:t>
      </w:r>
      <w:r w:rsidR="00767AFF" w:rsidRPr="004332E5">
        <w:rPr>
          <w:color w:val="000000" w:themeColor="text1"/>
          <w:spacing w:val="1"/>
        </w:rPr>
        <w:t>.</w:t>
      </w:r>
      <w:r w:rsidR="00E06DDF">
        <w:rPr>
          <w:color w:val="000000" w:themeColor="text1"/>
          <w:spacing w:val="1"/>
        </w:rPr>
        <w:t xml:space="preserve"> </w:t>
      </w:r>
      <w:r w:rsidR="00767AFF" w:rsidRPr="004332E5">
        <w:rPr>
          <w:color w:val="000000" w:themeColor="text1"/>
          <w:spacing w:val="1"/>
        </w:rPr>
        <w:t xml:space="preserve">On the other hand, there are studies that present conflicting evidence, suggesting a more nuanced relationship </w:t>
      </w:r>
      <w:r w:rsidR="00767AFF" w:rsidRPr="00B01948">
        <w:rPr>
          <w:color w:val="000000" w:themeColor="text1"/>
          <w:spacing w:val="1"/>
        </w:rPr>
        <w:t xml:space="preserve">between agreeableness and academic performance. </w:t>
      </w:r>
      <w:r w:rsidR="00B01948" w:rsidRPr="00B01948">
        <w:rPr>
          <w:color w:val="000000" w:themeColor="text1"/>
          <w:spacing w:val="1"/>
        </w:rPr>
        <w:t>It has been argued</w:t>
      </w:r>
      <w:r w:rsidR="00767AFF" w:rsidRPr="00B01948">
        <w:rPr>
          <w:color w:val="000000" w:themeColor="text1"/>
          <w:spacing w:val="1"/>
        </w:rPr>
        <w:t xml:space="preserve"> that individuals high in agreeableness may prioritize interpersonal relationships over academic goals, leading to potential distractions and reduced focus on academic tasks</w:t>
      </w:r>
      <w:r w:rsidR="00B01948" w:rsidRPr="00B01948">
        <w:rPr>
          <w:color w:val="000000" w:themeColor="text1"/>
          <w:spacing w:val="1"/>
        </w:rPr>
        <w:t xml:space="preserve">, this has been found specifically with </w:t>
      </w:r>
      <w:r w:rsidR="00B01948" w:rsidRPr="00182367">
        <w:rPr>
          <w:color w:val="000000" w:themeColor="text1"/>
          <w:spacing w:val="1"/>
        </w:rPr>
        <w:t>social media usage as a distraction to studies (</w:t>
      </w:r>
      <w:r w:rsidR="00B01948" w:rsidRPr="00182367">
        <w:t>Hsiao et al., 2017).</w:t>
      </w:r>
      <w:r w:rsidR="00767AFF" w:rsidRPr="00182367">
        <w:rPr>
          <w:color w:val="000000" w:themeColor="text1"/>
          <w:spacing w:val="1"/>
        </w:rPr>
        <w:t xml:space="preserve"> They propose that agreeable students may be more prone to comply with others' demands, resulting in less time and energy dedicated to their studies</w:t>
      </w:r>
      <w:r w:rsidR="00182367" w:rsidRPr="00182367">
        <w:rPr>
          <w:color w:val="000000" w:themeColor="text1"/>
          <w:spacing w:val="1"/>
        </w:rPr>
        <w:t xml:space="preserve"> (</w:t>
      </w:r>
      <w:r w:rsidR="00182367" w:rsidRPr="00182367">
        <w:t>Poropat, 2014)</w:t>
      </w:r>
      <w:r w:rsidR="00767AFF" w:rsidRPr="00182367">
        <w:rPr>
          <w:color w:val="000000" w:themeColor="text1"/>
          <w:spacing w:val="1"/>
        </w:rPr>
        <w:t>.</w:t>
      </w:r>
      <w:r w:rsidR="00E06DDF" w:rsidRPr="00182367">
        <w:rPr>
          <w:color w:val="000000" w:themeColor="text1"/>
          <w:spacing w:val="1"/>
        </w:rPr>
        <w:t xml:space="preserve"> </w:t>
      </w:r>
      <w:r w:rsidR="00767AFF" w:rsidRPr="00182367">
        <w:rPr>
          <w:color w:val="000000" w:themeColor="text1"/>
          <w:spacing w:val="1"/>
        </w:rPr>
        <w:t>Another important consideration is the potential influence of extraneous</w:t>
      </w:r>
      <w:r w:rsidR="00767AFF" w:rsidRPr="004332E5">
        <w:rPr>
          <w:color w:val="000000" w:themeColor="text1"/>
          <w:spacing w:val="1"/>
        </w:rPr>
        <w:t xml:space="preserve"> variables that may </w:t>
      </w:r>
      <w:r w:rsidR="00767AFF" w:rsidRPr="00132718">
        <w:rPr>
          <w:color w:val="000000" w:themeColor="text1"/>
          <w:spacing w:val="1"/>
        </w:rPr>
        <w:t>confound the relationship between agreeableness and academic performance. For example, socioeconomic status</w:t>
      </w:r>
      <w:r w:rsidR="00132718" w:rsidRPr="00132718">
        <w:rPr>
          <w:color w:val="000000" w:themeColor="text1"/>
          <w:spacing w:val="1"/>
        </w:rPr>
        <w:t xml:space="preserve"> and </w:t>
      </w:r>
      <w:r w:rsidR="00767AFF" w:rsidRPr="00132718">
        <w:rPr>
          <w:color w:val="000000" w:themeColor="text1"/>
          <w:spacing w:val="1"/>
        </w:rPr>
        <w:t xml:space="preserve">parental </w:t>
      </w:r>
      <w:r w:rsidR="00132718" w:rsidRPr="00132718">
        <w:rPr>
          <w:color w:val="000000" w:themeColor="text1"/>
          <w:spacing w:val="1"/>
        </w:rPr>
        <w:t xml:space="preserve">support </w:t>
      </w:r>
      <w:r w:rsidR="00767AFF" w:rsidRPr="00132718">
        <w:rPr>
          <w:color w:val="000000" w:themeColor="text1"/>
          <w:spacing w:val="1"/>
        </w:rPr>
        <w:t>can significantly influence academic achievement</w:t>
      </w:r>
      <w:r w:rsidR="00132718" w:rsidRPr="00132718">
        <w:rPr>
          <w:color w:val="000000" w:themeColor="text1"/>
          <w:spacing w:val="1"/>
        </w:rPr>
        <w:t xml:space="preserve"> (</w:t>
      </w:r>
      <w:r w:rsidR="00132718" w:rsidRPr="00132718">
        <w:t>Coyle-Eastwick et al., 2023).</w:t>
      </w:r>
      <w:r w:rsidR="00767AFF" w:rsidRPr="00132718">
        <w:rPr>
          <w:color w:val="000000" w:themeColor="text1"/>
          <w:spacing w:val="1"/>
        </w:rPr>
        <w:t xml:space="preserve"> While these methods are commonly utilized due to their convenience, they are not without limitations. Moreover, the majority of research in this area utilizes correlational designs, limiting the ability to establish causal relationships</w:t>
      </w:r>
      <w:r w:rsidR="00132718" w:rsidRPr="00132718">
        <w:rPr>
          <w:color w:val="000000" w:themeColor="text1"/>
          <w:spacing w:val="1"/>
        </w:rPr>
        <w:t xml:space="preserve"> (</w:t>
      </w:r>
      <w:r w:rsidR="00132718" w:rsidRPr="00132718">
        <w:t>Spinath &amp; Steinmayr, 2014).</w:t>
      </w:r>
      <w:r w:rsidR="00767AFF" w:rsidRPr="004332E5">
        <w:rPr>
          <w:color w:val="000000" w:themeColor="text1"/>
          <w:spacing w:val="1"/>
        </w:rPr>
        <w:t xml:space="preserve"> </w:t>
      </w:r>
      <w:r w:rsidR="00767AFF" w:rsidRPr="00132718">
        <w:rPr>
          <w:color w:val="000000" w:themeColor="text1"/>
          <w:spacing w:val="1"/>
        </w:rPr>
        <w:t xml:space="preserve">It is unclear whether agreeableness directly impacts academic performance or if other factors, such as motivation, self-discipline, or </w:t>
      </w:r>
      <w:r w:rsidR="00767AFF" w:rsidRPr="00132718">
        <w:rPr>
          <w:color w:val="000000" w:themeColor="text1"/>
          <w:spacing w:val="1"/>
        </w:rPr>
        <w:lastRenderedPageBreak/>
        <w:t>intelligence, mediate this relationship</w:t>
      </w:r>
      <w:r w:rsidR="00767AFF" w:rsidRPr="00620AC2">
        <w:rPr>
          <w:color w:val="000000" w:themeColor="text1"/>
          <w:spacing w:val="1"/>
        </w:rPr>
        <w:t>. The relationship between agreeableness and academic performance is complex and multifaceted. While some studies suggest a positive association, others propose potential drawbacks associated with agreeableness in relation to academic goals.</w:t>
      </w:r>
    </w:p>
    <w:p w14:paraId="57E9173B" w14:textId="77777777"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7B5FD6E8" w14:textId="3129E7E6" w:rsidR="00767AFF" w:rsidRPr="004332E5" w:rsidRDefault="00767AFF" w:rsidP="00767AFF">
      <w:pPr>
        <w:pStyle w:val="NormalWeb"/>
        <w:shd w:val="clear" w:color="auto" w:fill="FFFFFF"/>
        <w:spacing w:before="0" w:beforeAutospacing="0" w:after="0" w:afterAutospacing="0" w:line="360" w:lineRule="auto"/>
        <w:jc w:val="both"/>
        <w:rPr>
          <w:color w:val="000000" w:themeColor="text1"/>
          <w:spacing w:val="1"/>
        </w:rPr>
      </w:pPr>
      <w:r w:rsidRPr="001E6EEF">
        <w:rPr>
          <w:color w:val="000000" w:themeColor="text1"/>
          <w:spacing w:val="1"/>
        </w:rPr>
        <w:t>Neuroticism, a personality trait associated with heightened sensitivity to negative emotions such as anxiety, depression, and self-doubt, has been a topic of interest within the field of psychology</w:t>
      </w:r>
      <w:r w:rsidR="001E6EEF" w:rsidRPr="001E6EEF">
        <w:rPr>
          <w:color w:val="000000" w:themeColor="text1"/>
          <w:spacing w:val="1"/>
        </w:rPr>
        <w:t xml:space="preserve"> (</w:t>
      </w:r>
      <w:r w:rsidR="001E6EEF" w:rsidRPr="001E6EEF">
        <w:t>Maltby et al., 2010).</w:t>
      </w:r>
      <w:r w:rsidRPr="001E6EEF">
        <w:rPr>
          <w:color w:val="000000" w:themeColor="text1"/>
          <w:spacing w:val="1"/>
        </w:rPr>
        <w:t xml:space="preserve"> Its potential impact on academic performance has been subject to debate, with researchers</w:t>
      </w:r>
      <w:r w:rsidRPr="004332E5">
        <w:rPr>
          <w:color w:val="000000" w:themeColor="text1"/>
          <w:spacing w:val="1"/>
        </w:rPr>
        <w:t xml:space="preserve"> investigating the relationship between neuroticism and various aspects of educational achievement</w:t>
      </w:r>
      <w:r w:rsidR="001E6EEF">
        <w:rPr>
          <w:color w:val="000000" w:themeColor="text1"/>
          <w:spacing w:val="1"/>
        </w:rPr>
        <w:t xml:space="preserve">, particularly using the Five Factor model to </w:t>
      </w:r>
      <w:r w:rsidR="001E6EEF" w:rsidRPr="001E6EEF">
        <w:rPr>
          <w:color w:val="000000" w:themeColor="text1"/>
          <w:spacing w:val="1"/>
        </w:rPr>
        <w:t>investigate this (</w:t>
      </w:r>
      <w:r w:rsidR="001E6EEF" w:rsidRPr="001E6EEF">
        <w:t>Poropat, 2011).</w:t>
      </w:r>
      <w:r w:rsidRPr="001E6EEF">
        <w:rPr>
          <w:color w:val="000000" w:themeColor="text1"/>
          <w:spacing w:val="1"/>
        </w:rPr>
        <w:t xml:space="preserve"> </w:t>
      </w:r>
      <w:r w:rsidR="00E06DDF" w:rsidRPr="001E6EEF">
        <w:rPr>
          <w:color w:val="000000" w:themeColor="text1"/>
          <w:spacing w:val="1"/>
        </w:rPr>
        <w:t xml:space="preserve"> </w:t>
      </w:r>
      <w:r w:rsidRPr="001E6EEF">
        <w:rPr>
          <w:color w:val="000000" w:themeColor="text1"/>
          <w:spacing w:val="1"/>
        </w:rPr>
        <w:t>One strength of the research exploring the link between neuroticism and academic performance is the utili</w:t>
      </w:r>
      <w:r w:rsidR="00810B4E">
        <w:rPr>
          <w:color w:val="000000" w:themeColor="text1"/>
          <w:spacing w:val="1"/>
        </w:rPr>
        <w:t>s</w:t>
      </w:r>
      <w:r w:rsidRPr="001E6EEF">
        <w:rPr>
          <w:color w:val="000000" w:themeColor="text1"/>
          <w:spacing w:val="1"/>
        </w:rPr>
        <w:t>ation of large sample sizes. Many studies have included hundreds or even thousands of participants, enhancing the generalizability of findings</w:t>
      </w:r>
      <w:r w:rsidR="001E6EEF" w:rsidRPr="001E6EEF">
        <w:rPr>
          <w:color w:val="000000" w:themeColor="text1"/>
          <w:spacing w:val="1"/>
        </w:rPr>
        <w:t xml:space="preserve"> (</w:t>
      </w:r>
      <w:r w:rsidR="001E6EEF" w:rsidRPr="001E6EEF">
        <w:t>Ormel et al., 2013).</w:t>
      </w:r>
      <w:r w:rsidRPr="001E6EEF">
        <w:rPr>
          <w:color w:val="000000" w:themeColor="text1"/>
          <w:spacing w:val="1"/>
        </w:rPr>
        <w:t xml:space="preserve"> By including a diverse range of individuals, researchers can draw more accurate conclusions regarding the influence of neuroticism on academic outcomes.</w:t>
      </w:r>
      <w:r w:rsidR="00E06DDF" w:rsidRPr="001E6EEF">
        <w:rPr>
          <w:color w:val="000000" w:themeColor="text1"/>
          <w:spacing w:val="1"/>
        </w:rPr>
        <w:t xml:space="preserve"> </w:t>
      </w:r>
      <w:r w:rsidR="00AA4871">
        <w:rPr>
          <w:color w:val="000000" w:themeColor="text1"/>
          <w:spacing w:val="1"/>
        </w:rPr>
        <w:t>It has been suggested that f</w:t>
      </w:r>
      <w:r w:rsidRPr="001E6EEF">
        <w:rPr>
          <w:color w:val="000000" w:themeColor="text1"/>
          <w:spacing w:val="1"/>
        </w:rPr>
        <w:t xml:space="preserve">uture research </w:t>
      </w:r>
      <w:r w:rsidR="00AA4871">
        <w:rPr>
          <w:color w:val="000000" w:themeColor="text1"/>
          <w:spacing w:val="1"/>
        </w:rPr>
        <w:t>could</w:t>
      </w:r>
      <w:r w:rsidRPr="001E6EEF">
        <w:rPr>
          <w:color w:val="000000" w:themeColor="text1"/>
          <w:spacing w:val="1"/>
        </w:rPr>
        <w:t xml:space="preserve"> consider incorporating more comprehensive and objective measures of neuroticism, such as physiological measures or </w:t>
      </w:r>
      <w:r w:rsidR="003F3440" w:rsidRPr="001E6EEF">
        <w:rPr>
          <w:color w:val="000000" w:themeColor="text1"/>
          <w:spacing w:val="1"/>
        </w:rPr>
        <w:t>behavioural</w:t>
      </w:r>
      <w:r w:rsidRPr="001E6EEF">
        <w:rPr>
          <w:color w:val="000000" w:themeColor="text1"/>
          <w:spacing w:val="1"/>
        </w:rPr>
        <w:t xml:space="preserve"> observations</w:t>
      </w:r>
      <w:r w:rsidR="001E6EEF" w:rsidRPr="001E6EEF">
        <w:rPr>
          <w:color w:val="000000" w:themeColor="text1"/>
          <w:spacing w:val="1"/>
        </w:rPr>
        <w:t xml:space="preserve"> (</w:t>
      </w:r>
      <w:r w:rsidR="001E6EEF" w:rsidRPr="001E6EEF">
        <w:t>Sauer</w:t>
      </w:r>
      <w:r w:rsidR="001E6EEF" w:rsidRPr="00A716D3">
        <w:t>-Zavala</w:t>
      </w:r>
      <w:r w:rsidR="001E6EEF">
        <w:t xml:space="preserve"> et al., </w:t>
      </w:r>
      <w:r w:rsidR="001E6EEF" w:rsidRPr="00A716D3">
        <w:t>2017).</w:t>
      </w:r>
      <w:r w:rsidR="001E6EEF">
        <w:rPr>
          <w:color w:val="000000" w:themeColor="text1"/>
          <w:spacing w:val="1"/>
        </w:rPr>
        <w:t xml:space="preserve"> </w:t>
      </w:r>
      <w:r w:rsidRPr="004332E5">
        <w:rPr>
          <w:color w:val="000000" w:themeColor="text1"/>
          <w:spacing w:val="1"/>
        </w:rPr>
        <w:t xml:space="preserve">Another weakness in the existing literature is the lack of consensus on the nature of the relationship between neuroticism and academic performance. While some studies suggest a negative correlation, indicating that individuals higher in </w:t>
      </w:r>
      <w:r w:rsidRPr="00AA4871">
        <w:rPr>
          <w:color w:val="000000" w:themeColor="text1"/>
          <w:spacing w:val="1"/>
        </w:rPr>
        <w:t>neuroticism tend to have poorer academic performance, others report no significant relationship</w:t>
      </w:r>
      <w:r w:rsidR="001E6EEF" w:rsidRPr="00AA4871">
        <w:rPr>
          <w:color w:val="000000" w:themeColor="text1"/>
          <w:spacing w:val="1"/>
        </w:rPr>
        <w:t xml:space="preserve"> (</w:t>
      </w:r>
      <w:r w:rsidR="001E6EEF" w:rsidRPr="00AA4871">
        <w:t>Richardson et al., 2012</w:t>
      </w:r>
      <w:r w:rsidR="00AA4871" w:rsidRPr="00AA4871">
        <w:t xml:space="preserve">; </w:t>
      </w:r>
      <w:r w:rsidR="001E6EEF" w:rsidRPr="00AA4871">
        <w:t>Vedel, 2014).</w:t>
      </w:r>
      <w:r w:rsidRPr="004332E5">
        <w:rPr>
          <w:color w:val="000000" w:themeColor="text1"/>
          <w:spacing w:val="1"/>
        </w:rPr>
        <w:t xml:space="preserve"> This inconsistency could be attributed to variations in sample characteristics, cultural differences, or the use of different measurement tools. Future research should aim to address these discrepancies to provide a clearer understanding of the association between neuroticism and academic achievement.</w:t>
      </w:r>
    </w:p>
    <w:p w14:paraId="65BC681A" w14:textId="5308BFAC"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r w:rsidRPr="004332E5">
        <w:rPr>
          <w:color w:val="000000" w:themeColor="text1"/>
          <w:spacing w:val="1"/>
        </w:rPr>
        <w:t>Furthermore</w:t>
      </w:r>
      <w:r w:rsidRPr="009A1AEF">
        <w:rPr>
          <w:color w:val="000000" w:themeColor="text1"/>
          <w:spacing w:val="1"/>
        </w:rPr>
        <w:t>, the existing studies predominantly focus on a limited range of academic outcomes, such as GPA or exam scores</w:t>
      </w:r>
      <w:r w:rsidR="009A1AEF" w:rsidRPr="009A1AEF">
        <w:rPr>
          <w:color w:val="000000" w:themeColor="text1"/>
          <w:spacing w:val="1"/>
        </w:rPr>
        <w:t xml:space="preserve"> (</w:t>
      </w:r>
      <w:r w:rsidR="009A1AEF" w:rsidRPr="009A1AEF">
        <w:t>Noftle &amp; Robins, 2007; Vedel et al., 2015</w:t>
      </w:r>
      <w:r w:rsidR="009A1AEF">
        <w:t xml:space="preserve">; </w:t>
      </w:r>
      <w:r w:rsidR="009A1AEF" w:rsidRPr="009A1AEF">
        <w:t>Mcabee</w:t>
      </w:r>
      <w:r w:rsidR="009A1AEF">
        <w:t xml:space="preserve"> </w:t>
      </w:r>
      <w:r w:rsidR="009A1AEF" w:rsidRPr="009A1AEF">
        <w:t>&amp; Oswald, 2013).</w:t>
      </w:r>
      <w:r w:rsidRPr="009A1AEF">
        <w:rPr>
          <w:color w:val="000000" w:themeColor="text1"/>
          <w:spacing w:val="1"/>
        </w:rPr>
        <w:t xml:space="preserve"> While these measures are undoubtedly important, they fail to capture the multifaceted nature of academic performance. For instance</w:t>
      </w:r>
      <w:r w:rsidRPr="004332E5">
        <w:rPr>
          <w:color w:val="000000" w:themeColor="text1"/>
          <w:spacing w:val="1"/>
        </w:rPr>
        <w:t>, factors like creativity, critical thinking, and problem-solving skills are not adequately assessed. Incorporating a broader set of criteria for evaluating academic performance would enhance the comprehensiveness of future research in this field.</w:t>
      </w:r>
      <w:r w:rsidR="00E06DDF">
        <w:rPr>
          <w:color w:val="000000" w:themeColor="text1"/>
          <w:spacing w:val="1"/>
        </w:rPr>
        <w:t xml:space="preserve"> </w:t>
      </w:r>
      <w:r w:rsidRPr="004332E5">
        <w:rPr>
          <w:color w:val="000000" w:themeColor="text1"/>
          <w:spacing w:val="1"/>
        </w:rPr>
        <w:t xml:space="preserve">Additionally, the majority of the existing research has primarily focused on the negative impact of neuroticism on academic performance. While this aspect is undoubtedly crucial, it is equally important to investigate potential positive associations. </w:t>
      </w:r>
      <w:r w:rsidRPr="003B7949">
        <w:rPr>
          <w:color w:val="000000" w:themeColor="text1"/>
          <w:spacing w:val="1"/>
        </w:rPr>
        <w:lastRenderedPageBreak/>
        <w:t>Exploring whether certain levels of neuroticism can foster motivation, perfectionism, or attention to detail may provide a more nuanced understanding of the relationship between neuroticism</w:t>
      </w:r>
      <w:r w:rsidRPr="004332E5">
        <w:rPr>
          <w:color w:val="000000" w:themeColor="text1"/>
          <w:spacing w:val="1"/>
        </w:rPr>
        <w:t xml:space="preserve"> and academic outcomes</w:t>
      </w:r>
      <w:r w:rsidR="003B7949">
        <w:rPr>
          <w:color w:val="000000" w:themeColor="text1"/>
          <w:spacing w:val="1"/>
        </w:rPr>
        <w:t xml:space="preserve"> (</w:t>
      </w:r>
      <w:r w:rsidR="003B7949" w:rsidRPr="00A716D3">
        <w:t>Madigan,</w:t>
      </w:r>
      <w:r w:rsidR="003B7949">
        <w:t xml:space="preserve"> </w:t>
      </w:r>
      <w:r w:rsidR="003B7949" w:rsidRPr="00A716D3">
        <w:t>2019</w:t>
      </w:r>
      <w:r w:rsidR="003B7949">
        <w:t xml:space="preserve">; </w:t>
      </w:r>
      <w:r w:rsidR="003B7949" w:rsidRPr="00A716D3">
        <w:t>Smith</w:t>
      </w:r>
      <w:r w:rsidR="003B7949">
        <w:t xml:space="preserve"> et al.,</w:t>
      </w:r>
      <w:r w:rsidR="003B7949" w:rsidRPr="00A716D3">
        <w:t xml:space="preserve"> 2019).</w:t>
      </w:r>
      <w:r w:rsidR="00E06DDF">
        <w:rPr>
          <w:color w:val="000000" w:themeColor="text1"/>
          <w:spacing w:val="1"/>
        </w:rPr>
        <w:t xml:space="preserve"> </w:t>
      </w:r>
      <w:r w:rsidRPr="004332E5">
        <w:rPr>
          <w:color w:val="000000" w:themeColor="text1"/>
          <w:spacing w:val="1"/>
        </w:rPr>
        <w:t>Interestingly, some studies have indica</w:t>
      </w:r>
      <w:r w:rsidRPr="004D241C">
        <w:rPr>
          <w:color w:val="000000" w:themeColor="text1"/>
          <w:spacing w:val="1"/>
        </w:rPr>
        <w:t>ted that the effects of neuroticism on academic performance may vary depending on other factors, such as intelligence or socioeconomic status</w:t>
      </w:r>
      <w:r w:rsidR="003B7949" w:rsidRPr="004D241C">
        <w:rPr>
          <w:color w:val="000000" w:themeColor="text1"/>
          <w:spacing w:val="1"/>
        </w:rPr>
        <w:t xml:space="preserve"> (</w:t>
      </w:r>
      <w:r w:rsidR="003B7949" w:rsidRPr="004D241C">
        <w:t>Anglim et al., 2022</w:t>
      </w:r>
      <w:r w:rsidR="004D241C" w:rsidRPr="004D241C">
        <w:t xml:space="preserve">; Wehner, 2018). </w:t>
      </w:r>
      <w:r w:rsidRPr="004D241C">
        <w:rPr>
          <w:color w:val="000000" w:themeColor="text1"/>
          <w:spacing w:val="1"/>
        </w:rPr>
        <w:t xml:space="preserve"> For</w:t>
      </w:r>
      <w:r w:rsidRPr="004332E5">
        <w:rPr>
          <w:color w:val="000000" w:themeColor="text1"/>
          <w:spacing w:val="1"/>
        </w:rPr>
        <w:t xml:space="preserve"> instance, individuals with higher levels of neuroticism may experience a greater impact on their academic achievement </w:t>
      </w:r>
      <w:r w:rsidRPr="006A5854">
        <w:rPr>
          <w:color w:val="000000" w:themeColor="text1"/>
          <w:spacing w:val="1"/>
        </w:rPr>
        <w:t>if they also possess lower cognitive abilities or come from disadvantaged backgrounds</w:t>
      </w:r>
      <w:r w:rsidR="006A5854" w:rsidRPr="006A5854">
        <w:rPr>
          <w:color w:val="000000" w:themeColor="text1"/>
          <w:spacing w:val="1"/>
        </w:rPr>
        <w:t xml:space="preserve"> (</w:t>
      </w:r>
      <w:r w:rsidR="006A5854" w:rsidRPr="006A5854">
        <w:t>Wehner, 2018)</w:t>
      </w:r>
      <w:r w:rsidRPr="006A5854">
        <w:rPr>
          <w:color w:val="000000" w:themeColor="text1"/>
          <w:spacing w:val="1"/>
        </w:rPr>
        <w:t>. Examining</w:t>
      </w:r>
      <w:r w:rsidRPr="004332E5">
        <w:rPr>
          <w:color w:val="000000" w:themeColor="text1"/>
          <w:spacing w:val="1"/>
        </w:rPr>
        <w:t xml:space="preserve"> these moderators could provide valuable insights into the complex interplay between neuroticism and academic performance.</w:t>
      </w:r>
      <w:r w:rsidR="00E06DDF">
        <w:rPr>
          <w:color w:val="000000" w:themeColor="text1"/>
          <w:spacing w:val="1"/>
        </w:rPr>
        <w:t xml:space="preserve"> </w:t>
      </w:r>
      <w:r w:rsidRPr="004332E5">
        <w:rPr>
          <w:color w:val="000000" w:themeColor="text1"/>
          <w:spacing w:val="1"/>
        </w:rPr>
        <w:t xml:space="preserve">Despite these limitations, </w:t>
      </w:r>
      <w:r>
        <w:rPr>
          <w:color w:val="000000" w:themeColor="text1"/>
          <w:spacing w:val="1"/>
        </w:rPr>
        <w:t>r</w:t>
      </w:r>
      <w:r w:rsidRPr="004332E5">
        <w:rPr>
          <w:color w:val="000000" w:themeColor="text1"/>
          <w:spacing w:val="1"/>
        </w:rPr>
        <w:t xml:space="preserve">esearch sheds light on the potential implications of neuroticism for educational settings. Moreover, the findings underscore the importance </w:t>
      </w:r>
      <w:r w:rsidRPr="006A5854">
        <w:rPr>
          <w:color w:val="000000" w:themeColor="text1"/>
          <w:spacing w:val="1"/>
        </w:rPr>
        <w:t>of addressing emotional well-being alongside educational interventions, recogni</w:t>
      </w:r>
      <w:r w:rsidR="00810B4E">
        <w:rPr>
          <w:color w:val="000000" w:themeColor="text1"/>
          <w:spacing w:val="1"/>
        </w:rPr>
        <w:t>s</w:t>
      </w:r>
      <w:r w:rsidRPr="006A5854">
        <w:rPr>
          <w:color w:val="000000" w:themeColor="text1"/>
          <w:spacing w:val="1"/>
        </w:rPr>
        <w:t>ing that emotional stability and positive mental health contribute significantly to academic performance</w:t>
      </w:r>
      <w:r w:rsidR="006A5854" w:rsidRPr="006A5854">
        <w:rPr>
          <w:color w:val="000000" w:themeColor="text1"/>
          <w:spacing w:val="1"/>
        </w:rPr>
        <w:t xml:space="preserve"> (</w:t>
      </w:r>
      <w:r w:rsidR="006A5854" w:rsidRPr="006A5854">
        <w:t>Soto, 2015).</w:t>
      </w:r>
    </w:p>
    <w:p w14:paraId="19F82679" w14:textId="77777777"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2C26E33A" w14:textId="4D5944BF" w:rsidR="00767AFF" w:rsidRPr="004332E5" w:rsidRDefault="00B27840" w:rsidP="00767AFF">
      <w:pPr>
        <w:pStyle w:val="NormalWeb"/>
        <w:shd w:val="clear" w:color="auto" w:fill="FFFFFF"/>
        <w:spacing w:before="0" w:beforeAutospacing="0" w:after="0" w:afterAutospacing="0" w:line="360" w:lineRule="auto"/>
        <w:jc w:val="both"/>
        <w:rPr>
          <w:color w:val="000000" w:themeColor="text1"/>
          <w:spacing w:val="1"/>
        </w:rPr>
      </w:pPr>
      <w:r>
        <w:rPr>
          <w:color w:val="000000" w:themeColor="text1"/>
          <w:spacing w:val="1"/>
        </w:rPr>
        <w:t xml:space="preserve">Openness to </w:t>
      </w:r>
      <w:r w:rsidRPr="00B27840">
        <w:rPr>
          <w:color w:val="000000" w:themeColor="text1"/>
          <w:spacing w:val="1"/>
        </w:rPr>
        <w:t>experience</w:t>
      </w:r>
      <w:r w:rsidR="00767AFF" w:rsidRPr="00B27840">
        <w:rPr>
          <w:color w:val="000000" w:themeColor="text1"/>
          <w:spacing w:val="1"/>
        </w:rPr>
        <w:t xml:space="preserve"> is a trait that is often associated with personal growth and development</w:t>
      </w:r>
      <w:r w:rsidRPr="00B27840">
        <w:rPr>
          <w:color w:val="000000" w:themeColor="text1"/>
          <w:spacing w:val="1"/>
        </w:rPr>
        <w:t xml:space="preserve"> (</w:t>
      </w:r>
      <w:r w:rsidRPr="00B27840">
        <w:rPr>
          <w:color w:val="3A3A3A"/>
          <w:shd w:val="clear" w:color="auto" w:fill="FFFFFF"/>
        </w:rPr>
        <w:t>Gross, 2020).</w:t>
      </w:r>
      <w:r w:rsidR="00767AFF" w:rsidRPr="00B27840">
        <w:rPr>
          <w:color w:val="000000" w:themeColor="text1"/>
          <w:spacing w:val="1"/>
        </w:rPr>
        <w:t xml:space="preserve"> It is generally seen as a positive characteristic, as it enables individuals to explore different perspectives, ideas, and cultures</w:t>
      </w:r>
      <w:r w:rsidRPr="00B27840">
        <w:rPr>
          <w:color w:val="000000" w:themeColor="text1"/>
          <w:spacing w:val="1"/>
        </w:rPr>
        <w:t xml:space="preserve"> (</w:t>
      </w:r>
      <w:r w:rsidRPr="00B27840">
        <w:t>McCrae &amp; Greenberg, 2014).</w:t>
      </w:r>
      <w:r w:rsidR="00767AFF" w:rsidRPr="00B27840">
        <w:rPr>
          <w:color w:val="000000" w:themeColor="text1"/>
          <w:spacing w:val="1"/>
        </w:rPr>
        <w:t xml:space="preserve"> However, the </w:t>
      </w:r>
      <w:r w:rsidR="00767AFF" w:rsidRPr="005113C6">
        <w:rPr>
          <w:color w:val="000000" w:themeColor="text1"/>
          <w:spacing w:val="1"/>
        </w:rPr>
        <w:t>relationship between openness to experience and academic performance is a topic of debate among researchers. While some argue that being open-minded positively influences academic performance, others argue that it may hinder it</w:t>
      </w:r>
      <w:r w:rsidR="005113C6" w:rsidRPr="005113C6">
        <w:rPr>
          <w:color w:val="000000" w:themeColor="text1"/>
          <w:spacing w:val="1"/>
        </w:rPr>
        <w:t xml:space="preserve"> (</w:t>
      </w:r>
      <w:r w:rsidR="005113C6" w:rsidRPr="005113C6">
        <w:rPr>
          <w:color w:val="3A3A3A"/>
          <w:shd w:val="clear" w:color="auto" w:fill="FFFFFF"/>
        </w:rPr>
        <w:t>Mcabee &amp; Oswald, 2013).</w:t>
      </w:r>
      <w:r w:rsidR="00767AFF" w:rsidRPr="005113C6">
        <w:rPr>
          <w:color w:val="000000" w:themeColor="text1"/>
          <w:spacing w:val="1"/>
        </w:rPr>
        <w:t xml:space="preserve"> One</w:t>
      </w:r>
      <w:r w:rsidR="00767AFF" w:rsidRPr="004332E5">
        <w:rPr>
          <w:color w:val="000000" w:themeColor="text1"/>
          <w:spacing w:val="1"/>
        </w:rPr>
        <w:t xml:space="preserve"> argument in </w:t>
      </w:r>
      <w:r w:rsidR="00E06DDF">
        <w:rPr>
          <w:color w:val="000000" w:themeColor="text1"/>
          <w:spacing w:val="1"/>
        </w:rPr>
        <w:t>favour</w:t>
      </w:r>
      <w:r w:rsidR="00767AFF" w:rsidRPr="004332E5">
        <w:rPr>
          <w:color w:val="000000" w:themeColor="text1"/>
          <w:spacing w:val="1"/>
        </w:rPr>
        <w:t xml:space="preserve"> of openness to experience positively influencing academic performance is </w:t>
      </w:r>
      <w:r w:rsidR="00767AFF" w:rsidRPr="005113C6">
        <w:rPr>
          <w:color w:val="000000" w:themeColor="text1"/>
          <w:spacing w:val="1"/>
        </w:rPr>
        <w:t xml:space="preserve">that it promotes curiosity and a thirst for knowledge. Open-minded individuals are more likely to seek out new information, engage in critical thinking, and approach learning with </w:t>
      </w:r>
      <w:r w:rsidR="005113C6">
        <w:rPr>
          <w:color w:val="000000" w:themeColor="text1"/>
          <w:spacing w:val="1"/>
        </w:rPr>
        <w:t>fascination</w:t>
      </w:r>
      <w:r w:rsidR="00767AFF" w:rsidRPr="005113C6">
        <w:rPr>
          <w:color w:val="000000" w:themeColor="text1"/>
          <w:spacing w:val="1"/>
        </w:rPr>
        <w:t>.</w:t>
      </w:r>
      <w:r w:rsidR="00767AFF" w:rsidRPr="004332E5">
        <w:rPr>
          <w:color w:val="000000" w:themeColor="text1"/>
          <w:spacing w:val="1"/>
        </w:rPr>
        <w:t xml:space="preserve"> This can lead to better overall academic performance as students actively seek to understand and explore concepts presented to them</w:t>
      </w:r>
      <w:r w:rsidR="005113C6">
        <w:rPr>
          <w:color w:val="000000" w:themeColor="text1"/>
          <w:spacing w:val="1"/>
        </w:rPr>
        <w:t>, particularly in creative subjects (</w:t>
      </w:r>
      <w:r w:rsidR="005113C6" w:rsidRPr="00A716D3">
        <w:t>Kaufman</w:t>
      </w:r>
      <w:r w:rsidR="005113C6">
        <w:t xml:space="preserve"> et al., </w:t>
      </w:r>
      <w:r w:rsidR="005113C6" w:rsidRPr="00A716D3">
        <w:t>2016)</w:t>
      </w:r>
      <w:r w:rsidR="005113C6">
        <w:t>.</w:t>
      </w:r>
      <w:r w:rsidR="00C37692">
        <w:rPr>
          <w:color w:val="000000" w:themeColor="text1"/>
          <w:spacing w:val="1"/>
        </w:rPr>
        <w:t xml:space="preserve"> </w:t>
      </w:r>
      <w:r w:rsidR="00767AFF" w:rsidRPr="004332E5">
        <w:rPr>
          <w:color w:val="000000" w:themeColor="text1"/>
          <w:spacing w:val="1"/>
        </w:rPr>
        <w:t xml:space="preserve">Moreover, the correlation between openness to experience and </w:t>
      </w:r>
      <w:r w:rsidR="00767AFF" w:rsidRPr="00C37692">
        <w:rPr>
          <w:color w:val="000000" w:themeColor="text1"/>
          <w:spacing w:val="1"/>
        </w:rPr>
        <w:t xml:space="preserve">academic performance may also depend on the field of study. For example, in subjects such as literature or humanities, being open-minded can greatly contribute to understanding </w:t>
      </w:r>
      <w:r w:rsidR="00767AFF" w:rsidRPr="001F3F3C">
        <w:rPr>
          <w:color w:val="000000" w:themeColor="text1"/>
          <w:spacing w:val="1"/>
        </w:rPr>
        <w:t xml:space="preserve">different perspectives and </w:t>
      </w:r>
      <w:r w:rsidR="00D41D99" w:rsidRPr="001F3F3C">
        <w:rPr>
          <w:color w:val="000000" w:themeColor="text1"/>
          <w:spacing w:val="1"/>
        </w:rPr>
        <w:t>analysing</w:t>
      </w:r>
      <w:r w:rsidR="00767AFF" w:rsidRPr="001F3F3C">
        <w:rPr>
          <w:color w:val="000000" w:themeColor="text1"/>
          <w:spacing w:val="1"/>
        </w:rPr>
        <w:t xml:space="preserve"> complex texts</w:t>
      </w:r>
      <w:r w:rsidR="00C37692" w:rsidRPr="001F3F3C">
        <w:rPr>
          <w:color w:val="000000" w:themeColor="text1"/>
          <w:spacing w:val="1"/>
        </w:rPr>
        <w:t xml:space="preserve"> (</w:t>
      </w:r>
      <w:r w:rsidR="00C37692" w:rsidRPr="001F3F3C">
        <w:t>Kaufman et al., 2016)</w:t>
      </w:r>
      <w:r w:rsidR="00767AFF" w:rsidRPr="001F3F3C">
        <w:rPr>
          <w:color w:val="000000" w:themeColor="text1"/>
          <w:spacing w:val="1"/>
        </w:rPr>
        <w:t xml:space="preserve">. However, in subjects that require </w:t>
      </w:r>
      <w:r w:rsidR="00810B4E" w:rsidRPr="001F3F3C">
        <w:rPr>
          <w:color w:val="000000" w:themeColor="text1"/>
          <w:spacing w:val="1"/>
        </w:rPr>
        <w:t>rote memory</w:t>
      </w:r>
      <w:r w:rsidR="00767AFF" w:rsidRPr="001F3F3C">
        <w:rPr>
          <w:color w:val="000000" w:themeColor="text1"/>
          <w:spacing w:val="1"/>
        </w:rPr>
        <w:t xml:space="preserve"> or strict adherence to defined rules, such as mathematics or science, excessive openness may not be as advantageous</w:t>
      </w:r>
      <w:r w:rsidR="00767AFF" w:rsidRPr="00C37692">
        <w:rPr>
          <w:color w:val="000000" w:themeColor="text1"/>
          <w:spacing w:val="1"/>
        </w:rPr>
        <w:t>. These subjects often require a structured and systematic approach, which can be impeded by constant exploration and deviation from established concepts</w:t>
      </w:r>
      <w:r w:rsidR="00C37692">
        <w:rPr>
          <w:color w:val="000000" w:themeColor="text1"/>
          <w:spacing w:val="1"/>
        </w:rPr>
        <w:t xml:space="preserve"> (</w:t>
      </w:r>
      <w:r w:rsidR="00C37692" w:rsidRPr="00A716D3">
        <w:t>Gatzka &amp; Hell, 2018)</w:t>
      </w:r>
      <w:r w:rsidR="00C37692">
        <w:t>.</w:t>
      </w:r>
      <w:r w:rsidR="00E06DDF">
        <w:rPr>
          <w:color w:val="000000" w:themeColor="text1"/>
          <w:spacing w:val="1"/>
        </w:rPr>
        <w:t xml:space="preserve"> </w:t>
      </w:r>
      <w:r w:rsidR="00767AFF" w:rsidRPr="004332E5">
        <w:rPr>
          <w:color w:val="000000" w:themeColor="text1"/>
          <w:spacing w:val="1"/>
        </w:rPr>
        <w:t xml:space="preserve">Additionally, academic success is </w:t>
      </w:r>
      <w:r w:rsidR="00767AFF" w:rsidRPr="004332E5">
        <w:rPr>
          <w:color w:val="000000" w:themeColor="text1"/>
          <w:spacing w:val="1"/>
        </w:rPr>
        <w:lastRenderedPageBreak/>
        <w:t xml:space="preserve">influenced by several other factors such as motivation, study </w:t>
      </w:r>
      <w:r w:rsidR="0053203E" w:rsidRPr="004332E5">
        <w:rPr>
          <w:color w:val="000000" w:themeColor="text1"/>
          <w:spacing w:val="1"/>
        </w:rPr>
        <w:t>routines</w:t>
      </w:r>
      <w:r w:rsidR="00767AFF" w:rsidRPr="004332E5">
        <w:rPr>
          <w:color w:val="000000" w:themeColor="text1"/>
          <w:spacing w:val="1"/>
        </w:rPr>
        <w:t xml:space="preserve">, and environmental support. While openness to experience plays a role, it is not the sole determinant of </w:t>
      </w:r>
      <w:r w:rsidR="00767AFF" w:rsidRPr="00453358">
        <w:rPr>
          <w:color w:val="000000" w:themeColor="text1"/>
          <w:spacing w:val="1"/>
        </w:rPr>
        <w:t xml:space="preserve">academic performance. A highly motivated student who possesses effective study skills and has a supportive learning environment may still perform well academically, even if they are not particularly open-minded. Likewise, an individual who is open to new experiences, but lacks </w:t>
      </w:r>
      <w:r w:rsidR="00767AFF" w:rsidRPr="00C90B08">
        <w:rPr>
          <w:color w:val="000000" w:themeColor="text1"/>
          <w:spacing w:val="1"/>
        </w:rPr>
        <w:t>motivation or effective study techniques, may struggle academically</w:t>
      </w:r>
      <w:r w:rsidR="00453358" w:rsidRPr="00C90B08">
        <w:rPr>
          <w:color w:val="000000" w:themeColor="text1"/>
          <w:spacing w:val="1"/>
        </w:rPr>
        <w:t xml:space="preserve"> (</w:t>
      </w:r>
      <w:r w:rsidR="00453358" w:rsidRPr="00C90B08">
        <w:t>Hazrati-Viari et al., 2012).</w:t>
      </w:r>
      <w:r w:rsidR="00E06DDF" w:rsidRPr="00C90B08">
        <w:rPr>
          <w:color w:val="000000" w:themeColor="text1"/>
          <w:spacing w:val="1"/>
        </w:rPr>
        <w:t xml:space="preserve"> </w:t>
      </w:r>
      <w:r w:rsidR="00767AFF" w:rsidRPr="00C90B08">
        <w:rPr>
          <w:color w:val="000000" w:themeColor="text1"/>
          <w:spacing w:val="1"/>
        </w:rPr>
        <w:t>It is important to note that openness to experience may have indirect effects on academic performance. For instance, engaging in diverse experiences and exploring new ideas can foster creativity</w:t>
      </w:r>
      <w:r w:rsidR="00C90B08" w:rsidRPr="00C90B08">
        <w:rPr>
          <w:color w:val="000000" w:themeColor="text1"/>
          <w:spacing w:val="1"/>
        </w:rPr>
        <w:t xml:space="preserve"> (Vedel, 2014)</w:t>
      </w:r>
      <w:r w:rsidR="00767AFF" w:rsidRPr="00C90B08">
        <w:rPr>
          <w:color w:val="000000" w:themeColor="text1"/>
          <w:spacing w:val="1"/>
        </w:rPr>
        <w:t>. Creative thinking is often highly valued in academic settings, as it enables students to approach problems from multiple perspectives and generate novel solutions</w:t>
      </w:r>
      <w:r w:rsidR="00C90B08" w:rsidRPr="00C90B08">
        <w:rPr>
          <w:color w:val="000000" w:themeColor="text1"/>
          <w:spacing w:val="1"/>
        </w:rPr>
        <w:t xml:space="preserve"> (</w:t>
      </w:r>
      <w:r w:rsidR="00C90B08" w:rsidRPr="00C90B08">
        <w:t>Buckingham Shum &amp; Crick, 2012).</w:t>
      </w:r>
      <w:r w:rsidR="00767AFF" w:rsidRPr="00C90B08">
        <w:rPr>
          <w:color w:val="000000" w:themeColor="text1"/>
          <w:spacing w:val="1"/>
        </w:rPr>
        <w:t xml:space="preserve"> Thus, being open to new experiences can indirectly enhance</w:t>
      </w:r>
      <w:r w:rsidR="00767AFF" w:rsidRPr="004332E5">
        <w:rPr>
          <w:color w:val="000000" w:themeColor="text1"/>
          <w:spacing w:val="1"/>
        </w:rPr>
        <w:t xml:space="preserve"> academic performance through the development of creative thinking skills.</w:t>
      </w:r>
      <w:r w:rsidR="00E06DDF">
        <w:rPr>
          <w:color w:val="000000" w:themeColor="text1"/>
          <w:spacing w:val="1"/>
        </w:rPr>
        <w:t xml:space="preserve"> </w:t>
      </w:r>
      <w:r w:rsidR="00767AFF" w:rsidRPr="004332E5">
        <w:rPr>
          <w:color w:val="000000" w:themeColor="text1"/>
          <w:spacing w:val="1"/>
        </w:rPr>
        <w:t xml:space="preserve">Furthermore, the impact of openness to experience on academic performance </w:t>
      </w:r>
      <w:r w:rsidR="00767AFF" w:rsidRPr="00C90B08">
        <w:rPr>
          <w:color w:val="000000" w:themeColor="text1"/>
          <w:spacing w:val="1"/>
        </w:rPr>
        <w:t>may vary based on individual differences. For some students, having a structured and predictable learning environment may be the most conducive to their academic success, while for others, exploring new ideas and taking risks may be essential for their learning process</w:t>
      </w:r>
      <w:r w:rsidR="00C90B08">
        <w:rPr>
          <w:color w:val="000000" w:themeColor="text1"/>
          <w:spacing w:val="1"/>
        </w:rPr>
        <w:t xml:space="preserve"> (</w:t>
      </w:r>
      <w:r w:rsidR="00C90B08" w:rsidRPr="002A7C78">
        <w:t>Davies</w:t>
      </w:r>
      <w:r w:rsidR="00C90B08">
        <w:t xml:space="preserve"> et al., </w:t>
      </w:r>
      <w:r w:rsidR="00C90B08" w:rsidRPr="002A7C78">
        <w:t>2013</w:t>
      </w:r>
      <w:r w:rsidR="00C90B08">
        <w:t>)</w:t>
      </w:r>
      <w:r w:rsidR="00767AFF" w:rsidRPr="004332E5">
        <w:rPr>
          <w:color w:val="000000" w:themeColor="text1"/>
          <w:spacing w:val="1"/>
        </w:rPr>
        <w:t>. Thus, generali</w:t>
      </w:r>
      <w:r w:rsidR="00810B4E">
        <w:rPr>
          <w:color w:val="000000" w:themeColor="text1"/>
          <w:spacing w:val="1"/>
        </w:rPr>
        <w:t>s</w:t>
      </w:r>
      <w:r w:rsidR="00767AFF" w:rsidRPr="004332E5">
        <w:rPr>
          <w:color w:val="000000" w:themeColor="text1"/>
          <w:spacing w:val="1"/>
        </w:rPr>
        <w:t>ing the relationship between openness to experience and academic performance may not hold true for every student.</w:t>
      </w:r>
      <w:r w:rsidR="00E06DDF">
        <w:rPr>
          <w:color w:val="000000" w:themeColor="text1"/>
          <w:spacing w:val="1"/>
        </w:rPr>
        <w:t xml:space="preserve"> </w:t>
      </w:r>
    </w:p>
    <w:p w14:paraId="7AB5EC49" w14:textId="77777777" w:rsidR="00767AFF" w:rsidRPr="004332E5"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7885BA7F" w14:textId="6B70B310" w:rsidR="00623D57" w:rsidRPr="004332E5" w:rsidRDefault="00B34D17" w:rsidP="004332E5">
      <w:pPr>
        <w:spacing w:line="360" w:lineRule="auto"/>
        <w:jc w:val="both"/>
        <w:rPr>
          <w:rFonts w:ascii="Times New Roman" w:hAnsi="Times New Roman" w:cs="Times New Roman"/>
          <w:color w:val="000000" w:themeColor="text1"/>
        </w:rPr>
      </w:pPr>
      <w:r w:rsidRPr="00B34D17">
        <w:rPr>
          <w:rFonts w:ascii="Times New Roman" w:hAnsi="Times New Roman" w:cs="Times New Roman"/>
          <w:color w:val="000000" w:themeColor="text1"/>
        </w:rPr>
        <w:t>Extraversion is often described as being outgoing, talkative, and energetic, with a natural tendency to seek interpersonal connections and derive energy from social settings (</w:t>
      </w:r>
      <w:r w:rsidRPr="00B34D17">
        <w:rPr>
          <w:rFonts w:ascii="Times New Roman" w:hAnsi="Times New Roman" w:cs="Times New Roman"/>
        </w:rPr>
        <w:t>Wilt &amp; Revelle, 2015).</w:t>
      </w:r>
      <w:r w:rsidRPr="00B34D17">
        <w:rPr>
          <w:rFonts w:ascii="Times New Roman" w:hAnsi="Times New Roman" w:cs="Times New Roman"/>
          <w:color w:val="000000" w:themeColor="text1"/>
        </w:rPr>
        <w:t xml:space="preserve"> This personality trait is often contrasted with introversion, where individuals tend to prefer solitude and introspection rather than sociali</w:t>
      </w:r>
      <w:r w:rsidR="00810B4E">
        <w:rPr>
          <w:rFonts w:ascii="Times New Roman" w:hAnsi="Times New Roman" w:cs="Times New Roman"/>
          <w:color w:val="000000" w:themeColor="text1"/>
        </w:rPr>
        <w:t>s</w:t>
      </w:r>
      <w:r w:rsidRPr="00B34D17">
        <w:rPr>
          <w:rFonts w:ascii="Times New Roman" w:hAnsi="Times New Roman" w:cs="Times New Roman"/>
          <w:color w:val="000000" w:themeColor="text1"/>
        </w:rPr>
        <w:t>ing.</w:t>
      </w:r>
      <w:r w:rsidRPr="00B34D17">
        <w:rPr>
          <w:rFonts w:ascii="Times New Roman" w:hAnsi="Times New Roman" w:cs="Times New Roman"/>
          <w:b/>
          <w:bCs/>
          <w:color w:val="000000" w:themeColor="text1"/>
        </w:rPr>
        <w:t> </w:t>
      </w:r>
      <w:r w:rsidR="00623D57" w:rsidRPr="00623D57">
        <w:rPr>
          <w:rFonts w:ascii="Times New Roman" w:hAnsi="Times New Roman" w:cs="Times New Roman"/>
          <w:color w:val="000000" w:themeColor="text1"/>
        </w:rPr>
        <w:t xml:space="preserve">Research has shown that extraversion can have both positive and negative effects on academic performance. On one hand, </w:t>
      </w:r>
      <w:r w:rsidR="004332E5" w:rsidRPr="00B34D17">
        <w:rPr>
          <w:rFonts w:ascii="Times New Roman" w:hAnsi="Times New Roman" w:cs="Times New Roman"/>
          <w:color w:val="000000" w:themeColor="text1"/>
        </w:rPr>
        <w:t>extroverts</w:t>
      </w:r>
      <w:r w:rsidR="00623D57" w:rsidRPr="00623D57">
        <w:rPr>
          <w:rFonts w:ascii="Times New Roman" w:hAnsi="Times New Roman" w:cs="Times New Roman"/>
          <w:color w:val="000000" w:themeColor="text1"/>
        </w:rPr>
        <w:t xml:space="preserve"> tend to be more socially engaged and actively participate in classroom activities, leading to greater interaction and enhanced verbal skills. They are often seen as confident, assertive, and enthusiastic, which can positively impact their ability to express ideas and opinions in class discussions and group projects</w:t>
      </w:r>
      <w:r w:rsidRPr="00B34D17">
        <w:rPr>
          <w:rFonts w:ascii="Times New Roman" w:hAnsi="Times New Roman" w:cs="Times New Roman"/>
          <w:color w:val="000000" w:themeColor="text1"/>
        </w:rPr>
        <w:t xml:space="preserve"> or presenting in front of others (</w:t>
      </w:r>
      <w:r w:rsidRPr="00B34D17">
        <w:rPr>
          <w:rFonts w:ascii="Times New Roman" w:hAnsi="Times New Roman" w:cs="Times New Roman"/>
        </w:rPr>
        <w:t>Ciorbea &amp; Pasarica, 2013).</w:t>
      </w:r>
      <w:r w:rsidR="00623D57" w:rsidRPr="00623D57">
        <w:rPr>
          <w:rFonts w:ascii="Times New Roman" w:hAnsi="Times New Roman" w:cs="Times New Roman"/>
          <w:color w:val="000000" w:themeColor="text1"/>
        </w:rPr>
        <w:t xml:space="preserve"> Additionally, extraversion is linked to higher levels of motivation and resilience, allowing extraverts to cope better with academic challenges and setbacks</w:t>
      </w:r>
      <w:r w:rsidRPr="00B34D17">
        <w:rPr>
          <w:rFonts w:ascii="Times New Roman" w:hAnsi="Times New Roman" w:cs="Times New Roman"/>
          <w:color w:val="000000" w:themeColor="text1"/>
        </w:rPr>
        <w:t xml:space="preserve"> due to a </w:t>
      </w:r>
      <w:r>
        <w:rPr>
          <w:rFonts w:ascii="Times New Roman" w:hAnsi="Times New Roman" w:cs="Times New Roman"/>
          <w:color w:val="000000" w:themeColor="text1"/>
        </w:rPr>
        <w:t>tendency</w:t>
      </w:r>
      <w:r w:rsidRPr="00B34D17">
        <w:rPr>
          <w:rFonts w:ascii="Times New Roman" w:hAnsi="Times New Roman" w:cs="Times New Roman"/>
          <w:color w:val="000000" w:themeColor="text1"/>
        </w:rPr>
        <w:t xml:space="preserve"> for positive thinking (</w:t>
      </w:r>
      <w:r w:rsidRPr="00B34D17">
        <w:rPr>
          <w:rFonts w:ascii="Times New Roman" w:hAnsi="Times New Roman" w:cs="Times New Roman"/>
        </w:rPr>
        <w:t>Saklofske et al., 2012)</w:t>
      </w:r>
      <w:r w:rsidR="00623D57" w:rsidRPr="00623D57">
        <w:rPr>
          <w:rFonts w:ascii="Times New Roman" w:hAnsi="Times New Roman" w:cs="Times New Roman"/>
          <w:color w:val="000000" w:themeColor="text1"/>
        </w:rPr>
        <w:t>.</w:t>
      </w:r>
      <w:r w:rsidR="00E06DDF">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 xml:space="preserve">Conversely, excessive extraversion can also have its downsides when it comes to academic performance. The inclination of </w:t>
      </w:r>
      <w:r w:rsidR="003F3440">
        <w:rPr>
          <w:rFonts w:ascii="Times New Roman" w:hAnsi="Times New Roman" w:cs="Times New Roman"/>
          <w:color w:val="000000" w:themeColor="text1"/>
        </w:rPr>
        <w:t>extroverts</w:t>
      </w:r>
      <w:r w:rsidR="00623D57" w:rsidRPr="00623D57">
        <w:rPr>
          <w:rFonts w:ascii="Times New Roman" w:hAnsi="Times New Roman" w:cs="Times New Roman"/>
          <w:color w:val="000000" w:themeColor="text1"/>
        </w:rPr>
        <w:t xml:space="preserve"> to seek external stimulation and engage in social activities may lead </w:t>
      </w:r>
      <w:r w:rsidR="00A6141A">
        <w:rPr>
          <w:rFonts w:ascii="Times New Roman" w:hAnsi="Times New Roman" w:cs="Times New Roman"/>
          <w:color w:val="000000" w:themeColor="text1"/>
        </w:rPr>
        <w:t>to</w:t>
      </w:r>
      <w:r w:rsidR="00A6141A" w:rsidRPr="00623D57">
        <w:rPr>
          <w:rFonts w:ascii="Times New Roman" w:hAnsi="Times New Roman" w:cs="Times New Roman"/>
          <w:color w:val="000000" w:themeColor="text1"/>
        </w:rPr>
        <w:t xml:space="preserve"> a preference for live interactions rather than solitary activities, which may hinder their dedication to independent </w:t>
      </w:r>
      <w:r w:rsidR="00A6141A" w:rsidRPr="00623D57">
        <w:rPr>
          <w:rFonts w:ascii="Times New Roman" w:hAnsi="Times New Roman" w:cs="Times New Roman"/>
          <w:color w:val="000000" w:themeColor="text1"/>
        </w:rPr>
        <w:lastRenderedPageBreak/>
        <w:t>learning and studying outside of class</w:t>
      </w:r>
      <w:r w:rsidR="00A6141A" w:rsidRPr="00A6141A">
        <w:rPr>
          <w:rFonts w:ascii="Times New Roman" w:hAnsi="Times New Roman" w:cs="Times New Roman"/>
          <w:color w:val="000000" w:themeColor="text1"/>
        </w:rPr>
        <w:t xml:space="preserve"> (</w:t>
      </w:r>
      <w:r w:rsidR="00A6141A" w:rsidRPr="00A6141A">
        <w:rPr>
          <w:rFonts w:ascii="Times New Roman" w:hAnsi="Times New Roman" w:cs="Times New Roman"/>
        </w:rPr>
        <w:t>Nguyen et al., 2022</w:t>
      </w:r>
      <w:r w:rsidR="00A6141A">
        <w:rPr>
          <w:rFonts w:ascii="Times New Roman" w:hAnsi="Times New Roman" w:cs="Times New Roman"/>
          <w:color w:val="000000" w:themeColor="text1"/>
        </w:rPr>
        <w:t>).</w:t>
      </w:r>
      <w:r w:rsidR="00A6141A" w:rsidRPr="00A6141A">
        <w:rPr>
          <w:rFonts w:ascii="Times New Roman" w:hAnsi="Times New Roman" w:cs="Times New Roman"/>
          <w:color w:val="000000" w:themeColor="text1"/>
        </w:rPr>
        <w:t xml:space="preserve"> </w:t>
      </w:r>
      <w:r w:rsidR="00A6141A">
        <w:rPr>
          <w:rFonts w:ascii="Times New Roman" w:hAnsi="Times New Roman" w:cs="Times New Roman"/>
          <w:color w:val="000000" w:themeColor="text1"/>
        </w:rPr>
        <w:t>however this has been challenged that extraverts can maintain cognitive and learning capacities even when faced with social distractions and in fact positively react to external stimulations (</w:t>
      </w:r>
      <w:r w:rsidR="00A6141A" w:rsidRPr="002A7C78">
        <w:rPr>
          <w:rFonts w:ascii="Times New Roman" w:hAnsi="Times New Roman" w:cs="Times New Roman"/>
        </w:rPr>
        <w:t>Stein, 2012)</w:t>
      </w:r>
      <w:r w:rsidR="00A6141A">
        <w:rPr>
          <w:rFonts w:ascii="Times New Roman" w:hAnsi="Times New Roman" w:cs="Times New Roman"/>
        </w:rPr>
        <w:t>.</w:t>
      </w:r>
      <w:r w:rsidR="00E06DDF" w:rsidRPr="00A6141A">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However, it is important to note that the relationship between extraversion and academic performance varies across different contexts and disciplines. Some studies suggest that extraversion has a stronger influence on academic success in subjects that require active class participation and frequent collaboration, such as language arts or social sciences</w:t>
      </w:r>
      <w:r w:rsidR="00A6141A" w:rsidRPr="00A6141A">
        <w:rPr>
          <w:rFonts w:ascii="Times New Roman" w:hAnsi="Times New Roman" w:cs="Times New Roman"/>
          <w:color w:val="000000" w:themeColor="text1"/>
        </w:rPr>
        <w:t xml:space="preserve"> (</w:t>
      </w:r>
      <w:r w:rsidR="00A6141A" w:rsidRPr="00A6141A">
        <w:rPr>
          <w:rFonts w:ascii="Times New Roman" w:hAnsi="Times New Roman" w:cs="Times New Roman"/>
        </w:rPr>
        <w:t>Kaufman et</w:t>
      </w:r>
      <w:r w:rsidR="00A6141A">
        <w:rPr>
          <w:rFonts w:ascii="Times New Roman" w:hAnsi="Times New Roman" w:cs="Times New Roman"/>
        </w:rPr>
        <w:t xml:space="preserve"> al.,</w:t>
      </w:r>
      <w:r w:rsidR="00A6141A" w:rsidRPr="002A7C78">
        <w:rPr>
          <w:rFonts w:ascii="Times New Roman" w:hAnsi="Times New Roman" w:cs="Times New Roman"/>
        </w:rPr>
        <w:t xml:space="preserve"> 2013)</w:t>
      </w:r>
      <w:r w:rsidR="00A6141A">
        <w:rPr>
          <w:rFonts w:ascii="Times New Roman" w:hAnsi="Times New Roman" w:cs="Times New Roman"/>
        </w:rPr>
        <w:t>.</w:t>
      </w:r>
      <w:r w:rsidR="00623D57" w:rsidRPr="00623D57">
        <w:rPr>
          <w:rFonts w:ascii="Times New Roman" w:hAnsi="Times New Roman" w:cs="Times New Roman"/>
          <w:color w:val="000000" w:themeColor="text1"/>
        </w:rPr>
        <w:t xml:space="preserve"> In contrast, the impact of extraversion on performance in more abstract and independent subjects like mathematics or computer science may be less pronounced</w:t>
      </w:r>
      <w:r w:rsidR="00A6141A" w:rsidRPr="00A6141A">
        <w:rPr>
          <w:rFonts w:ascii="Times New Roman" w:hAnsi="Times New Roman" w:cs="Times New Roman"/>
          <w:color w:val="000000" w:themeColor="text1"/>
        </w:rPr>
        <w:t xml:space="preserve"> due to rigidity and lack of personal creativity and autonomy (</w:t>
      </w:r>
      <w:r w:rsidR="00A6141A" w:rsidRPr="00A6141A">
        <w:rPr>
          <w:rFonts w:ascii="Times New Roman" w:hAnsi="Times New Roman" w:cs="Times New Roman"/>
        </w:rPr>
        <w:t>Solve Sæbø et al., 2015).</w:t>
      </w:r>
      <w:r w:rsidR="00E06DDF" w:rsidRPr="00A6141A">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Understanding these dynamics can provide valuable insights for educators and students alike, enabling the development of appropriate strategies to optimize learning outcomes based on individual personality traits.</w:t>
      </w:r>
    </w:p>
    <w:p w14:paraId="3A584AF4" w14:textId="077734B3" w:rsidR="00623D57" w:rsidRDefault="00623D57" w:rsidP="00E06DDF">
      <w:pPr>
        <w:pStyle w:val="NormalWeb"/>
        <w:spacing w:line="360" w:lineRule="auto"/>
        <w:jc w:val="both"/>
        <w:rPr>
          <w:color w:val="000000" w:themeColor="text1"/>
          <w:spacing w:val="1"/>
          <w:shd w:val="clear" w:color="auto" w:fill="FFFFFF"/>
        </w:rPr>
      </w:pPr>
      <w:r w:rsidRPr="00F639FF">
        <w:rPr>
          <w:color w:val="000000" w:themeColor="text1"/>
          <w:spacing w:val="1"/>
        </w:rPr>
        <w:t>In conclusion, trait theory provides valuable insights into the relationship between individual differences and academic performance. By adopting a trait-based perspective, academia can enhance its understanding of the multifaceted nature of academic performance, leading to more targeted interventions and improved educational outcomes for students.</w:t>
      </w:r>
      <w:r w:rsidRPr="004332E5">
        <w:rPr>
          <w:color w:val="000000" w:themeColor="text1"/>
          <w:spacing w:val="1"/>
        </w:rPr>
        <w:t xml:space="preserve"> </w:t>
      </w:r>
      <w:r w:rsidRPr="004332E5">
        <w:rPr>
          <w:color w:val="000000" w:themeColor="text1"/>
        </w:rPr>
        <w:t>The Big Five Personality Theory provides significant insights into understanding the impact of personality traits on academic performance. While conscientiousness exhibits the strongest positive relationship with academic achievement, other traits such as agreeableness, openness to experience, extraversion, and neuroticism also play a role, albeit with more mixed findings. Understanding these relationships allows for targeted interventions and educational strategies that can facilitate optimal academic outcomes and support students in their educational journey. Future research should aim to investigate additional factors that may mediate or moderate these relationships to provide a more comprehensive understanding of the influence of personality on academic performance.</w:t>
      </w:r>
      <w:r w:rsidRPr="004332E5">
        <w:rPr>
          <w:color w:val="000000" w:themeColor="text1"/>
          <w:spacing w:val="1"/>
        </w:rPr>
        <w:t xml:space="preserve"> </w:t>
      </w:r>
      <w:r w:rsidRPr="004332E5">
        <w:rPr>
          <w:color w:val="000000" w:themeColor="text1"/>
        </w:rPr>
        <w:t>While</w:t>
      </w:r>
      <w:r w:rsidRPr="00D31C71">
        <w:rPr>
          <w:color w:val="000000" w:themeColor="text1"/>
        </w:rPr>
        <w:t xml:space="preserve"> the Big Five personality theory has contributed significantly to our understanding of personality and its impact on academic performance, it is not without its limitations. The reliance on self-report measures, the limited focus on personality traits, and the potential cultural biases are important factors to consider when interpreting the findings. Nonetheless, empirical research has provided valuable insights into the relationship between personality traits and academic outcomes, highlighting the importance of certain traits such as conscientiousness and neuroticism. Future research should aim to address the limitations of the Big Five theory and explore other factors that may influence academic performance.</w:t>
      </w:r>
      <w:r w:rsidRPr="004332E5">
        <w:rPr>
          <w:color w:val="000000" w:themeColor="text1"/>
        </w:rPr>
        <w:t xml:space="preserve"> </w:t>
      </w:r>
      <w:r w:rsidRPr="004332E5">
        <w:rPr>
          <w:color w:val="000000" w:themeColor="text1"/>
          <w:spacing w:val="1"/>
        </w:rPr>
        <w:t>Recogni</w:t>
      </w:r>
      <w:r w:rsidR="00B34D17">
        <w:rPr>
          <w:color w:val="000000" w:themeColor="text1"/>
          <w:spacing w:val="1"/>
        </w:rPr>
        <w:t>s</w:t>
      </w:r>
      <w:r w:rsidRPr="004332E5">
        <w:rPr>
          <w:color w:val="000000" w:themeColor="text1"/>
          <w:spacing w:val="1"/>
        </w:rPr>
        <w:t>ing students' unique traits can help personali</w:t>
      </w:r>
      <w:r w:rsidR="00B34D17">
        <w:rPr>
          <w:color w:val="000000" w:themeColor="text1"/>
          <w:spacing w:val="1"/>
        </w:rPr>
        <w:t>s</w:t>
      </w:r>
      <w:r w:rsidRPr="004332E5">
        <w:rPr>
          <w:color w:val="000000" w:themeColor="text1"/>
          <w:spacing w:val="1"/>
        </w:rPr>
        <w:t xml:space="preserve">e learning experiences, ensuring </w:t>
      </w:r>
      <w:r w:rsidRPr="004332E5">
        <w:rPr>
          <w:color w:val="000000" w:themeColor="text1"/>
          <w:spacing w:val="1"/>
        </w:rPr>
        <w:lastRenderedPageBreak/>
        <w:t>optimal engagement and promoting academic success. It also highlights the importance of cultivating positive learning environments that promote emotional well-being, effective communication, and collaboration.</w:t>
      </w:r>
      <w:r w:rsidR="00E06DDF">
        <w:rPr>
          <w:color w:val="000000" w:themeColor="text1"/>
          <w:spacing w:val="1"/>
        </w:rPr>
        <w:t xml:space="preserve"> </w:t>
      </w:r>
      <w:r w:rsidRPr="004332E5">
        <w:rPr>
          <w:color w:val="000000" w:themeColor="text1"/>
          <w:spacing w:val="1"/>
          <w:shd w:val="clear" w:color="auto" w:fill="FFFFFF"/>
        </w:rPr>
        <w:t>Overall, the Big Five Theory provides valuable insights into the ways in which personality traits influence academic performanc</w:t>
      </w:r>
      <w:r w:rsidR="003F3440">
        <w:rPr>
          <w:color w:val="000000" w:themeColor="text1"/>
          <w:spacing w:val="1"/>
          <w:shd w:val="clear" w:color="auto" w:fill="FFFFFF"/>
        </w:rPr>
        <w:t>e</w:t>
      </w:r>
      <w:r w:rsidRPr="004332E5">
        <w:rPr>
          <w:color w:val="000000" w:themeColor="text1"/>
          <w:spacing w:val="1"/>
          <w:shd w:val="clear" w:color="auto" w:fill="FFFFFF"/>
        </w:rPr>
        <w:t xml:space="preserve">. Extraversion, conscientiousness, openness to experience, agreeableness, and neuroticism all play significant roles in shaping an individual's educational journey. </w:t>
      </w:r>
    </w:p>
    <w:p w14:paraId="00ABE2A4" w14:textId="77777777" w:rsidR="00361122" w:rsidRDefault="00361122" w:rsidP="00E06DDF">
      <w:pPr>
        <w:pStyle w:val="NormalWeb"/>
        <w:spacing w:line="360" w:lineRule="auto"/>
        <w:jc w:val="both"/>
        <w:rPr>
          <w:color w:val="000000" w:themeColor="text1"/>
          <w:spacing w:val="1"/>
          <w:shd w:val="clear" w:color="auto" w:fill="FFFFFF"/>
        </w:rPr>
      </w:pPr>
    </w:p>
    <w:p w14:paraId="0BA17FE0" w14:textId="4DB35DA9" w:rsidR="00361122" w:rsidRDefault="00361122">
      <w:pPr>
        <w:rPr>
          <w:rFonts w:ascii="Times New Roman" w:eastAsia="Times New Roman" w:hAnsi="Times New Roman" w:cs="Times New Roman"/>
          <w:color w:val="000000" w:themeColor="text1"/>
          <w:spacing w:val="1"/>
          <w:kern w:val="0"/>
          <w:shd w:val="clear" w:color="auto" w:fill="FFFFFF"/>
          <w:lang w:eastAsia="en-GB"/>
          <w14:ligatures w14:val="none"/>
        </w:rPr>
      </w:pPr>
      <w:r>
        <w:rPr>
          <w:color w:val="000000" w:themeColor="text1"/>
          <w:spacing w:val="1"/>
          <w:shd w:val="clear" w:color="auto" w:fill="FFFFFF"/>
        </w:rPr>
        <w:br w:type="page"/>
      </w:r>
    </w:p>
    <w:p w14:paraId="751CF974" w14:textId="7A8C9ACC" w:rsidR="00361122" w:rsidRPr="00361122" w:rsidRDefault="00361122" w:rsidP="00361122">
      <w:pPr>
        <w:pStyle w:val="NormalWeb"/>
        <w:spacing w:line="360" w:lineRule="auto"/>
        <w:jc w:val="center"/>
        <w:rPr>
          <w:b/>
          <w:bCs/>
          <w:color w:val="000000" w:themeColor="text1"/>
          <w:spacing w:val="1"/>
          <w:u w:val="single"/>
        </w:rPr>
      </w:pPr>
      <w:r w:rsidRPr="00361122">
        <w:rPr>
          <w:b/>
          <w:bCs/>
          <w:color w:val="000000" w:themeColor="text1"/>
          <w:spacing w:val="1"/>
          <w:u w:val="single"/>
        </w:rPr>
        <w:lastRenderedPageBreak/>
        <w:t>References</w:t>
      </w:r>
    </w:p>
    <w:p w14:paraId="72C6413B"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Anglim, J., Dunlop, P. D., Wee, S., Horwood, S., Wood, J. K., &amp; Marty, A. (2022). Personality and intelligence: A meta-analysis. </w:t>
      </w:r>
      <w:r w:rsidRPr="00A716D3">
        <w:rPr>
          <w:rFonts w:ascii="Times New Roman" w:hAnsi="Times New Roman" w:cs="Times New Roman"/>
          <w:i/>
          <w:iCs/>
        </w:rPr>
        <w:t>Psychological Bulletin</w:t>
      </w:r>
      <w:r w:rsidRPr="00A716D3">
        <w:rPr>
          <w:rFonts w:ascii="Times New Roman" w:hAnsi="Times New Roman" w:cs="Times New Roman"/>
        </w:rPr>
        <w:t>, </w:t>
      </w:r>
      <w:r w:rsidRPr="00A716D3">
        <w:rPr>
          <w:rFonts w:ascii="Times New Roman" w:hAnsi="Times New Roman" w:cs="Times New Roman"/>
          <w:i/>
          <w:iCs/>
        </w:rPr>
        <w:t>148</w:t>
      </w:r>
      <w:r w:rsidRPr="00A716D3">
        <w:rPr>
          <w:rFonts w:ascii="Times New Roman" w:hAnsi="Times New Roman" w:cs="Times New Roman"/>
        </w:rPr>
        <w:t xml:space="preserve">(5–6), 301–336. </w:t>
      </w:r>
      <w:hyperlink r:id="rId7" w:history="1">
        <w:r w:rsidRPr="00FE7FA9">
          <w:rPr>
            <w:rStyle w:val="Hyperlink"/>
            <w:rFonts w:ascii="Times New Roman" w:hAnsi="Times New Roman" w:cs="Times New Roman"/>
          </w:rPr>
          <w:t>https://doi.org/10.1037/bul0000373</w:t>
        </w:r>
      </w:hyperlink>
      <w:r>
        <w:rPr>
          <w:rFonts w:ascii="Times New Roman" w:hAnsi="Times New Roman" w:cs="Times New Roman"/>
        </w:rPr>
        <w:t xml:space="preserve"> </w:t>
      </w:r>
    </w:p>
    <w:p w14:paraId="3AC174DC"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Buckingham Shum, S., &amp; Crick, R. D. (2012, April). Learning dispositions and transferable competencies: pedagogy, modelling and learning analytics. In </w:t>
      </w:r>
      <w:r w:rsidRPr="001747F7">
        <w:rPr>
          <w:rFonts w:ascii="Times New Roman" w:hAnsi="Times New Roman" w:cs="Times New Roman"/>
          <w:i/>
          <w:iCs/>
        </w:rPr>
        <w:t>Proceedings of the 2nd international conference on learning analytics and knowledge</w:t>
      </w:r>
      <w:r w:rsidRPr="001747F7">
        <w:rPr>
          <w:rFonts w:ascii="Times New Roman" w:hAnsi="Times New Roman" w:cs="Times New Roman"/>
        </w:rPr>
        <w:t> (pp. 92-101).</w:t>
      </w:r>
    </w:p>
    <w:p w14:paraId="2AAD0280"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Chen, S. X., Lam, B. C. P., Buchtel, E. E., &amp; Bond, M. H. (2014). The Conscientiousness Paradox: Cultural Mindset Shapes Competence Perception. </w:t>
      </w:r>
      <w:r w:rsidRPr="00993EB8">
        <w:rPr>
          <w:rFonts w:ascii="Times New Roman" w:hAnsi="Times New Roman" w:cs="Times New Roman"/>
          <w:i/>
          <w:iCs/>
        </w:rPr>
        <w:t>European Journal of Personality</w:t>
      </w:r>
      <w:r w:rsidRPr="00993EB8">
        <w:rPr>
          <w:rFonts w:ascii="Times New Roman" w:hAnsi="Times New Roman" w:cs="Times New Roman"/>
        </w:rPr>
        <w:t>, </w:t>
      </w:r>
      <w:r w:rsidRPr="00993EB8">
        <w:rPr>
          <w:rFonts w:ascii="Times New Roman" w:hAnsi="Times New Roman" w:cs="Times New Roman"/>
          <w:i/>
          <w:iCs/>
        </w:rPr>
        <w:t>28</w:t>
      </w:r>
      <w:r w:rsidRPr="00993EB8">
        <w:rPr>
          <w:rFonts w:ascii="Times New Roman" w:hAnsi="Times New Roman" w:cs="Times New Roman"/>
        </w:rPr>
        <w:t xml:space="preserve">(5), 425–436. </w:t>
      </w:r>
      <w:hyperlink r:id="rId8" w:history="1">
        <w:r w:rsidRPr="00FE7FA9">
          <w:rPr>
            <w:rStyle w:val="Hyperlink"/>
            <w:rFonts w:ascii="Times New Roman" w:hAnsi="Times New Roman" w:cs="Times New Roman"/>
          </w:rPr>
          <w:t>https://doi.org/10.1002/per.1923</w:t>
        </w:r>
      </w:hyperlink>
    </w:p>
    <w:p w14:paraId="4A45B587"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Ciorbea, I., &amp; Pasarica, F. (2013). The Study of the Relationship between Personality and Academic Performance. </w:t>
      </w:r>
      <w:r w:rsidRPr="001747F7">
        <w:rPr>
          <w:rFonts w:ascii="Times New Roman" w:hAnsi="Times New Roman" w:cs="Times New Roman"/>
          <w:i/>
          <w:iCs/>
        </w:rPr>
        <w:t>Procedia, Social and Behavioral Sciences</w:t>
      </w:r>
      <w:r w:rsidRPr="001747F7">
        <w:rPr>
          <w:rFonts w:ascii="Times New Roman" w:hAnsi="Times New Roman" w:cs="Times New Roman"/>
        </w:rPr>
        <w:t>, </w:t>
      </w:r>
      <w:r w:rsidRPr="001747F7">
        <w:rPr>
          <w:rFonts w:ascii="Times New Roman" w:hAnsi="Times New Roman" w:cs="Times New Roman"/>
          <w:i/>
          <w:iCs/>
        </w:rPr>
        <w:t>78</w:t>
      </w:r>
      <w:r w:rsidRPr="001747F7">
        <w:rPr>
          <w:rFonts w:ascii="Times New Roman" w:hAnsi="Times New Roman" w:cs="Times New Roman"/>
        </w:rPr>
        <w:t xml:space="preserve">, 400–404. </w:t>
      </w:r>
      <w:hyperlink r:id="rId9" w:history="1">
        <w:r w:rsidRPr="00D23535">
          <w:rPr>
            <w:rStyle w:val="Hyperlink"/>
            <w:rFonts w:ascii="Times New Roman" w:hAnsi="Times New Roman" w:cs="Times New Roman"/>
          </w:rPr>
          <w:t>https://doi.org/10.1016/j.sbspro.2013.04.319</w:t>
        </w:r>
      </w:hyperlink>
      <w:r>
        <w:rPr>
          <w:rFonts w:ascii="Times New Roman" w:hAnsi="Times New Roman" w:cs="Times New Roman"/>
        </w:rPr>
        <w:t xml:space="preserve"> </w:t>
      </w:r>
    </w:p>
    <w:p w14:paraId="6F51CB64"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Conrad, N., &amp; Patry, M. (2012). Conscientiousness and Academic Performance: A Mediational Analysis. </w:t>
      </w:r>
      <w:r w:rsidRPr="00993EB8">
        <w:rPr>
          <w:rFonts w:ascii="Times New Roman" w:hAnsi="Times New Roman" w:cs="Times New Roman"/>
          <w:i/>
          <w:iCs/>
        </w:rPr>
        <w:t>International Journal for the Scholarship of Teaching and Learning</w:t>
      </w:r>
      <w:r w:rsidRPr="00993EB8">
        <w:rPr>
          <w:rFonts w:ascii="Times New Roman" w:hAnsi="Times New Roman" w:cs="Times New Roman"/>
        </w:rPr>
        <w:t>, </w:t>
      </w:r>
      <w:r w:rsidRPr="00993EB8">
        <w:rPr>
          <w:rFonts w:ascii="Times New Roman" w:hAnsi="Times New Roman" w:cs="Times New Roman"/>
          <w:i/>
          <w:iCs/>
        </w:rPr>
        <w:t>6</w:t>
      </w:r>
      <w:r w:rsidRPr="00993EB8">
        <w:rPr>
          <w:rFonts w:ascii="Times New Roman" w:hAnsi="Times New Roman" w:cs="Times New Roman"/>
        </w:rPr>
        <w:t xml:space="preserve">(1). </w:t>
      </w:r>
      <w:hyperlink r:id="rId10" w:history="1">
        <w:r w:rsidRPr="00FE7FA9">
          <w:rPr>
            <w:rStyle w:val="Hyperlink"/>
            <w:rFonts w:ascii="Times New Roman" w:hAnsi="Times New Roman" w:cs="Times New Roman"/>
          </w:rPr>
          <w:t>https://doi.org/10.20429/ijsotl.2012.060108</w:t>
        </w:r>
      </w:hyperlink>
      <w:r>
        <w:rPr>
          <w:rFonts w:ascii="Times New Roman" w:hAnsi="Times New Roman" w:cs="Times New Roman"/>
        </w:rPr>
        <w:t xml:space="preserve"> </w:t>
      </w:r>
    </w:p>
    <w:p w14:paraId="2FF4A2E1"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Coyle-Eastwick, S., Rueger, S. Y., Chen, Z. J., Case, S. P., Chen, P., &amp; Eveleigh, E. (2023). Support from Mothers and Fathers on Academic Functioning: More Similarities than Differences Across Socioeconomic Groups. </w:t>
      </w:r>
      <w:r w:rsidRPr="00993EB8">
        <w:rPr>
          <w:rFonts w:ascii="Times New Roman" w:hAnsi="Times New Roman" w:cs="Times New Roman"/>
          <w:i/>
          <w:iCs/>
        </w:rPr>
        <w:t>Journal of Child and Family Studies</w:t>
      </w:r>
      <w:r w:rsidRPr="00993EB8">
        <w:rPr>
          <w:rFonts w:ascii="Times New Roman" w:hAnsi="Times New Roman" w:cs="Times New Roman"/>
        </w:rPr>
        <w:t>, </w:t>
      </w:r>
      <w:r w:rsidRPr="00993EB8">
        <w:rPr>
          <w:rFonts w:ascii="Times New Roman" w:hAnsi="Times New Roman" w:cs="Times New Roman"/>
          <w:i/>
          <w:iCs/>
        </w:rPr>
        <w:t>32</w:t>
      </w:r>
      <w:r w:rsidRPr="00993EB8">
        <w:rPr>
          <w:rFonts w:ascii="Times New Roman" w:hAnsi="Times New Roman" w:cs="Times New Roman"/>
        </w:rPr>
        <w:t xml:space="preserve">(7), 1946–1961. </w:t>
      </w:r>
      <w:hyperlink r:id="rId11" w:history="1">
        <w:r w:rsidRPr="00FE7FA9">
          <w:rPr>
            <w:rStyle w:val="Hyperlink"/>
            <w:rFonts w:ascii="Times New Roman" w:hAnsi="Times New Roman" w:cs="Times New Roman"/>
          </w:rPr>
          <w:t>https://doi.org/10.1007/s10826-023-02590-4</w:t>
        </w:r>
      </w:hyperlink>
    </w:p>
    <w:p w14:paraId="57196CA0"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Davies, D., Jindal-Snape, D., Collier, C., Digby, R., Hay, P., &amp; Howe, A. (2013). Creative learning environments in education—A systematic literature review. </w:t>
      </w:r>
      <w:r w:rsidRPr="001747F7">
        <w:rPr>
          <w:rFonts w:ascii="Times New Roman" w:hAnsi="Times New Roman" w:cs="Times New Roman"/>
          <w:i/>
          <w:iCs/>
        </w:rPr>
        <w:t>Thinking Skills and Creativity</w:t>
      </w:r>
      <w:r w:rsidRPr="001747F7">
        <w:rPr>
          <w:rFonts w:ascii="Times New Roman" w:hAnsi="Times New Roman" w:cs="Times New Roman"/>
        </w:rPr>
        <w:t>, </w:t>
      </w:r>
      <w:r w:rsidRPr="001747F7">
        <w:rPr>
          <w:rFonts w:ascii="Times New Roman" w:hAnsi="Times New Roman" w:cs="Times New Roman"/>
          <w:i/>
          <w:iCs/>
        </w:rPr>
        <w:t>8</w:t>
      </w:r>
      <w:r w:rsidRPr="001747F7">
        <w:rPr>
          <w:rFonts w:ascii="Times New Roman" w:hAnsi="Times New Roman" w:cs="Times New Roman"/>
        </w:rPr>
        <w:t xml:space="preserve">, 80–91. </w:t>
      </w:r>
      <w:hyperlink r:id="rId12" w:history="1">
        <w:r w:rsidRPr="00D23535">
          <w:rPr>
            <w:rStyle w:val="Hyperlink"/>
            <w:rFonts w:ascii="Times New Roman" w:hAnsi="Times New Roman" w:cs="Times New Roman"/>
          </w:rPr>
          <w:t>https://doi.org/10.1016/j.tsc.2012.07.004</w:t>
        </w:r>
      </w:hyperlink>
      <w:r>
        <w:rPr>
          <w:rFonts w:ascii="Times New Roman" w:hAnsi="Times New Roman" w:cs="Times New Roman"/>
        </w:rPr>
        <w:t xml:space="preserve"> </w:t>
      </w:r>
    </w:p>
    <w:p w14:paraId="05691CA1"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Dumfart, B., &amp; Neubauer, A. C. (2016). Conscientiousness Is the Most Powerful Noncognitive Predictor of School Achievement in Adolescents. </w:t>
      </w:r>
      <w:r w:rsidRPr="00993EB8">
        <w:rPr>
          <w:rFonts w:ascii="Times New Roman" w:hAnsi="Times New Roman" w:cs="Times New Roman"/>
          <w:i/>
          <w:iCs/>
        </w:rPr>
        <w:t>Journal of Individual Differences</w:t>
      </w:r>
      <w:r w:rsidRPr="00993EB8">
        <w:rPr>
          <w:rFonts w:ascii="Times New Roman" w:hAnsi="Times New Roman" w:cs="Times New Roman"/>
        </w:rPr>
        <w:t>, </w:t>
      </w:r>
      <w:r w:rsidRPr="00993EB8">
        <w:rPr>
          <w:rFonts w:ascii="Times New Roman" w:hAnsi="Times New Roman" w:cs="Times New Roman"/>
          <w:i/>
          <w:iCs/>
        </w:rPr>
        <w:t>37</w:t>
      </w:r>
      <w:r w:rsidRPr="00993EB8">
        <w:rPr>
          <w:rFonts w:ascii="Times New Roman" w:hAnsi="Times New Roman" w:cs="Times New Roman"/>
        </w:rPr>
        <w:t xml:space="preserve">(1), 8–15. </w:t>
      </w:r>
      <w:hyperlink r:id="rId13" w:history="1">
        <w:r w:rsidRPr="00FE7FA9">
          <w:rPr>
            <w:rStyle w:val="Hyperlink"/>
            <w:rFonts w:ascii="Times New Roman" w:hAnsi="Times New Roman" w:cs="Times New Roman"/>
          </w:rPr>
          <w:t>https://doi.org/10.1027/1614-0001/a000182</w:t>
        </w:r>
      </w:hyperlink>
    </w:p>
    <w:p w14:paraId="2C7C128C"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Feher, A., &amp; Vernon, P. A. (2021). Looking beyond the Big Five: A selective review of alternatives to the Big Five model of personality. </w:t>
      </w:r>
      <w:r w:rsidRPr="00A26341">
        <w:rPr>
          <w:rFonts w:ascii="Times New Roman" w:hAnsi="Times New Roman" w:cs="Times New Roman"/>
          <w:i/>
          <w:iCs/>
        </w:rPr>
        <w:t>Personality and Individual Differences</w:t>
      </w:r>
      <w:r w:rsidRPr="00A26341">
        <w:rPr>
          <w:rFonts w:ascii="Times New Roman" w:hAnsi="Times New Roman" w:cs="Times New Roman"/>
        </w:rPr>
        <w:t>, </w:t>
      </w:r>
      <w:r w:rsidRPr="00A26341">
        <w:rPr>
          <w:rFonts w:ascii="Times New Roman" w:hAnsi="Times New Roman" w:cs="Times New Roman"/>
          <w:i/>
          <w:iCs/>
        </w:rPr>
        <w:t>169</w:t>
      </w:r>
      <w:r w:rsidRPr="00A26341">
        <w:rPr>
          <w:rFonts w:ascii="Times New Roman" w:hAnsi="Times New Roman" w:cs="Times New Roman"/>
        </w:rPr>
        <w:t>, 110002.</w:t>
      </w:r>
    </w:p>
    <w:p w14:paraId="2EE05855"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Furnham, A., Nuygards, S., &amp; Chamorro-Premuzic, T. (2013). Personality, assessment methods and academic performance. </w:t>
      </w:r>
      <w:r w:rsidRPr="00993EB8">
        <w:rPr>
          <w:rFonts w:ascii="Times New Roman" w:hAnsi="Times New Roman" w:cs="Times New Roman"/>
          <w:i/>
          <w:iCs/>
        </w:rPr>
        <w:t>Instructional Science</w:t>
      </w:r>
      <w:r w:rsidRPr="00993EB8">
        <w:rPr>
          <w:rFonts w:ascii="Times New Roman" w:hAnsi="Times New Roman" w:cs="Times New Roman"/>
        </w:rPr>
        <w:t>, </w:t>
      </w:r>
      <w:r w:rsidRPr="00993EB8">
        <w:rPr>
          <w:rFonts w:ascii="Times New Roman" w:hAnsi="Times New Roman" w:cs="Times New Roman"/>
          <w:i/>
          <w:iCs/>
        </w:rPr>
        <w:t>41</w:t>
      </w:r>
      <w:r w:rsidRPr="00993EB8">
        <w:rPr>
          <w:rFonts w:ascii="Times New Roman" w:hAnsi="Times New Roman" w:cs="Times New Roman"/>
        </w:rPr>
        <w:t xml:space="preserve">(5), 975–987. </w:t>
      </w:r>
      <w:hyperlink r:id="rId14" w:history="1">
        <w:r w:rsidRPr="00FE7FA9">
          <w:rPr>
            <w:rStyle w:val="Hyperlink"/>
            <w:rFonts w:ascii="Times New Roman" w:hAnsi="Times New Roman" w:cs="Times New Roman"/>
          </w:rPr>
          <w:t>https://doi.org/10.1007/s11251-012-9259-9</w:t>
        </w:r>
      </w:hyperlink>
      <w:r>
        <w:rPr>
          <w:rFonts w:ascii="Times New Roman" w:hAnsi="Times New Roman" w:cs="Times New Roman"/>
        </w:rPr>
        <w:t xml:space="preserve"> </w:t>
      </w:r>
    </w:p>
    <w:p w14:paraId="6FA975B0"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lastRenderedPageBreak/>
        <w:t>Gatzka, T., &amp; Hell, B. (2018). Openness and Postsecondary Academic Performance: A Meta-Analysis of Facet-, Aspect-, and Dimension-Level Correlations. </w:t>
      </w:r>
      <w:r w:rsidRPr="00A716D3">
        <w:rPr>
          <w:rFonts w:ascii="Times New Roman" w:hAnsi="Times New Roman" w:cs="Times New Roman"/>
          <w:i/>
          <w:iCs/>
        </w:rPr>
        <w:t>Journal of Educational Psychology</w:t>
      </w:r>
      <w:r w:rsidRPr="00A716D3">
        <w:rPr>
          <w:rFonts w:ascii="Times New Roman" w:hAnsi="Times New Roman" w:cs="Times New Roman"/>
        </w:rPr>
        <w:t>, </w:t>
      </w:r>
      <w:r w:rsidRPr="00A716D3">
        <w:rPr>
          <w:rFonts w:ascii="Times New Roman" w:hAnsi="Times New Roman" w:cs="Times New Roman"/>
          <w:i/>
          <w:iCs/>
        </w:rPr>
        <w:t>110</w:t>
      </w:r>
      <w:r w:rsidRPr="00A716D3">
        <w:rPr>
          <w:rFonts w:ascii="Times New Roman" w:hAnsi="Times New Roman" w:cs="Times New Roman"/>
        </w:rPr>
        <w:t xml:space="preserve">(3), 355–377. </w:t>
      </w:r>
      <w:hyperlink r:id="rId15" w:history="1">
        <w:r w:rsidRPr="00FE7FA9">
          <w:rPr>
            <w:rStyle w:val="Hyperlink"/>
            <w:rFonts w:ascii="Times New Roman" w:hAnsi="Times New Roman" w:cs="Times New Roman"/>
          </w:rPr>
          <w:t>https://doi.org/10.1037/edu0000194</w:t>
        </w:r>
      </w:hyperlink>
    </w:p>
    <w:p w14:paraId="5314E5B6"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Gawronski, B., &amp; De Houwer, J. (2014). Implicit measures in social and personality psychology. </w:t>
      </w:r>
      <w:r w:rsidRPr="00993EB8">
        <w:rPr>
          <w:rFonts w:ascii="Times New Roman" w:hAnsi="Times New Roman" w:cs="Times New Roman"/>
          <w:i/>
          <w:iCs/>
        </w:rPr>
        <w:t>Handbook of research methods in social and personality psychology</w:t>
      </w:r>
      <w:r w:rsidRPr="00993EB8">
        <w:rPr>
          <w:rFonts w:ascii="Times New Roman" w:hAnsi="Times New Roman" w:cs="Times New Roman"/>
        </w:rPr>
        <w:t>, </w:t>
      </w:r>
      <w:r w:rsidRPr="00993EB8">
        <w:rPr>
          <w:rFonts w:ascii="Times New Roman" w:hAnsi="Times New Roman" w:cs="Times New Roman"/>
          <w:i/>
          <w:iCs/>
        </w:rPr>
        <w:t>2</w:t>
      </w:r>
      <w:r w:rsidRPr="00993EB8">
        <w:rPr>
          <w:rFonts w:ascii="Times New Roman" w:hAnsi="Times New Roman" w:cs="Times New Roman"/>
        </w:rPr>
        <w:t>, 283-310.</w:t>
      </w:r>
    </w:p>
    <w:p w14:paraId="63BD4BDC"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Gomez, R., &amp; Corr, P. J. (2014). ADHD and personality: A meta-analytic review. </w:t>
      </w:r>
      <w:r w:rsidRPr="00993EB8">
        <w:rPr>
          <w:rFonts w:ascii="Times New Roman" w:hAnsi="Times New Roman" w:cs="Times New Roman"/>
          <w:i/>
          <w:iCs/>
        </w:rPr>
        <w:t>Clinical Psychology Review</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xml:space="preserve">(5), 376–388. </w:t>
      </w:r>
      <w:hyperlink r:id="rId16" w:history="1">
        <w:r w:rsidRPr="00FE7FA9">
          <w:rPr>
            <w:rStyle w:val="Hyperlink"/>
            <w:rFonts w:ascii="Times New Roman" w:hAnsi="Times New Roman" w:cs="Times New Roman"/>
          </w:rPr>
          <w:t>https://doi.org/10.1016/j.cpr.2014.05.002</w:t>
        </w:r>
      </w:hyperlink>
      <w:r>
        <w:rPr>
          <w:rFonts w:ascii="Times New Roman" w:hAnsi="Times New Roman" w:cs="Times New Roman"/>
        </w:rPr>
        <w:t xml:space="preserve"> </w:t>
      </w:r>
    </w:p>
    <w:p w14:paraId="70142178" w14:textId="77777777" w:rsidR="00361122" w:rsidRDefault="00361122" w:rsidP="00361122">
      <w:pPr>
        <w:spacing w:line="360" w:lineRule="auto"/>
        <w:ind w:left="720" w:hanging="720"/>
        <w:rPr>
          <w:rFonts w:ascii="Times New Roman" w:hAnsi="Times New Roman" w:cs="Times New Roman"/>
          <w:color w:val="3A3A3A"/>
          <w:shd w:val="clear" w:color="auto" w:fill="FFFFFF"/>
        </w:rPr>
      </w:pPr>
      <w:r w:rsidRPr="00A26341">
        <w:rPr>
          <w:rFonts w:ascii="Times New Roman" w:hAnsi="Times New Roman" w:cs="Times New Roman"/>
          <w:color w:val="3A3A3A"/>
          <w:shd w:val="clear" w:color="auto" w:fill="FFFFFF"/>
        </w:rPr>
        <w:t>Gross, R. D. (2020). </w:t>
      </w:r>
      <w:r w:rsidRPr="00A26341">
        <w:rPr>
          <w:rFonts w:ascii="Times New Roman" w:hAnsi="Times New Roman" w:cs="Times New Roman"/>
          <w:i/>
          <w:iCs/>
          <w:color w:val="3A3A3A"/>
          <w:shd w:val="clear" w:color="auto" w:fill="FFFFFF"/>
        </w:rPr>
        <w:t>Psychology : the science of mind and behaviour</w:t>
      </w:r>
      <w:r w:rsidRPr="00A26341">
        <w:rPr>
          <w:rFonts w:ascii="Times New Roman" w:hAnsi="Times New Roman" w:cs="Times New Roman"/>
          <w:color w:val="3A3A3A"/>
          <w:shd w:val="clear" w:color="auto" w:fill="FFFFFF"/>
        </w:rPr>
        <w:t> (Eighth edition.). Hodder Education.</w:t>
      </w:r>
    </w:p>
    <w:p w14:paraId="4F54DDAC"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Hazrati-Viari, A., Rad, A. T., &amp; Torabi, S. S. (2012). The effect of personality traits on academic performance: The mediating role of academic motivation. </w:t>
      </w:r>
      <w:r w:rsidRPr="00A716D3">
        <w:rPr>
          <w:rFonts w:ascii="Times New Roman" w:hAnsi="Times New Roman" w:cs="Times New Roman"/>
          <w:i/>
          <w:iCs/>
        </w:rPr>
        <w:t>Procedia, Social and Behavioral Sciences</w:t>
      </w:r>
      <w:r w:rsidRPr="00A716D3">
        <w:rPr>
          <w:rFonts w:ascii="Times New Roman" w:hAnsi="Times New Roman" w:cs="Times New Roman"/>
        </w:rPr>
        <w:t>, </w:t>
      </w:r>
      <w:r w:rsidRPr="00A716D3">
        <w:rPr>
          <w:rFonts w:ascii="Times New Roman" w:hAnsi="Times New Roman" w:cs="Times New Roman"/>
          <w:i/>
          <w:iCs/>
        </w:rPr>
        <w:t>32</w:t>
      </w:r>
      <w:r w:rsidRPr="00A716D3">
        <w:rPr>
          <w:rFonts w:ascii="Times New Roman" w:hAnsi="Times New Roman" w:cs="Times New Roman"/>
        </w:rPr>
        <w:t xml:space="preserve">, 367–371. </w:t>
      </w:r>
      <w:hyperlink r:id="rId17" w:history="1">
        <w:r w:rsidRPr="00FE7FA9">
          <w:rPr>
            <w:rStyle w:val="Hyperlink"/>
            <w:rFonts w:ascii="Times New Roman" w:hAnsi="Times New Roman" w:cs="Times New Roman"/>
          </w:rPr>
          <w:t>https://doi.org/10.1016/j.sbspro.2012.01.055</w:t>
        </w:r>
      </w:hyperlink>
      <w:r>
        <w:rPr>
          <w:rFonts w:ascii="Times New Roman" w:hAnsi="Times New Roman" w:cs="Times New Roman"/>
        </w:rPr>
        <w:t xml:space="preserve"> </w:t>
      </w:r>
    </w:p>
    <w:p w14:paraId="05C8EAAD"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Hewstone, M., Fincham, F. D., &amp; Foster, J. (2005). </w:t>
      </w:r>
      <w:r w:rsidRPr="00993EB8">
        <w:rPr>
          <w:rFonts w:ascii="Times New Roman" w:hAnsi="Times New Roman" w:cs="Times New Roman"/>
          <w:i/>
          <w:iCs/>
        </w:rPr>
        <w:t>Psychology</w:t>
      </w:r>
      <w:r w:rsidRPr="00993EB8">
        <w:rPr>
          <w:rFonts w:ascii="Times New Roman" w:hAnsi="Times New Roman" w:cs="Times New Roman"/>
        </w:rPr>
        <w:t>. London, England: Blackwell.</w:t>
      </w:r>
    </w:p>
    <w:p w14:paraId="07DFA480"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Hsiao, K.-L., Shu, Y., &amp; Huang, T.-C. (2017). Exploring the effect of compulsive social app usage on technostress and academic performance: Perspectives from personality traits. </w:t>
      </w:r>
      <w:r w:rsidRPr="00993EB8">
        <w:rPr>
          <w:rFonts w:ascii="Times New Roman" w:hAnsi="Times New Roman" w:cs="Times New Roman"/>
          <w:i/>
          <w:iCs/>
        </w:rPr>
        <w:t>Telematics and Informatics</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xml:space="preserve">(2), 679–690. </w:t>
      </w:r>
      <w:hyperlink r:id="rId18" w:history="1">
        <w:r w:rsidRPr="00FE7FA9">
          <w:rPr>
            <w:rStyle w:val="Hyperlink"/>
            <w:rFonts w:ascii="Times New Roman" w:hAnsi="Times New Roman" w:cs="Times New Roman"/>
          </w:rPr>
          <w:t>https://doi.org/10.1016/j.tele.2016.11.001</w:t>
        </w:r>
      </w:hyperlink>
    </w:p>
    <w:p w14:paraId="29B67813"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Imhof, M., &amp; Spaeth-Hilbert, T. (2013). The role of motivation, cognition, and conscientiousness for academic achievement. </w:t>
      </w:r>
      <w:r w:rsidRPr="00A26341">
        <w:rPr>
          <w:rFonts w:ascii="Times New Roman" w:hAnsi="Times New Roman" w:cs="Times New Roman"/>
          <w:i/>
          <w:iCs/>
        </w:rPr>
        <w:t>International Journal of Higher Education</w:t>
      </w:r>
      <w:r w:rsidRPr="00A26341">
        <w:rPr>
          <w:rFonts w:ascii="Times New Roman" w:hAnsi="Times New Roman" w:cs="Times New Roman"/>
        </w:rPr>
        <w:t>, </w:t>
      </w:r>
      <w:r w:rsidRPr="00A26341">
        <w:rPr>
          <w:rFonts w:ascii="Times New Roman" w:hAnsi="Times New Roman" w:cs="Times New Roman"/>
          <w:i/>
          <w:iCs/>
        </w:rPr>
        <w:t>2</w:t>
      </w:r>
      <w:r w:rsidRPr="00A26341">
        <w:rPr>
          <w:rFonts w:ascii="Times New Roman" w:hAnsi="Times New Roman" w:cs="Times New Roman"/>
        </w:rPr>
        <w:t>(3), 69-80</w:t>
      </w:r>
    </w:p>
    <w:p w14:paraId="582945DF"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Jensen, M. (2015). Personality traits, learning and academic achievements. </w:t>
      </w:r>
      <w:r w:rsidRPr="00A26341">
        <w:rPr>
          <w:rFonts w:ascii="Times New Roman" w:hAnsi="Times New Roman" w:cs="Times New Roman"/>
          <w:i/>
          <w:iCs/>
        </w:rPr>
        <w:t>Journal of Education and Learning</w:t>
      </w:r>
      <w:r w:rsidRPr="00A26341">
        <w:rPr>
          <w:rFonts w:ascii="Times New Roman" w:hAnsi="Times New Roman" w:cs="Times New Roman"/>
        </w:rPr>
        <w:t>, </w:t>
      </w:r>
      <w:r w:rsidRPr="00A26341">
        <w:rPr>
          <w:rFonts w:ascii="Times New Roman" w:hAnsi="Times New Roman" w:cs="Times New Roman"/>
          <w:i/>
          <w:iCs/>
        </w:rPr>
        <w:t>4</w:t>
      </w:r>
      <w:r w:rsidRPr="00A26341">
        <w:rPr>
          <w:rFonts w:ascii="Times New Roman" w:hAnsi="Times New Roman" w:cs="Times New Roman"/>
        </w:rPr>
        <w:t>(4), 91-118.</w:t>
      </w:r>
    </w:p>
    <w:p w14:paraId="426A551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Kaiser, T. (2017). Socioeconomic status, parenting and conscientiousness: the unequal development of children's focus. </w:t>
      </w:r>
      <w:r w:rsidRPr="00993EB8">
        <w:rPr>
          <w:rFonts w:ascii="Times New Roman" w:hAnsi="Times New Roman" w:cs="Times New Roman"/>
          <w:i/>
          <w:iCs/>
        </w:rPr>
        <w:t>Journal of Family Studies</w:t>
      </w:r>
      <w:r w:rsidRPr="00993EB8">
        <w:rPr>
          <w:rFonts w:ascii="Times New Roman" w:hAnsi="Times New Roman" w:cs="Times New Roman"/>
        </w:rPr>
        <w:t>, </w:t>
      </w:r>
      <w:r w:rsidRPr="00993EB8">
        <w:rPr>
          <w:rFonts w:ascii="Times New Roman" w:hAnsi="Times New Roman" w:cs="Times New Roman"/>
          <w:i/>
          <w:iCs/>
        </w:rPr>
        <w:t>23</w:t>
      </w:r>
      <w:r w:rsidRPr="00993EB8">
        <w:rPr>
          <w:rFonts w:ascii="Times New Roman" w:hAnsi="Times New Roman" w:cs="Times New Roman"/>
        </w:rPr>
        <w:t>(1), 62-85.</w:t>
      </w:r>
    </w:p>
    <w:p w14:paraId="044F9F2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Kappe, R., &amp; Van Der Flier, H. (2012). Predicting academic success in higher education: what’s more important than being smart?. </w:t>
      </w:r>
      <w:r w:rsidRPr="00993EB8">
        <w:rPr>
          <w:rFonts w:ascii="Times New Roman" w:hAnsi="Times New Roman" w:cs="Times New Roman"/>
          <w:i/>
          <w:iCs/>
        </w:rPr>
        <w:t>European Journal of Psychology of Education</w:t>
      </w:r>
      <w:r w:rsidRPr="00993EB8">
        <w:rPr>
          <w:rFonts w:ascii="Times New Roman" w:hAnsi="Times New Roman" w:cs="Times New Roman"/>
        </w:rPr>
        <w:t>, </w:t>
      </w:r>
      <w:r w:rsidRPr="00993EB8">
        <w:rPr>
          <w:rFonts w:ascii="Times New Roman" w:hAnsi="Times New Roman" w:cs="Times New Roman"/>
          <w:i/>
          <w:iCs/>
        </w:rPr>
        <w:t>27</w:t>
      </w:r>
      <w:r w:rsidRPr="00993EB8">
        <w:rPr>
          <w:rFonts w:ascii="Times New Roman" w:hAnsi="Times New Roman" w:cs="Times New Roman"/>
        </w:rPr>
        <w:t>, 605-619.</w:t>
      </w:r>
    </w:p>
    <w:p w14:paraId="7D99C421"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Kaufman, J. C., Pumaccahua, T. T., &amp; Holt, R. E. (2013). Personality and creativity in realistic, investigative, artistic, social, and enterprising college majors. </w:t>
      </w:r>
      <w:r w:rsidRPr="00A4478B">
        <w:rPr>
          <w:rFonts w:ascii="Times New Roman" w:hAnsi="Times New Roman" w:cs="Times New Roman"/>
          <w:i/>
          <w:iCs/>
        </w:rPr>
        <w:t>Personality and Individual Differences</w:t>
      </w:r>
      <w:r w:rsidRPr="00A4478B">
        <w:rPr>
          <w:rFonts w:ascii="Times New Roman" w:hAnsi="Times New Roman" w:cs="Times New Roman"/>
        </w:rPr>
        <w:t>, </w:t>
      </w:r>
      <w:r w:rsidRPr="00A4478B">
        <w:rPr>
          <w:rFonts w:ascii="Times New Roman" w:hAnsi="Times New Roman" w:cs="Times New Roman"/>
          <w:i/>
          <w:iCs/>
        </w:rPr>
        <w:t>54</w:t>
      </w:r>
      <w:r w:rsidRPr="00A4478B">
        <w:rPr>
          <w:rFonts w:ascii="Times New Roman" w:hAnsi="Times New Roman" w:cs="Times New Roman"/>
        </w:rPr>
        <w:t>(8), 913–917.</w:t>
      </w:r>
      <w:hyperlink r:id="rId19" w:history="1">
        <w:r w:rsidRPr="00D23535">
          <w:rPr>
            <w:rStyle w:val="Hyperlink"/>
            <w:rFonts w:ascii="Times New Roman" w:hAnsi="Times New Roman" w:cs="Times New Roman"/>
          </w:rPr>
          <w:t>https://doi.org/10.1016/j.paid.2013.01.013</w:t>
        </w:r>
      </w:hyperlink>
      <w:r>
        <w:rPr>
          <w:rFonts w:ascii="Times New Roman" w:hAnsi="Times New Roman" w:cs="Times New Roman"/>
        </w:rPr>
        <w:t xml:space="preserve"> </w:t>
      </w:r>
    </w:p>
    <w:p w14:paraId="0F0616D5"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 xml:space="preserve">Kaufman, S. B., Quilty, L. C., Grazioplene, R. G., Hirsh, J. B., Gray, J. R., Peterson, J. B., &amp; DeYoung, C. G. (2016). Openness to Experience and Intellect Differentially Predict </w:t>
      </w:r>
      <w:r w:rsidRPr="00A716D3">
        <w:rPr>
          <w:rFonts w:ascii="Times New Roman" w:hAnsi="Times New Roman" w:cs="Times New Roman"/>
        </w:rPr>
        <w:lastRenderedPageBreak/>
        <w:t>Creative Achievement in the Arts and Sciences. </w:t>
      </w:r>
      <w:r w:rsidRPr="00A716D3">
        <w:rPr>
          <w:rFonts w:ascii="Times New Roman" w:hAnsi="Times New Roman" w:cs="Times New Roman"/>
          <w:i/>
          <w:iCs/>
        </w:rPr>
        <w:t>Journal of Personality</w:t>
      </w:r>
      <w:r w:rsidRPr="00A716D3">
        <w:rPr>
          <w:rFonts w:ascii="Times New Roman" w:hAnsi="Times New Roman" w:cs="Times New Roman"/>
        </w:rPr>
        <w:t>, </w:t>
      </w:r>
      <w:r w:rsidRPr="00A716D3">
        <w:rPr>
          <w:rFonts w:ascii="Times New Roman" w:hAnsi="Times New Roman" w:cs="Times New Roman"/>
          <w:i/>
          <w:iCs/>
        </w:rPr>
        <w:t>84</w:t>
      </w:r>
      <w:r w:rsidRPr="00A716D3">
        <w:rPr>
          <w:rFonts w:ascii="Times New Roman" w:hAnsi="Times New Roman" w:cs="Times New Roman"/>
        </w:rPr>
        <w:t xml:space="preserve">(2), 248–258. </w:t>
      </w:r>
      <w:hyperlink r:id="rId20" w:history="1">
        <w:r w:rsidRPr="00FE7FA9">
          <w:rPr>
            <w:rStyle w:val="Hyperlink"/>
            <w:rFonts w:ascii="Times New Roman" w:hAnsi="Times New Roman" w:cs="Times New Roman"/>
          </w:rPr>
          <w:t>https://doi.org/10.1111/jopy.12156</w:t>
        </w:r>
      </w:hyperlink>
      <w:r>
        <w:rPr>
          <w:rFonts w:ascii="Times New Roman" w:hAnsi="Times New Roman" w:cs="Times New Roman"/>
        </w:rPr>
        <w:t xml:space="preserve"> </w:t>
      </w:r>
    </w:p>
    <w:p w14:paraId="77A6B1FB"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Kitchenham, L. (2019). Facets of Conscientiousness in Relation to Academic Performance Across Programs of Study. </w:t>
      </w:r>
      <w:r w:rsidRPr="00A26341">
        <w:rPr>
          <w:rFonts w:ascii="Times New Roman" w:hAnsi="Times New Roman" w:cs="Times New Roman"/>
          <w:i/>
          <w:iCs/>
        </w:rPr>
        <w:t>SURG Journal</w:t>
      </w:r>
      <w:r w:rsidRPr="00A26341">
        <w:rPr>
          <w:rFonts w:ascii="Times New Roman" w:hAnsi="Times New Roman" w:cs="Times New Roman"/>
        </w:rPr>
        <w:t>, </w:t>
      </w:r>
      <w:r w:rsidRPr="00A26341">
        <w:rPr>
          <w:rFonts w:ascii="Times New Roman" w:hAnsi="Times New Roman" w:cs="Times New Roman"/>
          <w:i/>
          <w:iCs/>
        </w:rPr>
        <w:t>11</w:t>
      </w:r>
      <w:r w:rsidRPr="00A26341">
        <w:rPr>
          <w:rFonts w:ascii="Times New Roman" w:hAnsi="Times New Roman" w:cs="Times New Roman"/>
        </w:rPr>
        <w:t xml:space="preserve">. </w:t>
      </w:r>
      <w:hyperlink r:id="rId21" w:history="1">
        <w:r w:rsidRPr="00FE7FA9">
          <w:rPr>
            <w:rStyle w:val="Hyperlink"/>
            <w:rFonts w:ascii="Times New Roman" w:hAnsi="Times New Roman" w:cs="Times New Roman"/>
          </w:rPr>
          <w:t>https://doi.org/10.21083/surg.v11i0.4120</w:t>
        </w:r>
      </w:hyperlink>
      <w:r>
        <w:rPr>
          <w:rFonts w:ascii="Times New Roman" w:hAnsi="Times New Roman" w:cs="Times New Roman"/>
        </w:rPr>
        <w:t xml:space="preserve"> </w:t>
      </w:r>
    </w:p>
    <w:p w14:paraId="5106EAC3"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w:t>
      </w:r>
      <w:r>
        <w:rPr>
          <w:rFonts w:ascii="Times New Roman" w:hAnsi="Times New Roman" w:cs="Times New Roman"/>
        </w:rPr>
        <w:t>omarraju</w:t>
      </w:r>
      <w:r w:rsidRPr="00993EB8">
        <w:rPr>
          <w:rFonts w:ascii="Times New Roman" w:hAnsi="Times New Roman" w:cs="Times New Roman"/>
        </w:rPr>
        <w:t>, M., K</w:t>
      </w:r>
      <w:r>
        <w:rPr>
          <w:rFonts w:ascii="Times New Roman" w:hAnsi="Times New Roman" w:cs="Times New Roman"/>
        </w:rPr>
        <w:t>arau</w:t>
      </w:r>
      <w:r w:rsidRPr="00993EB8">
        <w:rPr>
          <w:rFonts w:ascii="Times New Roman" w:hAnsi="Times New Roman" w:cs="Times New Roman"/>
        </w:rPr>
        <w:t>, S. J., S</w:t>
      </w:r>
      <w:r>
        <w:rPr>
          <w:rFonts w:ascii="Times New Roman" w:hAnsi="Times New Roman" w:cs="Times New Roman"/>
        </w:rPr>
        <w:t>chmeck</w:t>
      </w:r>
      <w:r w:rsidRPr="00993EB8">
        <w:rPr>
          <w:rFonts w:ascii="Times New Roman" w:hAnsi="Times New Roman" w:cs="Times New Roman"/>
        </w:rPr>
        <w:t>, R. R., &amp; A</w:t>
      </w:r>
      <w:r>
        <w:rPr>
          <w:rFonts w:ascii="Times New Roman" w:hAnsi="Times New Roman" w:cs="Times New Roman"/>
        </w:rPr>
        <w:t>vdic</w:t>
      </w:r>
      <w:r w:rsidRPr="00993EB8">
        <w:rPr>
          <w:rFonts w:ascii="Times New Roman" w:hAnsi="Times New Roman" w:cs="Times New Roman"/>
        </w:rPr>
        <w:t>, A. (2011). The Big Five personality traits, learning styles, and academic achievement. </w:t>
      </w:r>
      <w:r w:rsidRPr="00993EB8">
        <w:rPr>
          <w:rFonts w:ascii="Times New Roman" w:hAnsi="Times New Roman" w:cs="Times New Roman"/>
          <w:i/>
          <w:iCs/>
        </w:rPr>
        <w:t>Personality and Individual Differences</w:t>
      </w:r>
      <w:r w:rsidRPr="00993EB8">
        <w:rPr>
          <w:rFonts w:ascii="Times New Roman" w:hAnsi="Times New Roman" w:cs="Times New Roman"/>
        </w:rPr>
        <w:t>, </w:t>
      </w:r>
      <w:r w:rsidRPr="00993EB8">
        <w:rPr>
          <w:rFonts w:ascii="Times New Roman" w:hAnsi="Times New Roman" w:cs="Times New Roman"/>
          <w:i/>
          <w:iCs/>
        </w:rPr>
        <w:t>51</w:t>
      </w:r>
      <w:r w:rsidRPr="00993EB8">
        <w:rPr>
          <w:rFonts w:ascii="Times New Roman" w:hAnsi="Times New Roman" w:cs="Times New Roman"/>
        </w:rPr>
        <w:t xml:space="preserve">(4), 472–477. </w:t>
      </w:r>
      <w:hyperlink r:id="rId22" w:history="1">
        <w:r w:rsidRPr="00FE7FA9">
          <w:rPr>
            <w:rStyle w:val="Hyperlink"/>
            <w:rFonts w:ascii="Times New Roman" w:hAnsi="Times New Roman" w:cs="Times New Roman"/>
          </w:rPr>
          <w:t>https://doi.org/10.1016/j.paid.2011.04.019</w:t>
        </w:r>
      </w:hyperlink>
      <w:r>
        <w:rPr>
          <w:rFonts w:ascii="Times New Roman" w:hAnsi="Times New Roman" w:cs="Times New Roman"/>
        </w:rPr>
        <w:t xml:space="preserve"> </w:t>
      </w:r>
    </w:p>
    <w:p w14:paraId="116908FE"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Madigan, D. J. (2019). A Meta-Analysis of Perfectionism and Academic Achievement. </w:t>
      </w:r>
      <w:r w:rsidRPr="00A716D3">
        <w:rPr>
          <w:rFonts w:ascii="Times New Roman" w:hAnsi="Times New Roman" w:cs="Times New Roman"/>
          <w:i/>
          <w:iCs/>
        </w:rPr>
        <w:t>Educational Psychology Review</w:t>
      </w:r>
      <w:r w:rsidRPr="00A716D3">
        <w:rPr>
          <w:rFonts w:ascii="Times New Roman" w:hAnsi="Times New Roman" w:cs="Times New Roman"/>
        </w:rPr>
        <w:t>, </w:t>
      </w:r>
      <w:r w:rsidRPr="00A716D3">
        <w:rPr>
          <w:rFonts w:ascii="Times New Roman" w:hAnsi="Times New Roman" w:cs="Times New Roman"/>
          <w:i/>
          <w:iCs/>
        </w:rPr>
        <w:t>31</w:t>
      </w:r>
      <w:r w:rsidRPr="00A716D3">
        <w:rPr>
          <w:rFonts w:ascii="Times New Roman" w:hAnsi="Times New Roman" w:cs="Times New Roman"/>
        </w:rPr>
        <w:t xml:space="preserve">(4), 967–989. </w:t>
      </w:r>
      <w:hyperlink r:id="rId23" w:history="1">
        <w:r w:rsidRPr="00FE7FA9">
          <w:rPr>
            <w:rStyle w:val="Hyperlink"/>
            <w:rFonts w:ascii="Times New Roman" w:hAnsi="Times New Roman" w:cs="Times New Roman"/>
          </w:rPr>
          <w:t>https://doi.org/10.1007/s10648-019-09484-2</w:t>
        </w:r>
      </w:hyperlink>
      <w:r>
        <w:rPr>
          <w:rFonts w:ascii="Times New Roman" w:hAnsi="Times New Roman" w:cs="Times New Roman"/>
        </w:rPr>
        <w:t xml:space="preserve"> </w:t>
      </w:r>
    </w:p>
    <w:p w14:paraId="058ABD10"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Maltby, J., Day, L., &amp; Macaskill, A. (2010). </w:t>
      </w:r>
      <w:r w:rsidRPr="00A716D3">
        <w:rPr>
          <w:rFonts w:ascii="Times New Roman" w:hAnsi="Times New Roman" w:cs="Times New Roman"/>
          <w:i/>
          <w:iCs/>
        </w:rPr>
        <w:t>Personality, individual differences and intelligence</w:t>
      </w:r>
      <w:r w:rsidRPr="00A716D3">
        <w:rPr>
          <w:rFonts w:ascii="Times New Roman" w:hAnsi="Times New Roman" w:cs="Times New Roman"/>
        </w:rPr>
        <w:t>. Pearson Education.</w:t>
      </w:r>
    </w:p>
    <w:p w14:paraId="3683B88C"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Mammadov, S. (2022). Big Five personality traits and academic performance: A meta‐analysis. </w:t>
      </w:r>
      <w:r w:rsidRPr="00993EB8">
        <w:rPr>
          <w:rFonts w:ascii="Times New Roman" w:hAnsi="Times New Roman" w:cs="Times New Roman"/>
          <w:i/>
          <w:iCs/>
        </w:rPr>
        <w:t>Journal of Personality</w:t>
      </w:r>
      <w:r w:rsidRPr="00993EB8">
        <w:rPr>
          <w:rFonts w:ascii="Times New Roman" w:hAnsi="Times New Roman" w:cs="Times New Roman"/>
        </w:rPr>
        <w:t>, </w:t>
      </w:r>
      <w:r w:rsidRPr="00993EB8">
        <w:rPr>
          <w:rFonts w:ascii="Times New Roman" w:hAnsi="Times New Roman" w:cs="Times New Roman"/>
          <w:i/>
          <w:iCs/>
        </w:rPr>
        <w:t>90</w:t>
      </w:r>
      <w:r w:rsidRPr="00993EB8">
        <w:rPr>
          <w:rFonts w:ascii="Times New Roman" w:hAnsi="Times New Roman" w:cs="Times New Roman"/>
        </w:rPr>
        <w:t xml:space="preserve">(2), 222–255. </w:t>
      </w:r>
      <w:hyperlink r:id="rId24" w:history="1">
        <w:r w:rsidRPr="00FE7FA9">
          <w:rPr>
            <w:rStyle w:val="Hyperlink"/>
            <w:rFonts w:ascii="Times New Roman" w:hAnsi="Times New Roman" w:cs="Times New Roman"/>
          </w:rPr>
          <w:t>https://doi.org/10.1111/jopy.12663</w:t>
        </w:r>
      </w:hyperlink>
    </w:p>
    <w:p w14:paraId="764BB35D" w14:textId="77777777" w:rsidR="00361122" w:rsidRDefault="00361122" w:rsidP="00361122">
      <w:pPr>
        <w:spacing w:line="360" w:lineRule="auto"/>
        <w:ind w:left="720" w:hanging="720"/>
        <w:rPr>
          <w:rFonts w:ascii="Times New Roman" w:hAnsi="Times New Roman" w:cs="Times New Roman"/>
          <w:color w:val="3A3A3A"/>
          <w:shd w:val="clear" w:color="auto" w:fill="FFFFFF"/>
        </w:rPr>
      </w:pPr>
      <w:r w:rsidRPr="00A716D3">
        <w:rPr>
          <w:rFonts w:ascii="Times New Roman" w:hAnsi="Times New Roman" w:cs="Times New Roman"/>
          <w:color w:val="3A3A3A"/>
          <w:shd w:val="clear" w:color="auto" w:fill="FFFFFF"/>
        </w:rPr>
        <w:t>Mcabee, S. T., &amp; Oswald, F. L. (2013). The Criterion-Related Validity of Personality Measures for Predicting GPA: A Meta-Analytic Validity Competition. </w:t>
      </w:r>
      <w:r w:rsidRPr="00A716D3">
        <w:rPr>
          <w:rFonts w:ascii="Times New Roman" w:hAnsi="Times New Roman" w:cs="Times New Roman"/>
          <w:i/>
          <w:iCs/>
          <w:color w:val="3A3A3A"/>
          <w:shd w:val="clear" w:color="auto" w:fill="FFFFFF"/>
        </w:rPr>
        <w:t>Psychological Assessment</w:t>
      </w:r>
      <w:r w:rsidRPr="00A716D3">
        <w:rPr>
          <w:rFonts w:ascii="Times New Roman" w:hAnsi="Times New Roman" w:cs="Times New Roman"/>
          <w:color w:val="3A3A3A"/>
          <w:shd w:val="clear" w:color="auto" w:fill="FFFFFF"/>
        </w:rPr>
        <w:t>, </w:t>
      </w:r>
      <w:r w:rsidRPr="00A716D3">
        <w:rPr>
          <w:rFonts w:ascii="Times New Roman" w:hAnsi="Times New Roman" w:cs="Times New Roman"/>
          <w:i/>
          <w:iCs/>
          <w:color w:val="3A3A3A"/>
          <w:shd w:val="clear" w:color="auto" w:fill="FFFFFF"/>
        </w:rPr>
        <w:t>25</w:t>
      </w:r>
      <w:r w:rsidRPr="00A716D3">
        <w:rPr>
          <w:rFonts w:ascii="Times New Roman" w:hAnsi="Times New Roman" w:cs="Times New Roman"/>
          <w:color w:val="3A3A3A"/>
          <w:shd w:val="clear" w:color="auto" w:fill="FFFFFF"/>
        </w:rPr>
        <w:t xml:space="preserve">(2), 532–544. </w:t>
      </w:r>
      <w:hyperlink r:id="rId25" w:history="1">
        <w:r w:rsidRPr="00A716D3">
          <w:rPr>
            <w:rStyle w:val="Hyperlink"/>
            <w:rFonts w:ascii="Times New Roman" w:hAnsi="Times New Roman" w:cs="Times New Roman"/>
            <w:shd w:val="clear" w:color="auto" w:fill="FFFFFF"/>
          </w:rPr>
          <w:t>https://doi.org/10.1037/a0031748</w:t>
        </w:r>
      </w:hyperlink>
      <w:r w:rsidRPr="00A716D3">
        <w:rPr>
          <w:rFonts w:ascii="Times New Roman" w:hAnsi="Times New Roman" w:cs="Times New Roman"/>
          <w:color w:val="3A3A3A"/>
          <w:shd w:val="clear" w:color="auto" w:fill="FFFFFF"/>
        </w:rPr>
        <w:t xml:space="preserve"> </w:t>
      </w:r>
    </w:p>
    <w:p w14:paraId="512CF530"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McCrae, R. R., &amp; Costa, P. T. (1987). Validation of the Five-Factor Model of Personality Across Instruments and Observers. </w:t>
      </w:r>
      <w:r w:rsidRPr="00A26341">
        <w:rPr>
          <w:rFonts w:ascii="Times New Roman" w:hAnsi="Times New Roman" w:cs="Times New Roman"/>
          <w:i/>
          <w:iCs/>
        </w:rPr>
        <w:t>Journal of Personality and Social Psychology</w:t>
      </w:r>
      <w:r w:rsidRPr="00A26341">
        <w:rPr>
          <w:rFonts w:ascii="Times New Roman" w:hAnsi="Times New Roman" w:cs="Times New Roman"/>
        </w:rPr>
        <w:t>, </w:t>
      </w:r>
      <w:r w:rsidRPr="00A26341">
        <w:rPr>
          <w:rFonts w:ascii="Times New Roman" w:hAnsi="Times New Roman" w:cs="Times New Roman"/>
          <w:i/>
          <w:iCs/>
        </w:rPr>
        <w:t>52</w:t>
      </w:r>
      <w:r w:rsidRPr="00A26341">
        <w:rPr>
          <w:rFonts w:ascii="Times New Roman" w:hAnsi="Times New Roman" w:cs="Times New Roman"/>
        </w:rPr>
        <w:t xml:space="preserve">(1), 81–90. </w:t>
      </w:r>
      <w:hyperlink r:id="rId26" w:history="1">
        <w:r w:rsidRPr="00FE7FA9">
          <w:rPr>
            <w:rStyle w:val="Hyperlink"/>
            <w:rFonts w:ascii="Times New Roman" w:hAnsi="Times New Roman" w:cs="Times New Roman"/>
          </w:rPr>
          <w:t>https://doi.org/10.1037/0022-3514.52.1.81</w:t>
        </w:r>
      </w:hyperlink>
    </w:p>
    <w:p w14:paraId="44C71CC3"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McCrae, R. R., &amp; Greenberg, D. M. (2014). Openness to experience. </w:t>
      </w:r>
      <w:r w:rsidRPr="00A716D3">
        <w:rPr>
          <w:rFonts w:ascii="Times New Roman" w:hAnsi="Times New Roman" w:cs="Times New Roman"/>
          <w:i/>
          <w:iCs/>
        </w:rPr>
        <w:t>The Wiley handbook of genius</w:t>
      </w:r>
      <w:r w:rsidRPr="00A716D3">
        <w:rPr>
          <w:rFonts w:ascii="Times New Roman" w:hAnsi="Times New Roman" w:cs="Times New Roman"/>
        </w:rPr>
        <w:t>, 222-243.</w:t>
      </w:r>
    </w:p>
    <w:p w14:paraId="25A73504" w14:textId="77777777" w:rsidR="00361122" w:rsidRDefault="00361122" w:rsidP="00361122">
      <w:pPr>
        <w:spacing w:line="360" w:lineRule="auto"/>
        <w:ind w:left="720" w:hanging="720"/>
        <w:rPr>
          <w:rFonts w:ascii="Times New Roman" w:hAnsi="Times New Roman" w:cs="Times New Roman"/>
        </w:rPr>
      </w:pPr>
      <w:r w:rsidRPr="00CC6762">
        <w:rPr>
          <w:rFonts w:ascii="Times New Roman" w:hAnsi="Times New Roman" w:cs="Times New Roman"/>
        </w:rPr>
        <w:t>Nguyen, T.-V. T., Weinstein, N., &amp; Ryan, R. M. (2022). Who enjoys solitude? autonomous functioning (but not introversion) predicts self-determined motivation (but not preference) for solitude. </w:t>
      </w:r>
      <w:r w:rsidRPr="00CC6762">
        <w:rPr>
          <w:rFonts w:ascii="Times New Roman" w:hAnsi="Times New Roman" w:cs="Times New Roman"/>
          <w:i/>
          <w:iCs/>
        </w:rPr>
        <w:t>PloS One</w:t>
      </w:r>
      <w:r w:rsidRPr="00CC6762">
        <w:rPr>
          <w:rFonts w:ascii="Times New Roman" w:hAnsi="Times New Roman" w:cs="Times New Roman"/>
        </w:rPr>
        <w:t>, </w:t>
      </w:r>
      <w:r w:rsidRPr="00CC6762">
        <w:rPr>
          <w:rFonts w:ascii="Times New Roman" w:hAnsi="Times New Roman" w:cs="Times New Roman"/>
          <w:i/>
          <w:iCs/>
        </w:rPr>
        <w:t>17</w:t>
      </w:r>
      <w:r w:rsidRPr="00CC6762">
        <w:rPr>
          <w:rFonts w:ascii="Times New Roman" w:hAnsi="Times New Roman" w:cs="Times New Roman"/>
        </w:rPr>
        <w:t xml:space="preserve">(5), e0267185–e0267185. </w:t>
      </w:r>
      <w:hyperlink r:id="rId27" w:history="1">
        <w:r w:rsidRPr="00D23535">
          <w:rPr>
            <w:rStyle w:val="Hyperlink"/>
            <w:rFonts w:ascii="Times New Roman" w:hAnsi="Times New Roman" w:cs="Times New Roman"/>
          </w:rPr>
          <w:t>https://doi.org/10.1371/journal.pone.0267185</w:t>
        </w:r>
      </w:hyperlink>
      <w:r>
        <w:rPr>
          <w:rFonts w:ascii="Times New Roman" w:hAnsi="Times New Roman" w:cs="Times New Roman"/>
        </w:rPr>
        <w:t xml:space="preserve"> </w:t>
      </w:r>
    </w:p>
    <w:p w14:paraId="1AA99B92"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Noftle, E. E., &amp; Robins, R. W. (2007). Personality Predictors of Academic Outcomes: Big Five Correlates of GPA and SAT Scores. </w:t>
      </w:r>
      <w:r w:rsidRPr="00A716D3">
        <w:rPr>
          <w:rFonts w:ascii="Times New Roman" w:hAnsi="Times New Roman" w:cs="Times New Roman"/>
          <w:i/>
          <w:iCs/>
        </w:rPr>
        <w:t>Journal of Personality and Social Psychology</w:t>
      </w:r>
      <w:r w:rsidRPr="00A716D3">
        <w:rPr>
          <w:rFonts w:ascii="Times New Roman" w:hAnsi="Times New Roman" w:cs="Times New Roman"/>
        </w:rPr>
        <w:t>, </w:t>
      </w:r>
      <w:r w:rsidRPr="00A716D3">
        <w:rPr>
          <w:rFonts w:ascii="Times New Roman" w:hAnsi="Times New Roman" w:cs="Times New Roman"/>
          <w:i/>
          <w:iCs/>
        </w:rPr>
        <w:t>93</w:t>
      </w:r>
      <w:r w:rsidRPr="00A716D3">
        <w:rPr>
          <w:rFonts w:ascii="Times New Roman" w:hAnsi="Times New Roman" w:cs="Times New Roman"/>
        </w:rPr>
        <w:t xml:space="preserve">(1), 116–130. </w:t>
      </w:r>
      <w:hyperlink r:id="rId28" w:history="1">
        <w:r w:rsidRPr="00FE7FA9">
          <w:rPr>
            <w:rStyle w:val="Hyperlink"/>
            <w:rFonts w:ascii="Times New Roman" w:hAnsi="Times New Roman" w:cs="Times New Roman"/>
          </w:rPr>
          <w:t>https://doi.org/10.1037/0022-3514.93.1.116</w:t>
        </w:r>
      </w:hyperlink>
      <w:r>
        <w:rPr>
          <w:rFonts w:ascii="Times New Roman" w:hAnsi="Times New Roman" w:cs="Times New Roman"/>
        </w:rPr>
        <w:t xml:space="preserve"> </w:t>
      </w:r>
    </w:p>
    <w:p w14:paraId="77C1DD98"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O</w:t>
      </w:r>
      <w:r>
        <w:rPr>
          <w:rFonts w:ascii="Times New Roman" w:hAnsi="Times New Roman" w:cs="Times New Roman"/>
        </w:rPr>
        <w:t>rmel</w:t>
      </w:r>
      <w:r w:rsidRPr="00A716D3">
        <w:rPr>
          <w:rFonts w:ascii="Times New Roman" w:hAnsi="Times New Roman" w:cs="Times New Roman"/>
        </w:rPr>
        <w:t>, J., B</w:t>
      </w:r>
      <w:r>
        <w:rPr>
          <w:rFonts w:ascii="Times New Roman" w:hAnsi="Times New Roman" w:cs="Times New Roman"/>
        </w:rPr>
        <w:t>astiaansen</w:t>
      </w:r>
      <w:r w:rsidRPr="00A716D3">
        <w:rPr>
          <w:rFonts w:ascii="Times New Roman" w:hAnsi="Times New Roman" w:cs="Times New Roman"/>
        </w:rPr>
        <w:t>, A., R</w:t>
      </w:r>
      <w:r>
        <w:rPr>
          <w:rFonts w:ascii="Times New Roman" w:hAnsi="Times New Roman" w:cs="Times New Roman"/>
        </w:rPr>
        <w:t>iese</w:t>
      </w:r>
      <w:r w:rsidRPr="00A716D3">
        <w:rPr>
          <w:rFonts w:ascii="Times New Roman" w:hAnsi="Times New Roman" w:cs="Times New Roman"/>
        </w:rPr>
        <w:t>, H., B</w:t>
      </w:r>
      <w:r>
        <w:rPr>
          <w:rFonts w:ascii="Times New Roman" w:hAnsi="Times New Roman" w:cs="Times New Roman"/>
        </w:rPr>
        <w:t>os</w:t>
      </w:r>
      <w:r w:rsidRPr="00A716D3">
        <w:rPr>
          <w:rFonts w:ascii="Times New Roman" w:hAnsi="Times New Roman" w:cs="Times New Roman"/>
        </w:rPr>
        <w:t>, E. H., S</w:t>
      </w:r>
      <w:r>
        <w:rPr>
          <w:rFonts w:ascii="Times New Roman" w:hAnsi="Times New Roman" w:cs="Times New Roman"/>
        </w:rPr>
        <w:t>ervaas</w:t>
      </w:r>
      <w:r w:rsidRPr="00A716D3">
        <w:rPr>
          <w:rFonts w:ascii="Times New Roman" w:hAnsi="Times New Roman" w:cs="Times New Roman"/>
        </w:rPr>
        <w:t>, M., E</w:t>
      </w:r>
      <w:r>
        <w:rPr>
          <w:rFonts w:ascii="Times New Roman" w:hAnsi="Times New Roman" w:cs="Times New Roman"/>
        </w:rPr>
        <w:t>llenbogen</w:t>
      </w:r>
      <w:r w:rsidRPr="00A716D3">
        <w:rPr>
          <w:rFonts w:ascii="Times New Roman" w:hAnsi="Times New Roman" w:cs="Times New Roman"/>
        </w:rPr>
        <w:t>, M., R</w:t>
      </w:r>
      <w:r>
        <w:rPr>
          <w:rFonts w:ascii="Times New Roman" w:hAnsi="Times New Roman" w:cs="Times New Roman"/>
        </w:rPr>
        <w:t>osmalen</w:t>
      </w:r>
      <w:r w:rsidRPr="00A716D3">
        <w:rPr>
          <w:rFonts w:ascii="Times New Roman" w:hAnsi="Times New Roman" w:cs="Times New Roman"/>
        </w:rPr>
        <w:t>, J. G. M., &amp; A</w:t>
      </w:r>
      <w:r>
        <w:rPr>
          <w:rFonts w:ascii="Times New Roman" w:hAnsi="Times New Roman" w:cs="Times New Roman"/>
        </w:rPr>
        <w:t>leman</w:t>
      </w:r>
      <w:r w:rsidRPr="00A716D3">
        <w:rPr>
          <w:rFonts w:ascii="Times New Roman" w:hAnsi="Times New Roman" w:cs="Times New Roman"/>
        </w:rPr>
        <w:t>, A. (2013). The biological and psychological basis of neuroticism: Current status and future directions. </w:t>
      </w:r>
      <w:r w:rsidRPr="00A716D3">
        <w:rPr>
          <w:rFonts w:ascii="Times New Roman" w:hAnsi="Times New Roman" w:cs="Times New Roman"/>
          <w:i/>
          <w:iCs/>
        </w:rPr>
        <w:t>Neuroscience and Biobehavioral Reviews</w:t>
      </w:r>
      <w:r w:rsidRPr="00A716D3">
        <w:rPr>
          <w:rFonts w:ascii="Times New Roman" w:hAnsi="Times New Roman" w:cs="Times New Roman"/>
        </w:rPr>
        <w:t>, </w:t>
      </w:r>
      <w:r w:rsidRPr="00A716D3">
        <w:rPr>
          <w:rFonts w:ascii="Times New Roman" w:hAnsi="Times New Roman" w:cs="Times New Roman"/>
          <w:i/>
          <w:iCs/>
        </w:rPr>
        <w:t>37</w:t>
      </w:r>
      <w:r w:rsidRPr="00A716D3">
        <w:rPr>
          <w:rFonts w:ascii="Times New Roman" w:hAnsi="Times New Roman" w:cs="Times New Roman"/>
        </w:rPr>
        <w:t xml:space="preserve">(1), 59–72. </w:t>
      </w:r>
      <w:hyperlink r:id="rId29" w:history="1">
        <w:r w:rsidRPr="00FE7FA9">
          <w:rPr>
            <w:rStyle w:val="Hyperlink"/>
            <w:rFonts w:ascii="Times New Roman" w:hAnsi="Times New Roman" w:cs="Times New Roman"/>
          </w:rPr>
          <w:t>https://doi.org/10.1016/j.neubiorev.2012.09.004</w:t>
        </w:r>
      </w:hyperlink>
      <w:r>
        <w:rPr>
          <w:rFonts w:ascii="Times New Roman" w:hAnsi="Times New Roman" w:cs="Times New Roman"/>
        </w:rPr>
        <w:t xml:space="preserve"> </w:t>
      </w:r>
    </w:p>
    <w:p w14:paraId="635EFAD7"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lastRenderedPageBreak/>
        <w:t>Poropat, A. E. (2011). The Eysenckian personality factors and their correlations with academic performance. </w:t>
      </w:r>
      <w:r w:rsidRPr="00A716D3">
        <w:rPr>
          <w:rFonts w:ascii="Times New Roman" w:hAnsi="Times New Roman" w:cs="Times New Roman"/>
          <w:i/>
          <w:iCs/>
        </w:rPr>
        <w:t>British Journal of Educational Psychology</w:t>
      </w:r>
      <w:r w:rsidRPr="00A716D3">
        <w:rPr>
          <w:rFonts w:ascii="Times New Roman" w:hAnsi="Times New Roman" w:cs="Times New Roman"/>
        </w:rPr>
        <w:t>, </w:t>
      </w:r>
      <w:r w:rsidRPr="00A716D3">
        <w:rPr>
          <w:rFonts w:ascii="Times New Roman" w:hAnsi="Times New Roman" w:cs="Times New Roman"/>
          <w:i/>
          <w:iCs/>
        </w:rPr>
        <w:t>81</w:t>
      </w:r>
      <w:r w:rsidRPr="00A716D3">
        <w:rPr>
          <w:rFonts w:ascii="Times New Roman" w:hAnsi="Times New Roman" w:cs="Times New Roman"/>
        </w:rPr>
        <w:t xml:space="preserve">(1), 41–58. </w:t>
      </w:r>
      <w:hyperlink r:id="rId30" w:history="1">
        <w:r w:rsidRPr="00FE7FA9">
          <w:rPr>
            <w:rStyle w:val="Hyperlink"/>
            <w:rFonts w:ascii="Times New Roman" w:hAnsi="Times New Roman" w:cs="Times New Roman"/>
          </w:rPr>
          <w:t>https://doi.org/10.1348/000709910X497671</w:t>
        </w:r>
      </w:hyperlink>
      <w:r>
        <w:rPr>
          <w:rFonts w:ascii="Times New Roman" w:hAnsi="Times New Roman" w:cs="Times New Roman"/>
        </w:rPr>
        <w:t xml:space="preserve"> </w:t>
      </w:r>
    </w:p>
    <w:p w14:paraId="4DC9F63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Poropat, A. E. (2014). Other-rated personality and academic performance: Evidence and implications. </w:t>
      </w:r>
      <w:r w:rsidRPr="00993EB8">
        <w:rPr>
          <w:rFonts w:ascii="Times New Roman" w:hAnsi="Times New Roman" w:cs="Times New Roman"/>
          <w:i/>
          <w:iCs/>
        </w:rPr>
        <w:t>Learning and Individual Differences</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24-32.</w:t>
      </w:r>
    </w:p>
    <w:p w14:paraId="57F7ED07"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Richardson, M., Abraham, C., &amp; Bond, R. (2012). Psychological Correlates of University Students’ Academic Performance: A Systematic Review and Meta-Analysis. </w:t>
      </w:r>
      <w:r w:rsidRPr="00A716D3">
        <w:rPr>
          <w:rFonts w:ascii="Times New Roman" w:hAnsi="Times New Roman" w:cs="Times New Roman"/>
          <w:i/>
          <w:iCs/>
        </w:rPr>
        <w:t>Psychological Bulletin</w:t>
      </w:r>
      <w:r w:rsidRPr="00A716D3">
        <w:rPr>
          <w:rFonts w:ascii="Times New Roman" w:hAnsi="Times New Roman" w:cs="Times New Roman"/>
        </w:rPr>
        <w:t>, </w:t>
      </w:r>
      <w:r w:rsidRPr="00A716D3">
        <w:rPr>
          <w:rFonts w:ascii="Times New Roman" w:hAnsi="Times New Roman" w:cs="Times New Roman"/>
          <w:i/>
          <w:iCs/>
        </w:rPr>
        <w:t>138</w:t>
      </w:r>
      <w:r w:rsidRPr="00A716D3">
        <w:rPr>
          <w:rFonts w:ascii="Times New Roman" w:hAnsi="Times New Roman" w:cs="Times New Roman"/>
        </w:rPr>
        <w:t xml:space="preserve">(2), 353–387. </w:t>
      </w:r>
      <w:hyperlink r:id="rId31" w:history="1">
        <w:r w:rsidRPr="00FE7FA9">
          <w:rPr>
            <w:rStyle w:val="Hyperlink"/>
            <w:rFonts w:ascii="Times New Roman" w:hAnsi="Times New Roman" w:cs="Times New Roman"/>
          </w:rPr>
          <w:t>https://doi.org/10.1037/a0026838</w:t>
        </w:r>
      </w:hyperlink>
      <w:r>
        <w:rPr>
          <w:rFonts w:ascii="Times New Roman" w:hAnsi="Times New Roman" w:cs="Times New Roman"/>
        </w:rPr>
        <w:t xml:space="preserve"> </w:t>
      </w:r>
    </w:p>
    <w:p w14:paraId="5D4D1D34"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Roberts, B. W., Walton, K. E., &amp; Viechtbauer, W. (2006). Personality Traits Change in Adulthood: Reply to Costa and McCrae (2006). </w:t>
      </w:r>
      <w:r w:rsidRPr="00A26341">
        <w:rPr>
          <w:rFonts w:ascii="Times New Roman" w:hAnsi="Times New Roman" w:cs="Times New Roman"/>
          <w:i/>
          <w:iCs/>
        </w:rPr>
        <w:t>Psychological Bulletin</w:t>
      </w:r>
      <w:r w:rsidRPr="00A26341">
        <w:rPr>
          <w:rFonts w:ascii="Times New Roman" w:hAnsi="Times New Roman" w:cs="Times New Roman"/>
        </w:rPr>
        <w:t>, </w:t>
      </w:r>
      <w:r w:rsidRPr="00A26341">
        <w:rPr>
          <w:rFonts w:ascii="Times New Roman" w:hAnsi="Times New Roman" w:cs="Times New Roman"/>
          <w:i/>
          <w:iCs/>
        </w:rPr>
        <w:t>132</w:t>
      </w:r>
      <w:r w:rsidRPr="00A26341">
        <w:rPr>
          <w:rFonts w:ascii="Times New Roman" w:hAnsi="Times New Roman" w:cs="Times New Roman"/>
        </w:rPr>
        <w:t xml:space="preserve">(1), 29–32. </w:t>
      </w:r>
      <w:hyperlink r:id="rId32" w:history="1">
        <w:r w:rsidRPr="00FE7FA9">
          <w:rPr>
            <w:rStyle w:val="Hyperlink"/>
            <w:rFonts w:ascii="Times New Roman" w:hAnsi="Times New Roman" w:cs="Times New Roman"/>
          </w:rPr>
          <w:t>https://doi.org/10.1037/0033-2909.132.1.29</w:t>
        </w:r>
      </w:hyperlink>
    </w:p>
    <w:p w14:paraId="726630CD"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Saklofske, D. H., Austin, E. J., Mastoras, S. M., Beaton, L., &amp; Osborne, S. E. (2012). Relationships of personality, affect, emotional intelligence and coping with student stress and academic success: Different patterns of association for stress and success. </w:t>
      </w:r>
      <w:r w:rsidRPr="00A4478B">
        <w:rPr>
          <w:rFonts w:ascii="Times New Roman" w:hAnsi="Times New Roman" w:cs="Times New Roman"/>
          <w:i/>
          <w:iCs/>
        </w:rPr>
        <w:t>Learning and Individual Differences</w:t>
      </w:r>
      <w:r w:rsidRPr="00A4478B">
        <w:rPr>
          <w:rFonts w:ascii="Times New Roman" w:hAnsi="Times New Roman" w:cs="Times New Roman"/>
        </w:rPr>
        <w:t>, </w:t>
      </w:r>
      <w:r w:rsidRPr="00A4478B">
        <w:rPr>
          <w:rFonts w:ascii="Times New Roman" w:hAnsi="Times New Roman" w:cs="Times New Roman"/>
          <w:i/>
          <w:iCs/>
        </w:rPr>
        <w:t>22</w:t>
      </w:r>
      <w:r w:rsidRPr="00A4478B">
        <w:rPr>
          <w:rFonts w:ascii="Times New Roman" w:hAnsi="Times New Roman" w:cs="Times New Roman"/>
        </w:rPr>
        <w:t xml:space="preserve">(2), 251–257. </w:t>
      </w:r>
      <w:hyperlink r:id="rId33" w:history="1">
        <w:r w:rsidRPr="00D23535">
          <w:rPr>
            <w:rStyle w:val="Hyperlink"/>
            <w:rFonts w:ascii="Times New Roman" w:hAnsi="Times New Roman" w:cs="Times New Roman"/>
          </w:rPr>
          <w:t>https://doi.org/10.1016/j.lindif.2011.02.010</w:t>
        </w:r>
      </w:hyperlink>
    </w:p>
    <w:p w14:paraId="556B0B4D"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Sauer-Zavala, S., Wilner, J. G., &amp; Barlow, D. H. (2017). Addressing Neuroticism in Psychological Treatment. </w:t>
      </w:r>
      <w:r w:rsidRPr="00A716D3">
        <w:rPr>
          <w:rFonts w:ascii="Times New Roman" w:hAnsi="Times New Roman" w:cs="Times New Roman"/>
          <w:i/>
          <w:iCs/>
        </w:rPr>
        <w:t>Personality Disorders</w:t>
      </w:r>
      <w:r w:rsidRPr="00A716D3">
        <w:rPr>
          <w:rFonts w:ascii="Times New Roman" w:hAnsi="Times New Roman" w:cs="Times New Roman"/>
        </w:rPr>
        <w:t>, </w:t>
      </w:r>
      <w:r w:rsidRPr="00A716D3">
        <w:rPr>
          <w:rFonts w:ascii="Times New Roman" w:hAnsi="Times New Roman" w:cs="Times New Roman"/>
          <w:i/>
          <w:iCs/>
        </w:rPr>
        <w:t>8</w:t>
      </w:r>
      <w:r w:rsidRPr="00A716D3">
        <w:rPr>
          <w:rFonts w:ascii="Times New Roman" w:hAnsi="Times New Roman" w:cs="Times New Roman"/>
        </w:rPr>
        <w:t xml:space="preserve">(3), 191–198. </w:t>
      </w:r>
      <w:hyperlink r:id="rId34" w:history="1">
        <w:r w:rsidRPr="00FE7FA9">
          <w:rPr>
            <w:rStyle w:val="Hyperlink"/>
            <w:rFonts w:ascii="Times New Roman" w:hAnsi="Times New Roman" w:cs="Times New Roman"/>
          </w:rPr>
          <w:t>https://doi.org/10.1037/per0000224</w:t>
        </w:r>
      </w:hyperlink>
      <w:r>
        <w:rPr>
          <w:rFonts w:ascii="Times New Roman" w:hAnsi="Times New Roman" w:cs="Times New Roman"/>
        </w:rPr>
        <w:t xml:space="preserve"> </w:t>
      </w:r>
    </w:p>
    <w:p w14:paraId="069D794B"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Smillie, L. D., Wilt, J., Kabbani, R., Garratt, C., &amp; Revelle, W. (2015). Quality of Social Experience Explains the Relation Between Extraversion and Positive Affect. </w:t>
      </w:r>
      <w:r w:rsidRPr="001747F7">
        <w:rPr>
          <w:rFonts w:ascii="Times New Roman" w:hAnsi="Times New Roman" w:cs="Times New Roman"/>
          <w:i/>
          <w:iCs/>
        </w:rPr>
        <w:t>Emotion (Washington, D.C.)</w:t>
      </w:r>
      <w:r w:rsidRPr="001747F7">
        <w:rPr>
          <w:rFonts w:ascii="Times New Roman" w:hAnsi="Times New Roman" w:cs="Times New Roman"/>
        </w:rPr>
        <w:t>, </w:t>
      </w:r>
      <w:r w:rsidRPr="001747F7">
        <w:rPr>
          <w:rFonts w:ascii="Times New Roman" w:hAnsi="Times New Roman" w:cs="Times New Roman"/>
          <w:i/>
          <w:iCs/>
        </w:rPr>
        <w:t>15</w:t>
      </w:r>
      <w:r w:rsidRPr="001747F7">
        <w:rPr>
          <w:rFonts w:ascii="Times New Roman" w:hAnsi="Times New Roman" w:cs="Times New Roman"/>
        </w:rPr>
        <w:t xml:space="preserve">(3), 339–349. </w:t>
      </w:r>
      <w:hyperlink r:id="rId35" w:history="1">
        <w:r w:rsidRPr="00D23535">
          <w:rPr>
            <w:rStyle w:val="Hyperlink"/>
            <w:rFonts w:ascii="Times New Roman" w:hAnsi="Times New Roman" w:cs="Times New Roman"/>
          </w:rPr>
          <w:t>https://doi.org/10.1037/emo0000047</w:t>
        </w:r>
      </w:hyperlink>
      <w:r>
        <w:rPr>
          <w:rFonts w:ascii="Times New Roman" w:hAnsi="Times New Roman" w:cs="Times New Roman"/>
        </w:rPr>
        <w:t xml:space="preserve"> </w:t>
      </w:r>
    </w:p>
    <w:p w14:paraId="6242F06F"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Smith, M. M., Sherry, S. B., Vidovic, V., Saklofske, D. H., Stoeber, J., &amp; Benoit, A. (2019). Perfectionism and the Five-Factor Model of Personality: A Meta-Analytic Review. </w:t>
      </w:r>
      <w:r w:rsidRPr="00A716D3">
        <w:rPr>
          <w:rFonts w:ascii="Times New Roman" w:hAnsi="Times New Roman" w:cs="Times New Roman"/>
          <w:i/>
          <w:iCs/>
        </w:rPr>
        <w:t>Personality and Social Psychology Review</w:t>
      </w:r>
      <w:r w:rsidRPr="00A716D3">
        <w:rPr>
          <w:rFonts w:ascii="Times New Roman" w:hAnsi="Times New Roman" w:cs="Times New Roman"/>
        </w:rPr>
        <w:t>, </w:t>
      </w:r>
      <w:r w:rsidRPr="00A716D3">
        <w:rPr>
          <w:rFonts w:ascii="Times New Roman" w:hAnsi="Times New Roman" w:cs="Times New Roman"/>
          <w:i/>
          <w:iCs/>
        </w:rPr>
        <w:t>23</w:t>
      </w:r>
      <w:r w:rsidRPr="00A716D3">
        <w:rPr>
          <w:rFonts w:ascii="Times New Roman" w:hAnsi="Times New Roman" w:cs="Times New Roman"/>
        </w:rPr>
        <w:t xml:space="preserve">(4), 367–390. </w:t>
      </w:r>
      <w:hyperlink r:id="rId36" w:history="1">
        <w:r w:rsidRPr="00FE7FA9">
          <w:rPr>
            <w:rStyle w:val="Hyperlink"/>
            <w:rFonts w:ascii="Times New Roman" w:hAnsi="Times New Roman" w:cs="Times New Roman"/>
          </w:rPr>
          <w:t>https://doi.org/10.1177/1088868318814973</w:t>
        </w:r>
      </w:hyperlink>
      <w:r>
        <w:rPr>
          <w:rFonts w:ascii="Times New Roman" w:hAnsi="Times New Roman" w:cs="Times New Roman"/>
        </w:rPr>
        <w:t xml:space="preserve"> </w:t>
      </w:r>
    </w:p>
    <w:p w14:paraId="3D0EC963" w14:textId="77777777" w:rsidR="00361122" w:rsidRPr="00A716D3"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Solve Sæbø, Trygve Almøy, &amp; Helge Brovold. (2015). Does academia disfavor contextual and extraverted students? </w:t>
      </w:r>
      <w:r w:rsidRPr="00A4478B">
        <w:rPr>
          <w:rFonts w:ascii="Times New Roman" w:hAnsi="Times New Roman" w:cs="Times New Roman"/>
          <w:i/>
          <w:iCs/>
        </w:rPr>
        <w:t>Uniped (Lillehammer)</w:t>
      </w:r>
      <w:r w:rsidRPr="00A4478B">
        <w:rPr>
          <w:rFonts w:ascii="Times New Roman" w:hAnsi="Times New Roman" w:cs="Times New Roman"/>
        </w:rPr>
        <w:t>, </w:t>
      </w:r>
      <w:r w:rsidRPr="00A4478B">
        <w:rPr>
          <w:rFonts w:ascii="Times New Roman" w:hAnsi="Times New Roman" w:cs="Times New Roman"/>
          <w:i/>
          <w:iCs/>
        </w:rPr>
        <w:t>38</w:t>
      </w:r>
      <w:r w:rsidRPr="00A4478B">
        <w:rPr>
          <w:rFonts w:ascii="Times New Roman" w:hAnsi="Times New Roman" w:cs="Times New Roman"/>
        </w:rPr>
        <w:t>, 274–283.</w:t>
      </w:r>
    </w:p>
    <w:p w14:paraId="7B50A67D"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Soto, C. J. (2015). Is Happiness Good for Your Personality? Concurrent and Prospective Relations of the Big Five With Subjective Well-Being. </w:t>
      </w:r>
      <w:r w:rsidRPr="00A716D3">
        <w:rPr>
          <w:rFonts w:ascii="Times New Roman" w:hAnsi="Times New Roman" w:cs="Times New Roman"/>
          <w:i/>
          <w:iCs/>
        </w:rPr>
        <w:t>Journal of Personality</w:t>
      </w:r>
      <w:r w:rsidRPr="00A716D3">
        <w:rPr>
          <w:rFonts w:ascii="Times New Roman" w:hAnsi="Times New Roman" w:cs="Times New Roman"/>
        </w:rPr>
        <w:t>, </w:t>
      </w:r>
      <w:r w:rsidRPr="00A716D3">
        <w:rPr>
          <w:rFonts w:ascii="Times New Roman" w:hAnsi="Times New Roman" w:cs="Times New Roman"/>
          <w:i/>
          <w:iCs/>
        </w:rPr>
        <w:t>83</w:t>
      </w:r>
      <w:r w:rsidRPr="00A716D3">
        <w:rPr>
          <w:rFonts w:ascii="Times New Roman" w:hAnsi="Times New Roman" w:cs="Times New Roman"/>
        </w:rPr>
        <w:t xml:space="preserve">(1), 45–55. </w:t>
      </w:r>
      <w:hyperlink r:id="rId37" w:history="1">
        <w:r w:rsidRPr="00FE7FA9">
          <w:rPr>
            <w:rStyle w:val="Hyperlink"/>
            <w:rFonts w:ascii="Times New Roman" w:hAnsi="Times New Roman" w:cs="Times New Roman"/>
          </w:rPr>
          <w:t>https://doi.org/10.1111/jopy.12081</w:t>
        </w:r>
      </w:hyperlink>
      <w:r>
        <w:rPr>
          <w:rFonts w:ascii="Times New Roman" w:hAnsi="Times New Roman" w:cs="Times New Roman"/>
        </w:rPr>
        <w:t xml:space="preserve"> </w:t>
      </w:r>
    </w:p>
    <w:p w14:paraId="60100D35"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 xml:space="preserve">Spielmann, J., Yoon, H. J. R., Ayoub, M., Chen, Y., Eckland, N. S., Trautwein, U., Zheng, A., &amp; Roberts, B. W. (2022). An In-depth Review of Conscientiousness and Educational </w:t>
      </w:r>
      <w:r w:rsidRPr="00A26341">
        <w:rPr>
          <w:rFonts w:ascii="Times New Roman" w:hAnsi="Times New Roman" w:cs="Times New Roman"/>
        </w:rPr>
        <w:lastRenderedPageBreak/>
        <w:t>Issues. </w:t>
      </w:r>
      <w:r w:rsidRPr="00A26341">
        <w:rPr>
          <w:rFonts w:ascii="Times New Roman" w:hAnsi="Times New Roman" w:cs="Times New Roman"/>
          <w:i/>
          <w:iCs/>
        </w:rPr>
        <w:t>Educational Psychology Review</w:t>
      </w:r>
      <w:r w:rsidRPr="00A26341">
        <w:rPr>
          <w:rFonts w:ascii="Times New Roman" w:hAnsi="Times New Roman" w:cs="Times New Roman"/>
        </w:rPr>
        <w:t>, </w:t>
      </w:r>
      <w:r w:rsidRPr="00A26341">
        <w:rPr>
          <w:rFonts w:ascii="Times New Roman" w:hAnsi="Times New Roman" w:cs="Times New Roman"/>
          <w:i/>
          <w:iCs/>
        </w:rPr>
        <w:t>34</w:t>
      </w:r>
      <w:r w:rsidRPr="00A26341">
        <w:rPr>
          <w:rFonts w:ascii="Times New Roman" w:hAnsi="Times New Roman" w:cs="Times New Roman"/>
        </w:rPr>
        <w:t xml:space="preserve">(4), 2745–2781. </w:t>
      </w:r>
      <w:hyperlink r:id="rId38" w:history="1">
        <w:r w:rsidRPr="00FE7FA9">
          <w:rPr>
            <w:rStyle w:val="Hyperlink"/>
            <w:rFonts w:ascii="Times New Roman" w:hAnsi="Times New Roman" w:cs="Times New Roman"/>
          </w:rPr>
          <w:t>https://doi.org/10.1007/s10648-022-09693-2</w:t>
        </w:r>
      </w:hyperlink>
      <w:r>
        <w:rPr>
          <w:rFonts w:ascii="Times New Roman" w:hAnsi="Times New Roman" w:cs="Times New Roman"/>
        </w:rPr>
        <w:t xml:space="preserve"> </w:t>
      </w:r>
    </w:p>
    <w:p w14:paraId="62D79793"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Spinath, B., Eckert, C., &amp; Steinmayr, R. (2014). Gender differences in school success: what are the roles of students’ intelligence, personality and motivation? </w:t>
      </w:r>
      <w:r w:rsidRPr="00993EB8">
        <w:rPr>
          <w:rFonts w:ascii="Times New Roman" w:hAnsi="Times New Roman" w:cs="Times New Roman"/>
          <w:i/>
          <w:iCs/>
        </w:rPr>
        <w:t>Educational Research (Windsor)</w:t>
      </w:r>
      <w:r w:rsidRPr="00993EB8">
        <w:rPr>
          <w:rFonts w:ascii="Times New Roman" w:hAnsi="Times New Roman" w:cs="Times New Roman"/>
        </w:rPr>
        <w:t>, </w:t>
      </w:r>
      <w:r w:rsidRPr="00993EB8">
        <w:rPr>
          <w:rFonts w:ascii="Times New Roman" w:hAnsi="Times New Roman" w:cs="Times New Roman"/>
          <w:i/>
          <w:iCs/>
        </w:rPr>
        <w:t>56</w:t>
      </w:r>
      <w:r w:rsidRPr="00993EB8">
        <w:rPr>
          <w:rFonts w:ascii="Times New Roman" w:hAnsi="Times New Roman" w:cs="Times New Roman"/>
        </w:rPr>
        <w:t xml:space="preserve">(2), 230–243. </w:t>
      </w:r>
      <w:hyperlink r:id="rId39" w:history="1">
        <w:r w:rsidRPr="00FE7FA9">
          <w:rPr>
            <w:rStyle w:val="Hyperlink"/>
            <w:rFonts w:ascii="Times New Roman" w:hAnsi="Times New Roman" w:cs="Times New Roman"/>
          </w:rPr>
          <w:t>https://doi.org/10.1080/00131881.2014.898917</w:t>
        </w:r>
      </w:hyperlink>
      <w:r>
        <w:rPr>
          <w:rFonts w:ascii="Times New Roman" w:hAnsi="Times New Roman" w:cs="Times New Roman"/>
        </w:rPr>
        <w:t xml:space="preserve"> </w:t>
      </w:r>
    </w:p>
    <w:p w14:paraId="03DEBCC5"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Stein, L. M. (2012). </w:t>
      </w:r>
      <w:r w:rsidRPr="00A4478B">
        <w:rPr>
          <w:rFonts w:ascii="Times New Roman" w:hAnsi="Times New Roman" w:cs="Times New Roman"/>
          <w:i/>
          <w:iCs/>
        </w:rPr>
        <w:t>The benefit of distractions: The effect of social and non-social distractions on boredom and performance</w:t>
      </w:r>
      <w:r w:rsidRPr="00A4478B">
        <w:rPr>
          <w:rFonts w:ascii="Times New Roman" w:hAnsi="Times New Roman" w:cs="Times New Roman"/>
        </w:rPr>
        <w:t>. Rutgers The State University of New Jersey, School of Graduate Studies.</w:t>
      </w:r>
    </w:p>
    <w:p w14:paraId="12FC874B"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Vedel, A. (2014). The Big Five and tertiary academic performance: A systematic review and meta-analysis. </w:t>
      </w:r>
      <w:r w:rsidRPr="00993EB8">
        <w:rPr>
          <w:rFonts w:ascii="Times New Roman" w:hAnsi="Times New Roman" w:cs="Times New Roman"/>
          <w:i/>
          <w:iCs/>
        </w:rPr>
        <w:t>Personality and Individual Differences</w:t>
      </w:r>
      <w:r w:rsidRPr="00993EB8">
        <w:rPr>
          <w:rFonts w:ascii="Times New Roman" w:hAnsi="Times New Roman" w:cs="Times New Roman"/>
        </w:rPr>
        <w:t>, </w:t>
      </w:r>
      <w:r w:rsidRPr="00993EB8">
        <w:rPr>
          <w:rFonts w:ascii="Times New Roman" w:hAnsi="Times New Roman" w:cs="Times New Roman"/>
          <w:i/>
          <w:iCs/>
        </w:rPr>
        <w:t>71</w:t>
      </w:r>
      <w:r w:rsidRPr="00993EB8">
        <w:rPr>
          <w:rFonts w:ascii="Times New Roman" w:hAnsi="Times New Roman" w:cs="Times New Roman"/>
        </w:rPr>
        <w:t xml:space="preserve">, 66–76. </w:t>
      </w:r>
      <w:hyperlink r:id="rId40" w:history="1">
        <w:r w:rsidRPr="00FE7FA9">
          <w:rPr>
            <w:rStyle w:val="Hyperlink"/>
            <w:rFonts w:ascii="Times New Roman" w:hAnsi="Times New Roman" w:cs="Times New Roman"/>
          </w:rPr>
          <w:t>https://doi.org/10.1016/j.paid.2014.07.011</w:t>
        </w:r>
      </w:hyperlink>
      <w:r>
        <w:rPr>
          <w:rFonts w:ascii="Times New Roman" w:hAnsi="Times New Roman" w:cs="Times New Roman"/>
        </w:rPr>
        <w:t xml:space="preserve"> </w:t>
      </w:r>
    </w:p>
    <w:p w14:paraId="7CDF04C9"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Vedel, A., Thomsen, D. K., &amp; Larsen, L. (2015). Personality, academic majors and performance: Revealing complex patterns. </w:t>
      </w:r>
      <w:r w:rsidRPr="00A716D3">
        <w:rPr>
          <w:rFonts w:ascii="Times New Roman" w:hAnsi="Times New Roman" w:cs="Times New Roman"/>
          <w:i/>
          <w:iCs/>
        </w:rPr>
        <w:t>Personality and Individual Differences</w:t>
      </w:r>
      <w:r w:rsidRPr="00A716D3">
        <w:rPr>
          <w:rFonts w:ascii="Times New Roman" w:hAnsi="Times New Roman" w:cs="Times New Roman"/>
        </w:rPr>
        <w:t>, </w:t>
      </w:r>
      <w:r w:rsidRPr="00A716D3">
        <w:rPr>
          <w:rFonts w:ascii="Times New Roman" w:hAnsi="Times New Roman" w:cs="Times New Roman"/>
          <w:i/>
          <w:iCs/>
        </w:rPr>
        <w:t>85</w:t>
      </w:r>
      <w:r w:rsidRPr="00A716D3">
        <w:rPr>
          <w:rFonts w:ascii="Times New Roman" w:hAnsi="Times New Roman" w:cs="Times New Roman"/>
        </w:rPr>
        <w:t xml:space="preserve">, 69–76. </w:t>
      </w:r>
      <w:hyperlink r:id="rId41" w:history="1">
        <w:r w:rsidRPr="00FE7FA9">
          <w:rPr>
            <w:rStyle w:val="Hyperlink"/>
            <w:rFonts w:ascii="Times New Roman" w:hAnsi="Times New Roman" w:cs="Times New Roman"/>
          </w:rPr>
          <w:t>https://doi.org/10.1016/j.paid.2015.04.030</w:t>
        </w:r>
      </w:hyperlink>
      <w:r>
        <w:rPr>
          <w:rFonts w:ascii="Times New Roman" w:hAnsi="Times New Roman" w:cs="Times New Roman"/>
        </w:rPr>
        <w:t xml:space="preserve"> </w:t>
      </w:r>
    </w:p>
    <w:p w14:paraId="12C78A3C"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Wehner, C. (2018). Too scared to achieve: the relation between neuroticism, conscientiousness and socioeconomic outcomes.</w:t>
      </w:r>
      <w:r>
        <w:rPr>
          <w:rFonts w:ascii="Times New Roman" w:hAnsi="Times New Roman" w:cs="Times New Roman"/>
        </w:rPr>
        <w:t xml:space="preserve"> </w:t>
      </w:r>
      <w:r w:rsidRPr="00A716D3">
        <w:rPr>
          <w:rFonts w:ascii="Times New Roman" w:hAnsi="Times New Roman" w:cs="Times New Roman"/>
        </w:rPr>
        <w:t>DOI: 10.26481/dis.20180525cw</w:t>
      </w:r>
      <w:r>
        <w:rPr>
          <w:rFonts w:ascii="Times New Roman" w:hAnsi="Times New Roman" w:cs="Times New Roman"/>
        </w:rPr>
        <w:t xml:space="preserve"> </w:t>
      </w:r>
    </w:p>
    <w:p w14:paraId="0C0ED2FA"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Werner, K. M., Milyavskaya, M., Klimo, R., &amp; Levine, S. L. (2019). Examining the unique and combined effects of grit, trait self-control, and conscientiousness in predicting motivation for academic goals: A commonality analysis. </w:t>
      </w:r>
      <w:r w:rsidRPr="00A26341">
        <w:rPr>
          <w:rFonts w:ascii="Times New Roman" w:hAnsi="Times New Roman" w:cs="Times New Roman"/>
          <w:i/>
          <w:iCs/>
        </w:rPr>
        <w:t>Journal of Research in Personality</w:t>
      </w:r>
      <w:r w:rsidRPr="00A26341">
        <w:rPr>
          <w:rFonts w:ascii="Times New Roman" w:hAnsi="Times New Roman" w:cs="Times New Roman"/>
        </w:rPr>
        <w:t>, </w:t>
      </w:r>
      <w:r w:rsidRPr="00A26341">
        <w:rPr>
          <w:rFonts w:ascii="Times New Roman" w:hAnsi="Times New Roman" w:cs="Times New Roman"/>
          <w:i/>
          <w:iCs/>
        </w:rPr>
        <w:t>81</w:t>
      </w:r>
      <w:r w:rsidRPr="00A26341">
        <w:rPr>
          <w:rFonts w:ascii="Times New Roman" w:hAnsi="Times New Roman" w:cs="Times New Roman"/>
        </w:rPr>
        <w:t xml:space="preserve">, 168–175. </w:t>
      </w:r>
      <w:hyperlink r:id="rId42" w:history="1">
        <w:r w:rsidRPr="00FE7FA9">
          <w:rPr>
            <w:rStyle w:val="Hyperlink"/>
            <w:rFonts w:ascii="Times New Roman" w:hAnsi="Times New Roman" w:cs="Times New Roman"/>
          </w:rPr>
          <w:t>https://doi.org/10.1016/j.jrp.2019.06.003</w:t>
        </w:r>
      </w:hyperlink>
      <w:r>
        <w:rPr>
          <w:rFonts w:ascii="Times New Roman" w:hAnsi="Times New Roman" w:cs="Times New Roman"/>
        </w:rPr>
        <w:t xml:space="preserve"> </w:t>
      </w:r>
    </w:p>
    <w:p w14:paraId="2FC0769F"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Wilmot, M. P., &amp; Ones, D. S. (2022). Agreeableness and Its Consequences: A Quantitative Review of Meta-Analytic Findings. </w:t>
      </w:r>
      <w:r w:rsidRPr="00993EB8">
        <w:rPr>
          <w:rFonts w:ascii="Times New Roman" w:hAnsi="Times New Roman" w:cs="Times New Roman"/>
          <w:i/>
          <w:iCs/>
        </w:rPr>
        <w:t>Personality and Social Psychology Review</w:t>
      </w:r>
      <w:r w:rsidRPr="00993EB8">
        <w:rPr>
          <w:rFonts w:ascii="Times New Roman" w:hAnsi="Times New Roman" w:cs="Times New Roman"/>
        </w:rPr>
        <w:t>, </w:t>
      </w:r>
      <w:r w:rsidRPr="00993EB8">
        <w:rPr>
          <w:rFonts w:ascii="Times New Roman" w:hAnsi="Times New Roman" w:cs="Times New Roman"/>
          <w:i/>
          <w:iCs/>
        </w:rPr>
        <w:t>26</w:t>
      </w:r>
      <w:r w:rsidRPr="00993EB8">
        <w:rPr>
          <w:rFonts w:ascii="Times New Roman" w:hAnsi="Times New Roman" w:cs="Times New Roman"/>
        </w:rPr>
        <w:t xml:space="preserve">(3), 242–280. </w:t>
      </w:r>
      <w:hyperlink r:id="rId43" w:history="1">
        <w:r w:rsidRPr="00FE7FA9">
          <w:rPr>
            <w:rStyle w:val="Hyperlink"/>
            <w:rFonts w:ascii="Times New Roman" w:hAnsi="Times New Roman" w:cs="Times New Roman"/>
          </w:rPr>
          <w:t>https://doi.org/10.1177/10888683211073007</w:t>
        </w:r>
      </w:hyperlink>
    </w:p>
    <w:p w14:paraId="29A613A5" w14:textId="03D08D38" w:rsidR="00361122" w:rsidRPr="00361122" w:rsidRDefault="00361122" w:rsidP="00361122">
      <w:pPr>
        <w:pStyle w:val="NormalWeb"/>
        <w:spacing w:line="360" w:lineRule="auto"/>
        <w:jc w:val="center"/>
        <w:rPr>
          <w:b/>
          <w:bCs/>
          <w:color w:val="000000" w:themeColor="text1"/>
          <w:spacing w:val="1"/>
        </w:rPr>
      </w:pPr>
    </w:p>
    <w:sectPr w:rsidR="00361122" w:rsidRPr="00361122">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5F419" w14:textId="77777777" w:rsidR="00661C45" w:rsidRDefault="00661C45" w:rsidP="00F64F95">
      <w:r>
        <w:separator/>
      </w:r>
    </w:p>
  </w:endnote>
  <w:endnote w:type="continuationSeparator" w:id="0">
    <w:p w14:paraId="61B76E79" w14:textId="77777777" w:rsidR="00661C45" w:rsidRDefault="00661C45" w:rsidP="00F64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021666"/>
      <w:docPartObj>
        <w:docPartGallery w:val="Page Numbers (Bottom of Page)"/>
        <w:docPartUnique/>
      </w:docPartObj>
    </w:sdtPr>
    <w:sdtContent>
      <w:p w14:paraId="5A785EA2" w14:textId="01742FAD" w:rsidR="00F64F95" w:rsidRDefault="00F64F95" w:rsidP="00FE7F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865505" w14:textId="77777777" w:rsidR="00F64F95" w:rsidRDefault="00F64F95" w:rsidP="00F64F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6395343"/>
      <w:docPartObj>
        <w:docPartGallery w:val="Page Numbers (Bottom of Page)"/>
        <w:docPartUnique/>
      </w:docPartObj>
    </w:sdtPr>
    <w:sdtContent>
      <w:p w14:paraId="6EDABD37" w14:textId="056BF718" w:rsidR="00F64F95" w:rsidRDefault="00F64F95" w:rsidP="00FE7F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EE9519" w14:textId="77777777" w:rsidR="00F64F95" w:rsidRDefault="00F64F95" w:rsidP="00F64F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84737" w14:textId="77777777" w:rsidR="00661C45" w:rsidRDefault="00661C45" w:rsidP="00F64F95">
      <w:r>
        <w:separator/>
      </w:r>
    </w:p>
  </w:footnote>
  <w:footnote w:type="continuationSeparator" w:id="0">
    <w:p w14:paraId="56763EB7" w14:textId="77777777" w:rsidR="00661C45" w:rsidRDefault="00661C45" w:rsidP="00F64F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D57"/>
    <w:rsid w:val="00006E78"/>
    <w:rsid w:val="00076DBF"/>
    <w:rsid w:val="0010079D"/>
    <w:rsid w:val="00132718"/>
    <w:rsid w:val="00140CEE"/>
    <w:rsid w:val="00182367"/>
    <w:rsid w:val="00192410"/>
    <w:rsid w:val="001E6EEF"/>
    <w:rsid w:val="001F3F3C"/>
    <w:rsid w:val="002159E3"/>
    <w:rsid w:val="002A224D"/>
    <w:rsid w:val="002A71CB"/>
    <w:rsid w:val="002E37D3"/>
    <w:rsid w:val="00340880"/>
    <w:rsid w:val="00361122"/>
    <w:rsid w:val="003A679D"/>
    <w:rsid w:val="003B7949"/>
    <w:rsid w:val="003F3440"/>
    <w:rsid w:val="004332E5"/>
    <w:rsid w:val="00453358"/>
    <w:rsid w:val="004D241C"/>
    <w:rsid w:val="00502B6E"/>
    <w:rsid w:val="005113C6"/>
    <w:rsid w:val="0053203E"/>
    <w:rsid w:val="00620AC2"/>
    <w:rsid w:val="00623D57"/>
    <w:rsid w:val="00635B6B"/>
    <w:rsid w:val="00643740"/>
    <w:rsid w:val="00661C45"/>
    <w:rsid w:val="00680E71"/>
    <w:rsid w:val="006A5854"/>
    <w:rsid w:val="006D428E"/>
    <w:rsid w:val="00727CB9"/>
    <w:rsid w:val="00767AFF"/>
    <w:rsid w:val="00810B4E"/>
    <w:rsid w:val="00813317"/>
    <w:rsid w:val="00880690"/>
    <w:rsid w:val="008A1E9B"/>
    <w:rsid w:val="00983ED0"/>
    <w:rsid w:val="009A1AEF"/>
    <w:rsid w:val="009A263D"/>
    <w:rsid w:val="009B2569"/>
    <w:rsid w:val="00A13447"/>
    <w:rsid w:val="00A6141A"/>
    <w:rsid w:val="00AA4871"/>
    <w:rsid w:val="00AB0EA0"/>
    <w:rsid w:val="00AE0749"/>
    <w:rsid w:val="00AF5BA5"/>
    <w:rsid w:val="00B01948"/>
    <w:rsid w:val="00B27840"/>
    <w:rsid w:val="00B34D17"/>
    <w:rsid w:val="00BF15CF"/>
    <w:rsid w:val="00C37692"/>
    <w:rsid w:val="00C90B08"/>
    <w:rsid w:val="00C94DE5"/>
    <w:rsid w:val="00D06EE0"/>
    <w:rsid w:val="00D41D99"/>
    <w:rsid w:val="00E06DDF"/>
    <w:rsid w:val="00E21159"/>
    <w:rsid w:val="00EB1BE8"/>
    <w:rsid w:val="00EF79E3"/>
    <w:rsid w:val="00F243AE"/>
    <w:rsid w:val="00F64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7F9C"/>
  <w15:chartTrackingRefBased/>
  <w15:docId w15:val="{42420CCE-73FF-C14C-A4D7-883571B06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3D5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64F95"/>
    <w:pPr>
      <w:tabs>
        <w:tab w:val="center" w:pos="4513"/>
        <w:tab w:val="right" w:pos="9026"/>
      </w:tabs>
    </w:pPr>
  </w:style>
  <w:style w:type="character" w:customStyle="1" w:styleId="FooterChar">
    <w:name w:val="Footer Char"/>
    <w:basedOn w:val="DefaultParagraphFont"/>
    <w:link w:val="Footer"/>
    <w:uiPriority w:val="99"/>
    <w:rsid w:val="00F64F95"/>
  </w:style>
  <w:style w:type="character" w:styleId="PageNumber">
    <w:name w:val="page number"/>
    <w:basedOn w:val="DefaultParagraphFont"/>
    <w:uiPriority w:val="99"/>
    <w:semiHidden/>
    <w:unhideWhenUsed/>
    <w:rsid w:val="00F64F95"/>
  </w:style>
  <w:style w:type="character" w:styleId="Hyperlink">
    <w:name w:val="Hyperlink"/>
    <w:basedOn w:val="DefaultParagraphFont"/>
    <w:uiPriority w:val="99"/>
    <w:unhideWhenUsed/>
    <w:rsid w:val="003611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3275">
      <w:bodyDiv w:val="1"/>
      <w:marLeft w:val="0"/>
      <w:marRight w:val="0"/>
      <w:marTop w:val="0"/>
      <w:marBottom w:val="0"/>
      <w:divBdr>
        <w:top w:val="none" w:sz="0" w:space="0" w:color="auto"/>
        <w:left w:val="none" w:sz="0" w:space="0" w:color="auto"/>
        <w:bottom w:val="none" w:sz="0" w:space="0" w:color="auto"/>
        <w:right w:val="none" w:sz="0" w:space="0" w:color="auto"/>
      </w:divBdr>
    </w:div>
    <w:div w:id="254437417">
      <w:bodyDiv w:val="1"/>
      <w:marLeft w:val="0"/>
      <w:marRight w:val="0"/>
      <w:marTop w:val="0"/>
      <w:marBottom w:val="0"/>
      <w:divBdr>
        <w:top w:val="none" w:sz="0" w:space="0" w:color="auto"/>
        <w:left w:val="none" w:sz="0" w:space="0" w:color="auto"/>
        <w:bottom w:val="none" w:sz="0" w:space="0" w:color="auto"/>
        <w:right w:val="none" w:sz="0" w:space="0" w:color="auto"/>
      </w:divBdr>
    </w:div>
    <w:div w:id="389501989">
      <w:bodyDiv w:val="1"/>
      <w:marLeft w:val="0"/>
      <w:marRight w:val="0"/>
      <w:marTop w:val="0"/>
      <w:marBottom w:val="0"/>
      <w:divBdr>
        <w:top w:val="none" w:sz="0" w:space="0" w:color="auto"/>
        <w:left w:val="none" w:sz="0" w:space="0" w:color="auto"/>
        <w:bottom w:val="none" w:sz="0" w:space="0" w:color="auto"/>
        <w:right w:val="none" w:sz="0" w:space="0" w:color="auto"/>
      </w:divBdr>
    </w:div>
    <w:div w:id="474181371">
      <w:bodyDiv w:val="1"/>
      <w:marLeft w:val="0"/>
      <w:marRight w:val="0"/>
      <w:marTop w:val="0"/>
      <w:marBottom w:val="0"/>
      <w:divBdr>
        <w:top w:val="none" w:sz="0" w:space="0" w:color="auto"/>
        <w:left w:val="none" w:sz="0" w:space="0" w:color="auto"/>
        <w:bottom w:val="none" w:sz="0" w:space="0" w:color="auto"/>
        <w:right w:val="none" w:sz="0" w:space="0" w:color="auto"/>
      </w:divBdr>
    </w:div>
    <w:div w:id="658583033">
      <w:bodyDiv w:val="1"/>
      <w:marLeft w:val="0"/>
      <w:marRight w:val="0"/>
      <w:marTop w:val="0"/>
      <w:marBottom w:val="0"/>
      <w:divBdr>
        <w:top w:val="none" w:sz="0" w:space="0" w:color="auto"/>
        <w:left w:val="none" w:sz="0" w:space="0" w:color="auto"/>
        <w:bottom w:val="none" w:sz="0" w:space="0" w:color="auto"/>
        <w:right w:val="none" w:sz="0" w:space="0" w:color="auto"/>
      </w:divBdr>
    </w:div>
    <w:div w:id="1027833227">
      <w:bodyDiv w:val="1"/>
      <w:marLeft w:val="0"/>
      <w:marRight w:val="0"/>
      <w:marTop w:val="0"/>
      <w:marBottom w:val="0"/>
      <w:divBdr>
        <w:top w:val="none" w:sz="0" w:space="0" w:color="auto"/>
        <w:left w:val="none" w:sz="0" w:space="0" w:color="auto"/>
        <w:bottom w:val="none" w:sz="0" w:space="0" w:color="auto"/>
        <w:right w:val="none" w:sz="0" w:space="0" w:color="auto"/>
      </w:divBdr>
    </w:div>
    <w:div w:id="1094861259">
      <w:bodyDiv w:val="1"/>
      <w:marLeft w:val="0"/>
      <w:marRight w:val="0"/>
      <w:marTop w:val="0"/>
      <w:marBottom w:val="0"/>
      <w:divBdr>
        <w:top w:val="none" w:sz="0" w:space="0" w:color="auto"/>
        <w:left w:val="none" w:sz="0" w:space="0" w:color="auto"/>
        <w:bottom w:val="none" w:sz="0" w:space="0" w:color="auto"/>
        <w:right w:val="none" w:sz="0" w:space="0" w:color="auto"/>
      </w:divBdr>
    </w:div>
    <w:div w:id="1127628192">
      <w:bodyDiv w:val="1"/>
      <w:marLeft w:val="0"/>
      <w:marRight w:val="0"/>
      <w:marTop w:val="0"/>
      <w:marBottom w:val="0"/>
      <w:divBdr>
        <w:top w:val="none" w:sz="0" w:space="0" w:color="auto"/>
        <w:left w:val="none" w:sz="0" w:space="0" w:color="auto"/>
        <w:bottom w:val="none" w:sz="0" w:space="0" w:color="auto"/>
        <w:right w:val="none" w:sz="0" w:space="0" w:color="auto"/>
      </w:divBdr>
    </w:div>
    <w:div w:id="1154564063">
      <w:bodyDiv w:val="1"/>
      <w:marLeft w:val="0"/>
      <w:marRight w:val="0"/>
      <w:marTop w:val="0"/>
      <w:marBottom w:val="0"/>
      <w:divBdr>
        <w:top w:val="none" w:sz="0" w:space="0" w:color="auto"/>
        <w:left w:val="none" w:sz="0" w:space="0" w:color="auto"/>
        <w:bottom w:val="none" w:sz="0" w:space="0" w:color="auto"/>
        <w:right w:val="none" w:sz="0" w:space="0" w:color="auto"/>
      </w:divBdr>
    </w:div>
    <w:div w:id="1433937116">
      <w:bodyDiv w:val="1"/>
      <w:marLeft w:val="0"/>
      <w:marRight w:val="0"/>
      <w:marTop w:val="0"/>
      <w:marBottom w:val="0"/>
      <w:divBdr>
        <w:top w:val="none" w:sz="0" w:space="0" w:color="auto"/>
        <w:left w:val="none" w:sz="0" w:space="0" w:color="auto"/>
        <w:bottom w:val="none" w:sz="0" w:space="0" w:color="auto"/>
        <w:right w:val="none" w:sz="0" w:space="0" w:color="auto"/>
      </w:divBdr>
    </w:div>
    <w:div w:id="1490902412">
      <w:bodyDiv w:val="1"/>
      <w:marLeft w:val="0"/>
      <w:marRight w:val="0"/>
      <w:marTop w:val="0"/>
      <w:marBottom w:val="0"/>
      <w:divBdr>
        <w:top w:val="none" w:sz="0" w:space="0" w:color="auto"/>
        <w:left w:val="none" w:sz="0" w:space="0" w:color="auto"/>
        <w:bottom w:val="none" w:sz="0" w:space="0" w:color="auto"/>
        <w:right w:val="none" w:sz="0" w:space="0" w:color="auto"/>
      </w:divBdr>
    </w:div>
    <w:div w:id="176580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7/1614-0001/a000182" TargetMode="External"/><Relationship Id="rId18" Type="http://schemas.openxmlformats.org/officeDocument/2006/relationships/hyperlink" Target="https://doi.org/10.1016/j.tele.2016.11.001" TargetMode="External"/><Relationship Id="rId26" Type="http://schemas.openxmlformats.org/officeDocument/2006/relationships/hyperlink" Target="https://doi.org/10.1037/0022-3514.52.1.81" TargetMode="External"/><Relationship Id="rId39" Type="http://schemas.openxmlformats.org/officeDocument/2006/relationships/hyperlink" Target="https://doi.org/10.1080/00131881.2014.898917" TargetMode="External"/><Relationship Id="rId21" Type="http://schemas.openxmlformats.org/officeDocument/2006/relationships/hyperlink" Target="https://doi.org/10.21083/surg.v11i0.4120" TargetMode="External"/><Relationship Id="rId34" Type="http://schemas.openxmlformats.org/officeDocument/2006/relationships/hyperlink" Target="https://doi.org/10.1037/per0000224" TargetMode="External"/><Relationship Id="rId42" Type="http://schemas.openxmlformats.org/officeDocument/2006/relationships/hyperlink" Target="https://doi.org/10.1016/j.jrp.2019.06.003" TargetMode="External"/><Relationship Id="rId47" Type="http://schemas.openxmlformats.org/officeDocument/2006/relationships/theme" Target="theme/theme1.xml"/><Relationship Id="rId7" Type="http://schemas.openxmlformats.org/officeDocument/2006/relationships/hyperlink" Target="https://doi.org/10.1037/bul0000373" TargetMode="External"/><Relationship Id="rId2" Type="http://schemas.openxmlformats.org/officeDocument/2006/relationships/styles" Target="styles.xml"/><Relationship Id="rId16" Type="http://schemas.openxmlformats.org/officeDocument/2006/relationships/hyperlink" Target="https://doi.org/10.1016/j.cpr.2014.05.002" TargetMode="External"/><Relationship Id="rId29" Type="http://schemas.openxmlformats.org/officeDocument/2006/relationships/hyperlink" Target="https://doi.org/10.1016/j.neubiorev.2012.09.0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10826-023-02590-4" TargetMode="External"/><Relationship Id="rId24" Type="http://schemas.openxmlformats.org/officeDocument/2006/relationships/hyperlink" Target="https://doi.org/10.1111/jopy.12663" TargetMode="External"/><Relationship Id="rId32" Type="http://schemas.openxmlformats.org/officeDocument/2006/relationships/hyperlink" Target="https://doi.org/10.1037/0033-2909.132.1.29" TargetMode="External"/><Relationship Id="rId37" Type="http://schemas.openxmlformats.org/officeDocument/2006/relationships/hyperlink" Target="https://doi.org/10.1111/jopy.12081" TargetMode="External"/><Relationship Id="rId40" Type="http://schemas.openxmlformats.org/officeDocument/2006/relationships/hyperlink" Target="https://doi.org/10.1016/j.paid.2014.07.011"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037/edu0000194" TargetMode="External"/><Relationship Id="rId23" Type="http://schemas.openxmlformats.org/officeDocument/2006/relationships/hyperlink" Target="https://doi.org/10.1007/s10648-019-09484-2" TargetMode="External"/><Relationship Id="rId28" Type="http://schemas.openxmlformats.org/officeDocument/2006/relationships/hyperlink" Target="https://doi.org/10.1037/0022-3514.93.1.116" TargetMode="External"/><Relationship Id="rId36" Type="http://schemas.openxmlformats.org/officeDocument/2006/relationships/hyperlink" Target="https://doi.org/10.1177/1088868318814973" TargetMode="External"/><Relationship Id="rId10" Type="http://schemas.openxmlformats.org/officeDocument/2006/relationships/hyperlink" Target="https://doi.org/10.20429/ijsotl.2012.060108" TargetMode="External"/><Relationship Id="rId19" Type="http://schemas.openxmlformats.org/officeDocument/2006/relationships/hyperlink" Target="https://doi.org/10.1016/j.paid.2013.01.013" TargetMode="External"/><Relationship Id="rId31" Type="http://schemas.openxmlformats.org/officeDocument/2006/relationships/hyperlink" Target="https://doi.org/10.1037/a0026838"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sbspro.2013.04.319" TargetMode="External"/><Relationship Id="rId14" Type="http://schemas.openxmlformats.org/officeDocument/2006/relationships/hyperlink" Target="https://doi.org/10.1007/s11251-012-9259-9" TargetMode="External"/><Relationship Id="rId22" Type="http://schemas.openxmlformats.org/officeDocument/2006/relationships/hyperlink" Target="https://doi.org/10.1016/j.paid.2011.04.019" TargetMode="External"/><Relationship Id="rId27" Type="http://schemas.openxmlformats.org/officeDocument/2006/relationships/hyperlink" Target="https://doi.org/10.1371/journal.pone.0267185" TargetMode="External"/><Relationship Id="rId30" Type="http://schemas.openxmlformats.org/officeDocument/2006/relationships/hyperlink" Target="https://doi.org/10.1348/000709910X497671" TargetMode="External"/><Relationship Id="rId35" Type="http://schemas.openxmlformats.org/officeDocument/2006/relationships/hyperlink" Target="https://doi.org/10.1037/emo0000047" TargetMode="External"/><Relationship Id="rId43" Type="http://schemas.openxmlformats.org/officeDocument/2006/relationships/hyperlink" Target="https://doi.org/10.1177/10888683211073007" TargetMode="External"/><Relationship Id="rId8" Type="http://schemas.openxmlformats.org/officeDocument/2006/relationships/hyperlink" Target="https://doi.org/10.1002/per.1923" TargetMode="External"/><Relationship Id="rId3" Type="http://schemas.openxmlformats.org/officeDocument/2006/relationships/settings" Target="settings.xml"/><Relationship Id="rId12" Type="http://schemas.openxmlformats.org/officeDocument/2006/relationships/hyperlink" Target="https://doi.org/10.1016/j.tsc.2012.07.004" TargetMode="External"/><Relationship Id="rId17" Type="http://schemas.openxmlformats.org/officeDocument/2006/relationships/hyperlink" Target="https://doi.org/10.1016/j.sbspro.2012.01.055" TargetMode="External"/><Relationship Id="rId25" Type="http://schemas.openxmlformats.org/officeDocument/2006/relationships/hyperlink" Target="https://doi.org/10.1037/a0031748" TargetMode="External"/><Relationship Id="rId33" Type="http://schemas.openxmlformats.org/officeDocument/2006/relationships/hyperlink" Target="https://doi.org/10.1016/j.lindif.2011.02.010" TargetMode="External"/><Relationship Id="rId38" Type="http://schemas.openxmlformats.org/officeDocument/2006/relationships/hyperlink" Target="https://doi.org/10.1007/s10648-022-09693-2" TargetMode="External"/><Relationship Id="rId46" Type="http://schemas.openxmlformats.org/officeDocument/2006/relationships/fontTable" Target="fontTable.xml"/><Relationship Id="rId20" Type="http://schemas.openxmlformats.org/officeDocument/2006/relationships/hyperlink" Target="https://doi.org/10.1111/jopy.12156" TargetMode="External"/><Relationship Id="rId41" Type="http://schemas.openxmlformats.org/officeDocument/2006/relationships/hyperlink" Target="https://doi.org/10.1016/j.paid.2015.04.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ved10</b:Tag>
    <b:SourceType>ElectronicSource</b:SourceType>
    <b:Guid>{A393B530-7EF5-2541-9BAA-2C32AD374F8F}</b:Guid>
    <b:Year>2010</b:Year>
    <b:Author>
      <b:Author>
        <b:NameList>
          <b:Person>
            <b:Last>vedel</b:Last>
          </b:Person>
        </b:NameList>
      </b:Author>
    </b:Author>
    <b:RefOrder>1</b:RefOrder>
  </b:Source>
</b:Sources>
</file>

<file path=customXml/itemProps1.xml><?xml version="1.0" encoding="utf-8"?>
<ds:datastoreItem xmlns:ds="http://schemas.openxmlformats.org/officeDocument/2006/customXml" ds:itemID="{F17E07B9-BE9B-3C4E-BC2C-A08A29E01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5108</Words>
  <Characters>29116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12</cp:revision>
  <dcterms:created xsi:type="dcterms:W3CDTF">2023-11-28T09:17:00Z</dcterms:created>
  <dcterms:modified xsi:type="dcterms:W3CDTF">2023-11-28T09:35:00Z</dcterms:modified>
</cp:coreProperties>
</file>