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86EB90" w14:textId="2A303597" w:rsidR="00A02A3E" w:rsidRDefault="00606D0E">
      <w:pPr>
        <w:spacing w:line="360" w:lineRule="auto"/>
        <w:jc w:val="left"/>
        <w:rPr>
          <w:rFonts w:ascii="Arial" w:hAnsi="Arial" w:cs="Arial"/>
          <w:sz w:val="22"/>
          <w:szCs w:val="22"/>
        </w:rPr>
      </w:pPr>
      <w:r>
        <w:rPr>
          <w:rFonts w:ascii="Arial" w:hAnsi="Arial" w:cs="Arial"/>
          <w:noProof/>
          <w:sz w:val="22"/>
          <w:szCs w:val="22"/>
        </w:rPr>
        <w:drawing>
          <wp:inline distT="0" distB="0" distL="0" distR="0" wp14:anchorId="28FDAA38" wp14:editId="452B5387">
            <wp:extent cx="2011680" cy="1115695"/>
            <wp:effectExtent l="0" t="0" r="7620" b="8255"/>
            <wp:docPr id="542020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1680" cy="1115695"/>
                    </a:xfrm>
                    <a:prstGeom prst="rect">
                      <a:avLst/>
                    </a:prstGeom>
                    <a:noFill/>
                  </pic:spPr>
                </pic:pic>
              </a:graphicData>
            </a:graphic>
          </wp:inline>
        </w:drawing>
      </w:r>
    </w:p>
    <w:p w14:paraId="7A6CAC80" w14:textId="66EA74EE" w:rsidR="00606D0E" w:rsidRDefault="00606D0E">
      <w:pPr>
        <w:spacing w:line="360" w:lineRule="auto"/>
        <w:jc w:val="left"/>
        <w:rPr>
          <w:rFonts w:ascii="Arial" w:hAnsi="Arial" w:cs="Arial"/>
          <w:sz w:val="22"/>
          <w:szCs w:val="22"/>
        </w:rPr>
      </w:pPr>
      <w:r>
        <w:rPr>
          <w:rFonts w:ascii="Arial" w:hAnsi="Arial" w:cs="Arial"/>
          <w:sz w:val="22"/>
          <w:szCs w:val="22"/>
        </w:rPr>
        <w:t xml:space="preserve"> Name: Antonio De Jesus Soares</w:t>
      </w:r>
    </w:p>
    <w:p w14:paraId="1A2FE7E4" w14:textId="57AB76FD" w:rsidR="00606D0E" w:rsidRDefault="00606D0E">
      <w:pPr>
        <w:spacing w:line="360" w:lineRule="auto"/>
        <w:jc w:val="left"/>
        <w:rPr>
          <w:rFonts w:ascii="Arial" w:hAnsi="Arial" w:cs="Arial"/>
          <w:sz w:val="22"/>
          <w:szCs w:val="22"/>
        </w:rPr>
      </w:pPr>
      <w:r>
        <w:rPr>
          <w:rFonts w:ascii="Arial" w:hAnsi="Arial" w:cs="Arial"/>
          <w:sz w:val="22"/>
          <w:szCs w:val="22"/>
        </w:rPr>
        <w:t>ID: 2335800</w:t>
      </w:r>
    </w:p>
    <w:p w14:paraId="7F24080F" w14:textId="7014AF31" w:rsidR="00606D0E" w:rsidRDefault="00606D0E">
      <w:pPr>
        <w:spacing w:line="360" w:lineRule="auto"/>
        <w:jc w:val="left"/>
        <w:rPr>
          <w:rFonts w:ascii="Arial" w:hAnsi="Arial" w:cs="Arial"/>
          <w:sz w:val="22"/>
          <w:szCs w:val="22"/>
        </w:rPr>
      </w:pPr>
      <w:r>
        <w:rPr>
          <w:rFonts w:ascii="Arial" w:hAnsi="Arial" w:cs="Arial"/>
          <w:sz w:val="22"/>
          <w:szCs w:val="22"/>
        </w:rPr>
        <w:t>Module: Changemakers; Building Your Personal Brand for Sustainable Employment</w:t>
      </w:r>
    </w:p>
    <w:p w14:paraId="629CC35D" w14:textId="172D1FA8" w:rsidR="007C0B62" w:rsidRDefault="007C0B62">
      <w:pPr>
        <w:spacing w:line="360" w:lineRule="auto"/>
        <w:jc w:val="left"/>
        <w:rPr>
          <w:rFonts w:ascii="Arial" w:hAnsi="Arial" w:cs="Arial"/>
          <w:sz w:val="22"/>
          <w:szCs w:val="22"/>
        </w:rPr>
      </w:pPr>
      <w:r>
        <w:rPr>
          <w:rFonts w:ascii="Arial" w:hAnsi="Arial" w:cs="Arial"/>
          <w:sz w:val="22"/>
          <w:szCs w:val="22"/>
        </w:rPr>
        <w:t>Code: BMHP5015</w:t>
      </w:r>
    </w:p>
    <w:p w14:paraId="6B35E2B8" w14:textId="2632F41A" w:rsidR="007C0B62" w:rsidRDefault="007C0B62">
      <w:pPr>
        <w:spacing w:line="360" w:lineRule="auto"/>
        <w:jc w:val="left"/>
        <w:rPr>
          <w:rFonts w:ascii="Arial" w:hAnsi="Arial" w:cs="Arial"/>
          <w:sz w:val="22"/>
          <w:szCs w:val="22"/>
        </w:rPr>
      </w:pPr>
      <w:r>
        <w:rPr>
          <w:rFonts w:ascii="Arial" w:hAnsi="Arial" w:cs="Arial"/>
          <w:sz w:val="22"/>
          <w:szCs w:val="22"/>
        </w:rPr>
        <w:t>Lecture: Caroline Salami</w:t>
      </w:r>
    </w:p>
    <w:p w14:paraId="1281F228" w14:textId="04BAA515" w:rsidR="000E4371" w:rsidRDefault="00F22623">
      <w:pPr>
        <w:spacing w:line="360" w:lineRule="auto"/>
        <w:jc w:val="left"/>
        <w:rPr>
          <w:rFonts w:ascii="Arial" w:hAnsi="Arial" w:cs="Arial"/>
          <w:sz w:val="22"/>
          <w:szCs w:val="22"/>
        </w:rPr>
      </w:pPr>
      <w:r>
        <w:rPr>
          <w:rFonts w:ascii="Arial" w:hAnsi="Arial" w:cs="Arial"/>
          <w:sz w:val="22"/>
          <w:szCs w:val="22"/>
        </w:rPr>
        <w:t xml:space="preserve">Assessment </w:t>
      </w:r>
      <w:r w:rsidR="000E4371">
        <w:rPr>
          <w:rFonts w:ascii="Arial" w:hAnsi="Arial" w:cs="Arial"/>
          <w:sz w:val="22"/>
          <w:szCs w:val="22"/>
        </w:rPr>
        <w:t xml:space="preserve">Component:1  </w:t>
      </w:r>
    </w:p>
    <w:p w14:paraId="1F35641E" w14:textId="77777777" w:rsidR="000E4371" w:rsidRDefault="000E4371">
      <w:pPr>
        <w:spacing w:line="360" w:lineRule="auto"/>
        <w:jc w:val="left"/>
        <w:rPr>
          <w:rFonts w:ascii="Arial" w:hAnsi="Arial" w:cs="Arial"/>
          <w:sz w:val="22"/>
          <w:szCs w:val="22"/>
        </w:rPr>
      </w:pPr>
    </w:p>
    <w:p w14:paraId="0D2B3AC5" w14:textId="629FB6DA" w:rsidR="00606D0E" w:rsidRPr="009C1E5C" w:rsidRDefault="00606D0E">
      <w:pPr>
        <w:spacing w:line="360" w:lineRule="auto"/>
        <w:jc w:val="left"/>
        <w:rPr>
          <w:rFonts w:ascii="Arial" w:hAnsi="Arial" w:cs="Arial"/>
          <w:sz w:val="22"/>
          <w:szCs w:val="22"/>
        </w:rPr>
      </w:pPr>
    </w:p>
    <w:p w14:paraId="2507F132" w14:textId="77777777" w:rsidR="00A02A3E" w:rsidRPr="009C1E5C" w:rsidRDefault="00A02A3E">
      <w:pPr>
        <w:spacing w:line="360" w:lineRule="auto"/>
        <w:jc w:val="left"/>
        <w:rPr>
          <w:rFonts w:ascii="Arial" w:hAnsi="Arial" w:cs="Arial"/>
          <w:sz w:val="22"/>
          <w:szCs w:val="22"/>
        </w:rPr>
      </w:pPr>
    </w:p>
    <w:p w14:paraId="3CBCC4A2" w14:textId="77777777" w:rsidR="00A02A3E" w:rsidRPr="009C1E5C" w:rsidRDefault="00A02A3E">
      <w:pPr>
        <w:spacing w:line="360" w:lineRule="auto"/>
        <w:jc w:val="left"/>
        <w:rPr>
          <w:rFonts w:ascii="Arial" w:hAnsi="Arial" w:cs="Arial"/>
          <w:sz w:val="22"/>
          <w:szCs w:val="22"/>
        </w:rPr>
      </w:pPr>
    </w:p>
    <w:p w14:paraId="30D060E8" w14:textId="77777777" w:rsidR="00A02A3E" w:rsidRPr="009C1E5C" w:rsidRDefault="00A02A3E">
      <w:pPr>
        <w:spacing w:line="360" w:lineRule="auto"/>
        <w:jc w:val="left"/>
        <w:rPr>
          <w:rFonts w:ascii="Arial" w:hAnsi="Arial" w:cs="Arial"/>
          <w:sz w:val="22"/>
          <w:szCs w:val="22"/>
        </w:rPr>
      </w:pPr>
    </w:p>
    <w:p w14:paraId="452266E4" w14:textId="77777777" w:rsidR="00A02A3E" w:rsidRPr="009C1E5C" w:rsidRDefault="00A02A3E">
      <w:pPr>
        <w:spacing w:line="360" w:lineRule="auto"/>
        <w:jc w:val="left"/>
        <w:rPr>
          <w:rFonts w:ascii="Arial" w:hAnsi="Arial" w:cs="Arial"/>
          <w:sz w:val="22"/>
          <w:szCs w:val="22"/>
        </w:rPr>
      </w:pPr>
    </w:p>
    <w:p w14:paraId="53D22506" w14:textId="77777777" w:rsidR="00A02A3E" w:rsidRPr="009C1E5C" w:rsidRDefault="00A02A3E">
      <w:pPr>
        <w:spacing w:line="360" w:lineRule="auto"/>
        <w:jc w:val="left"/>
        <w:rPr>
          <w:rFonts w:ascii="Arial" w:hAnsi="Arial" w:cs="Arial"/>
          <w:sz w:val="22"/>
          <w:szCs w:val="22"/>
        </w:rPr>
      </w:pPr>
    </w:p>
    <w:p w14:paraId="3FE33C1C" w14:textId="77777777" w:rsidR="00A02A3E" w:rsidRPr="009C1E5C" w:rsidRDefault="00A02A3E">
      <w:pPr>
        <w:spacing w:line="360" w:lineRule="auto"/>
        <w:jc w:val="left"/>
        <w:rPr>
          <w:rFonts w:ascii="Arial" w:hAnsi="Arial" w:cs="Arial"/>
          <w:sz w:val="22"/>
          <w:szCs w:val="22"/>
        </w:rPr>
      </w:pPr>
    </w:p>
    <w:p w14:paraId="0B85CB5A" w14:textId="77777777" w:rsidR="00A02A3E" w:rsidRPr="009C1E5C" w:rsidRDefault="00A02A3E">
      <w:pPr>
        <w:spacing w:line="360" w:lineRule="auto"/>
        <w:jc w:val="left"/>
        <w:rPr>
          <w:rFonts w:ascii="Arial" w:hAnsi="Arial" w:cs="Arial"/>
          <w:sz w:val="22"/>
          <w:szCs w:val="22"/>
        </w:rPr>
      </w:pPr>
    </w:p>
    <w:p w14:paraId="26D6F29F" w14:textId="77777777" w:rsidR="00A02A3E" w:rsidRPr="009C1E5C" w:rsidRDefault="00A02A3E">
      <w:pPr>
        <w:spacing w:line="360" w:lineRule="auto"/>
        <w:jc w:val="left"/>
        <w:rPr>
          <w:rFonts w:ascii="Arial" w:hAnsi="Arial" w:cs="Arial"/>
          <w:sz w:val="22"/>
          <w:szCs w:val="22"/>
        </w:rPr>
      </w:pPr>
    </w:p>
    <w:p w14:paraId="1F2676B6" w14:textId="77777777" w:rsidR="00A02A3E" w:rsidRPr="009C1E5C" w:rsidRDefault="00A02A3E">
      <w:pPr>
        <w:spacing w:line="360" w:lineRule="auto"/>
        <w:jc w:val="left"/>
        <w:rPr>
          <w:rFonts w:ascii="Arial" w:hAnsi="Arial" w:cs="Arial"/>
          <w:sz w:val="22"/>
          <w:szCs w:val="22"/>
        </w:rPr>
      </w:pPr>
    </w:p>
    <w:p w14:paraId="1C6EF899" w14:textId="5420012F" w:rsidR="00A02A3E" w:rsidRPr="009C1E5C" w:rsidRDefault="00000000">
      <w:pPr>
        <w:spacing w:line="360" w:lineRule="auto"/>
        <w:jc w:val="center"/>
        <w:rPr>
          <w:rFonts w:ascii="Arial" w:hAnsi="Arial" w:cs="Arial"/>
          <w:i/>
          <w:iCs/>
          <w:sz w:val="22"/>
          <w:szCs w:val="22"/>
        </w:rPr>
      </w:pPr>
      <w:r w:rsidRPr="009C1E5C">
        <w:rPr>
          <w:rFonts w:ascii="Arial" w:hAnsi="Arial" w:cs="Arial"/>
          <w:sz w:val="22"/>
          <w:szCs w:val="22"/>
        </w:rPr>
        <w:br w:type="page"/>
      </w:r>
    </w:p>
    <w:p w14:paraId="6843B66F" w14:textId="77777777" w:rsidR="00A02A3E" w:rsidRPr="009C1E5C" w:rsidRDefault="00000000">
      <w:pPr>
        <w:keepNext/>
        <w:keepLines/>
        <w:pBdr>
          <w:top w:val="nil"/>
          <w:left w:val="nil"/>
          <w:bottom w:val="nil"/>
          <w:right w:val="nil"/>
          <w:between w:val="nil"/>
        </w:pBdr>
        <w:spacing w:before="240" w:after="0" w:line="360" w:lineRule="auto"/>
        <w:jc w:val="center"/>
        <w:rPr>
          <w:rFonts w:ascii="Arial" w:hAnsi="Arial" w:cs="Arial"/>
          <w:b/>
          <w:bCs/>
          <w:color w:val="000000"/>
          <w:sz w:val="22"/>
          <w:szCs w:val="22"/>
        </w:rPr>
      </w:pPr>
      <w:r w:rsidRPr="009C1E5C">
        <w:rPr>
          <w:rFonts w:ascii="Arial" w:hAnsi="Arial" w:cs="Arial"/>
          <w:b/>
          <w:bCs/>
          <w:color w:val="000000"/>
          <w:sz w:val="22"/>
          <w:szCs w:val="22"/>
        </w:rPr>
        <w:lastRenderedPageBreak/>
        <w:t>Table of Contents</w:t>
      </w:r>
    </w:p>
    <w:sdt>
      <w:sdtPr>
        <w:rPr>
          <w:rFonts w:ascii="Arial" w:hAnsi="Arial" w:cs="Arial"/>
          <w:sz w:val="22"/>
          <w:szCs w:val="22"/>
        </w:rPr>
        <w:id w:val="-166509392"/>
        <w:docPartObj>
          <w:docPartGallery w:val="Table of Contents"/>
          <w:docPartUnique/>
        </w:docPartObj>
      </w:sdtPr>
      <w:sdtContent>
        <w:p w14:paraId="08BAAAA7" w14:textId="77777777" w:rsidR="00A02A3E" w:rsidRPr="009C1E5C" w:rsidRDefault="00000000">
          <w:pPr>
            <w:pBdr>
              <w:top w:val="nil"/>
              <w:left w:val="nil"/>
              <w:bottom w:val="nil"/>
              <w:right w:val="nil"/>
              <w:between w:val="nil"/>
            </w:pBdr>
            <w:tabs>
              <w:tab w:val="right" w:leader="dot" w:pos="9350"/>
            </w:tabs>
            <w:spacing w:after="100" w:line="360" w:lineRule="auto"/>
            <w:rPr>
              <w:rFonts w:ascii="Arial" w:eastAsia="Calibri" w:hAnsi="Arial" w:cs="Arial"/>
              <w:color w:val="000000"/>
              <w:sz w:val="22"/>
              <w:szCs w:val="22"/>
            </w:rPr>
          </w:pPr>
          <w:r w:rsidRPr="009C1E5C">
            <w:rPr>
              <w:rFonts w:ascii="Arial" w:hAnsi="Arial" w:cs="Arial"/>
              <w:sz w:val="22"/>
              <w:szCs w:val="22"/>
            </w:rPr>
            <w:fldChar w:fldCharType="begin"/>
          </w:r>
          <w:r w:rsidRPr="009C1E5C">
            <w:rPr>
              <w:rFonts w:ascii="Arial" w:hAnsi="Arial" w:cs="Arial"/>
              <w:sz w:val="22"/>
              <w:szCs w:val="22"/>
            </w:rPr>
            <w:instrText xml:space="preserve"> TOC \h \u \z \t "Heading 1,1,Heading 2,2,Heading 3,3,"</w:instrText>
          </w:r>
          <w:r w:rsidRPr="009C1E5C">
            <w:rPr>
              <w:rFonts w:ascii="Arial" w:hAnsi="Arial" w:cs="Arial"/>
              <w:sz w:val="22"/>
              <w:szCs w:val="22"/>
            </w:rPr>
            <w:fldChar w:fldCharType="separate"/>
          </w:r>
          <w:hyperlink w:anchor="_heading=h.um4obel39tz6">
            <w:r w:rsidRPr="009C1E5C">
              <w:rPr>
                <w:rFonts w:ascii="Arial" w:hAnsi="Arial" w:cs="Arial"/>
                <w:color w:val="000000"/>
                <w:sz w:val="22"/>
                <w:szCs w:val="22"/>
              </w:rPr>
              <w:t>INTRODUCTION</w:t>
            </w:r>
            <w:r w:rsidRPr="009C1E5C">
              <w:rPr>
                <w:rFonts w:ascii="Arial" w:hAnsi="Arial" w:cs="Arial"/>
                <w:color w:val="000000"/>
                <w:sz w:val="22"/>
                <w:szCs w:val="22"/>
              </w:rPr>
              <w:tab/>
              <w:t>3</w:t>
            </w:r>
          </w:hyperlink>
        </w:p>
        <w:p w14:paraId="7C31727A" w14:textId="77777777" w:rsidR="00A02A3E" w:rsidRPr="009C1E5C" w:rsidRDefault="00000000">
          <w:pPr>
            <w:pBdr>
              <w:top w:val="nil"/>
              <w:left w:val="nil"/>
              <w:bottom w:val="nil"/>
              <w:right w:val="nil"/>
              <w:between w:val="nil"/>
            </w:pBdr>
            <w:tabs>
              <w:tab w:val="right" w:leader="dot" w:pos="9350"/>
            </w:tabs>
            <w:spacing w:after="100" w:line="360" w:lineRule="auto"/>
            <w:rPr>
              <w:rFonts w:ascii="Arial" w:eastAsia="Calibri" w:hAnsi="Arial" w:cs="Arial"/>
              <w:color w:val="000000"/>
              <w:sz w:val="22"/>
              <w:szCs w:val="22"/>
            </w:rPr>
          </w:pPr>
          <w:hyperlink w:anchor="_heading=h.tdywsx7926ge">
            <w:r w:rsidRPr="009C1E5C">
              <w:rPr>
                <w:rFonts w:ascii="Arial" w:hAnsi="Arial" w:cs="Arial"/>
                <w:color w:val="000000"/>
                <w:sz w:val="22"/>
                <w:szCs w:val="22"/>
              </w:rPr>
              <w:t>TASK 1: UNIT 1: BRAND YOU</w:t>
            </w:r>
            <w:r w:rsidRPr="009C1E5C">
              <w:rPr>
                <w:rFonts w:ascii="Arial" w:hAnsi="Arial" w:cs="Arial"/>
                <w:color w:val="000000"/>
                <w:sz w:val="22"/>
                <w:szCs w:val="22"/>
              </w:rPr>
              <w:tab/>
              <w:t>3</w:t>
            </w:r>
          </w:hyperlink>
        </w:p>
        <w:p w14:paraId="100199CD" w14:textId="77777777" w:rsidR="00A02A3E" w:rsidRPr="009C1E5C" w:rsidRDefault="00000000">
          <w:pPr>
            <w:pBdr>
              <w:top w:val="nil"/>
              <w:left w:val="nil"/>
              <w:bottom w:val="nil"/>
              <w:right w:val="nil"/>
              <w:between w:val="nil"/>
            </w:pBdr>
            <w:tabs>
              <w:tab w:val="right" w:leader="dot" w:pos="9350"/>
            </w:tabs>
            <w:spacing w:after="100" w:line="360" w:lineRule="auto"/>
            <w:rPr>
              <w:rFonts w:ascii="Arial" w:eastAsia="Calibri" w:hAnsi="Arial" w:cs="Arial"/>
              <w:color w:val="000000"/>
              <w:sz w:val="22"/>
              <w:szCs w:val="22"/>
            </w:rPr>
          </w:pPr>
          <w:hyperlink w:anchor="_heading=h.ymbfrxp9g5s1">
            <w:r w:rsidRPr="009C1E5C">
              <w:rPr>
                <w:rFonts w:ascii="Arial" w:hAnsi="Arial" w:cs="Arial"/>
                <w:color w:val="000000"/>
                <w:sz w:val="22"/>
                <w:szCs w:val="22"/>
              </w:rPr>
              <w:t>TASK 2: UNIT 2: IT’S A SMALL WORLD</w:t>
            </w:r>
            <w:r w:rsidRPr="009C1E5C">
              <w:rPr>
                <w:rFonts w:ascii="Arial" w:hAnsi="Arial" w:cs="Arial"/>
                <w:color w:val="000000"/>
                <w:sz w:val="22"/>
                <w:szCs w:val="22"/>
              </w:rPr>
              <w:tab/>
              <w:t>6</w:t>
            </w:r>
          </w:hyperlink>
        </w:p>
        <w:p w14:paraId="2875FB1B" w14:textId="77777777" w:rsidR="00A02A3E" w:rsidRPr="009C1E5C" w:rsidRDefault="00000000">
          <w:pPr>
            <w:pBdr>
              <w:top w:val="nil"/>
              <w:left w:val="nil"/>
              <w:bottom w:val="nil"/>
              <w:right w:val="nil"/>
              <w:between w:val="nil"/>
            </w:pBdr>
            <w:tabs>
              <w:tab w:val="right" w:leader="dot" w:pos="9350"/>
            </w:tabs>
            <w:spacing w:after="100" w:line="360" w:lineRule="auto"/>
            <w:rPr>
              <w:rFonts w:ascii="Arial" w:eastAsia="Calibri" w:hAnsi="Arial" w:cs="Arial"/>
              <w:color w:val="000000"/>
              <w:sz w:val="22"/>
              <w:szCs w:val="22"/>
            </w:rPr>
          </w:pPr>
          <w:hyperlink w:anchor="_heading=h.pmx028dstufj">
            <w:r w:rsidRPr="009C1E5C">
              <w:rPr>
                <w:rFonts w:ascii="Arial" w:hAnsi="Arial" w:cs="Arial"/>
                <w:color w:val="000000"/>
                <w:sz w:val="22"/>
                <w:szCs w:val="22"/>
              </w:rPr>
              <w:t>TASK 3: UNIT 3: OPPORTUNITY KNOCKS</w:t>
            </w:r>
            <w:r w:rsidRPr="009C1E5C">
              <w:rPr>
                <w:rFonts w:ascii="Arial" w:hAnsi="Arial" w:cs="Arial"/>
                <w:color w:val="000000"/>
                <w:sz w:val="22"/>
                <w:szCs w:val="22"/>
              </w:rPr>
              <w:tab/>
              <w:t>8</w:t>
            </w:r>
          </w:hyperlink>
        </w:p>
        <w:p w14:paraId="512F0609" w14:textId="77777777" w:rsidR="00A02A3E" w:rsidRPr="009C1E5C" w:rsidRDefault="00000000">
          <w:pPr>
            <w:pBdr>
              <w:top w:val="nil"/>
              <w:left w:val="nil"/>
              <w:bottom w:val="nil"/>
              <w:right w:val="nil"/>
              <w:between w:val="nil"/>
            </w:pBdr>
            <w:tabs>
              <w:tab w:val="right" w:leader="dot" w:pos="9350"/>
            </w:tabs>
            <w:spacing w:after="100" w:line="360" w:lineRule="auto"/>
            <w:rPr>
              <w:rFonts w:ascii="Arial" w:eastAsia="Calibri" w:hAnsi="Arial" w:cs="Arial"/>
              <w:color w:val="000000"/>
              <w:sz w:val="22"/>
              <w:szCs w:val="22"/>
            </w:rPr>
          </w:pPr>
          <w:hyperlink w:anchor="_heading=h.m0q1udkjptyd">
            <w:r w:rsidRPr="009C1E5C">
              <w:rPr>
                <w:rFonts w:ascii="Arial" w:hAnsi="Arial" w:cs="Arial"/>
                <w:color w:val="000000"/>
                <w:sz w:val="22"/>
                <w:szCs w:val="22"/>
              </w:rPr>
              <w:t>TASK 4: UNIT 4: THE PURSUIT OF HAPPINESS</w:t>
            </w:r>
            <w:r w:rsidRPr="009C1E5C">
              <w:rPr>
                <w:rFonts w:ascii="Arial" w:hAnsi="Arial" w:cs="Arial"/>
                <w:color w:val="000000"/>
                <w:sz w:val="22"/>
                <w:szCs w:val="22"/>
              </w:rPr>
              <w:tab/>
              <w:t>9</w:t>
            </w:r>
          </w:hyperlink>
        </w:p>
        <w:p w14:paraId="14076F33" w14:textId="77777777" w:rsidR="00A02A3E" w:rsidRPr="009C1E5C" w:rsidRDefault="00000000">
          <w:pPr>
            <w:pBdr>
              <w:top w:val="nil"/>
              <w:left w:val="nil"/>
              <w:bottom w:val="nil"/>
              <w:right w:val="nil"/>
              <w:between w:val="nil"/>
            </w:pBdr>
            <w:tabs>
              <w:tab w:val="right" w:leader="dot" w:pos="9350"/>
            </w:tabs>
            <w:spacing w:after="100" w:line="360" w:lineRule="auto"/>
            <w:rPr>
              <w:rFonts w:ascii="Arial" w:eastAsia="Calibri" w:hAnsi="Arial" w:cs="Arial"/>
              <w:color w:val="000000"/>
              <w:sz w:val="22"/>
              <w:szCs w:val="22"/>
            </w:rPr>
          </w:pPr>
          <w:hyperlink w:anchor="_heading=h.3b7jjt8bewsk">
            <w:r w:rsidRPr="009C1E5C">
              <w:rPr>
                <w:rFonts w:ascii="Arial" w:hAnsi="Arial" w:cs="Arial"/>
                <w:color w:val="000000"/>
                <w:sz w:val="22"/>
                <w:szCs w:val="22"/>
              </w:rPr>
              <w:t>CONCLUSION</w:t>
            </w:r>
            <w:r w:rsidRPr="009C1E5C">
              <w:rPr>
                <w:rFonts w:ascii="Arial" w:hAnsi="Arial" w:cs="Arial"/>
                <w:color w:val="000000"/>
                <w:sz w:val="22"/>
                <w:szCs w:val="22"/>
              </w:rPr>
              <w:tab/>
              <w:t>10</w:t>
            </w:r>
          </w:hyperlink>
        </w:p>
        <w:p w14:paraId="7C41A887" w14:textId="77777777" w:rsidR="00A02A3E" w:rsidRPr="009C1E5C" w:rsidRDefault="00000000">
          <w:pPr>
            <w:pBdr>
              <w:top w:val="nil"/>
              <w:left w:val="nil"/>
              <w:bottom w:val="nil"/>
              <w:right w:val="nil"/>
              <w:between w:val="nil"/>
            </w:pBdr>
            <w:tabs>
              <w:tab w:val="right" w:leader="dot" w:pos="9350"/>
            </w:tabs>
            <w:spacing w:after="100" w:line="360" w:lineRule="auto"/>
            <w:rPr>
              <w:rFonts w:ascii="Arial" w:eastAsia="Calibri" w:hAnsi="Arial" w:cs="Arial"/>
              <w:color w:val="000000"/>
              <w:sz w:val="22"/>
              <w:szCs w:val="22"/>
            </w:rPr>
          </w:pPr>
          <w:hyperlink w:anchor="_heading=h.d894mbjqozx8">
            <w:r w:rsidRPr="009C1E5C">
              <w:rPr>
                <w:rFonts w:ascii="Arial" w:hAnsi="Arial" w:cs="Arial"/>
                <w:color w:val="000000"/>
                <w:sz w:val="22"/>
                <w:szCs w:val="22"/>
              </w:rPr>
              <w:t>References:</w:t>
            </w:r>
            <w:r w:rsidRPr="009C1E5C">
              <w:rPr>
                <w:rFonts w:ascii="Arial" w:hAnsi="Arial" w:cs="Arial"/>
                <w:color w:val="000000"/>
                <w:sz w:val="22"/>
                <w:szCs w:val="22"/>
              </w:rPr>
              <w:tab/>
              <w:t>11</w:t>
            </w:r>
          </w:hyperlink>
        </w:p>
        <w:p w14:paraId="7DEB3B4D" w14:textId="77777777" w:rsidR="00A02A3E" w:rsidRPr="009C1E5C" w:rsidRDefault="00000000">
          <w:pPr>
            <w:spacing w:line="360" w:lineRule="auto"/>
            <w:rPr>
              <w:rFonts w:ascii="Arial" w:hAnsi="Arial" w:cs="Arial"/>
              <w:sz w:val="22"/>
              <w:szCs w:val="22"/>
            </w:rPr>
          </w:pPr>
          <w:r w:rsidRPr="009C1E5C">
            <w:rPr>
              <w:rFonts w:ascii="Arial" w:hAnsi="Arial" w:cs="Arial"/>
              <w:sz w:val="22"/>
              <w:szCs w:val="22"/>
            </w:rPr>
            <w:fldChar w:fldCharType="end"/>
          </w:r>
        </w:p>
      </w:sdtContent>
    </w:sdt>
    <w:p w14:paraId="444EE758" w14:textId="77777777" w:rsidR="00A02A3E" w:rsidRPr="009C1E5C" w:rsidRDefault="00000000">
      <w:pPr>
        <w:spacing w:line="360" w:lineRule="auto"/>
        <w:jc w:val="left"/>
        <w:rPr>
          <w:rFonts w:ascii="Arial" w:hAnsi="Arial" w:cs="Arial"/>
          <w:b/>
          <w:bCs/>
          <w:i/>
          <w:iCs/>
          <w:sz w:val="22"/>
          <w:szCs w:val="22"/>
        </w:rPr>
      </w:pPr>
      <w:r w:rsidRPr="009C1E5C">
        <w:rPr>
          <w:rFonts w:ascii="Arial" w:hAnsi="Arial" w:cs="Arial"/>
          <w:sz w:val="22"/>
          <w:szCs w:val="22"/>
        </w:rPr>
        <w:br w:type="page"/>
      </w:r>
    </w:p>
    <w:p w14:paraId="220DE3E0" w14:textId="77777777" w:rsidR="00A02A3E" w:rsidRPr="009C1E5C" w:rsidRDefault="00000000">
      <w:pPr>
        <w:pStyle w:val="Heading1"/>
        <w:spacing w:line="360" w:lineRule="auto"/>
        <w:rPr>
          <w:rFonts w:ascii="Arial" w:hAnsi="Arial" w:cs="Arial"/>
          <w:sz w:val="22"/>
          <w:szCs w:val="22"/>
        </w:rPr>
      </w:pPr>
      <w:bookmarkStart w:id="0" w:name="_heading=h.um4obel39tz6" w:colFirst="0" w:colLast="0"/>
      <w:bookmarkEnd w:id="0"/>
      <w:r w:rsidRPr="009C1E5C">
        <w:rPr>
          <w:rFonts w:ascii="Arial" w:hAnsi="Arial" w:cs="Arial"/>
          <w:sz w:val="22"/>
          <w:szCs w:val="22"/>
        </w:rPr>
        <w:lastRenderedPageBreak/>
        <w:t xml:space="preserve">INTRODUCTION </w:t>
      </w:r>
    </w:p>
    <w:p w14:paraId="09EBD81A" w14:textId="77777777" w:rsidR="00A02A3E" w:rsidRPr="009C1E5C" w:rsidRDefault="00000000">
      <w:pPr>
        <w:spacing w:line="360" w:lineRule="auto"/>
        <w:rPr>
          <w:rFonts w:ascii="Arial" w:hAnsi="Arial" w:cs="Arial"/>
          <w:sz w:val="22"/>
          <w:szCs w:val="22"/>
        </w:rPr>
      </w:pPr>
      <w:r w:rsidRPr="009C1E5C">
        <w:rPr>
          <w:rFonts w:ascii="Arial" w:hAnsi="Arial" w:cs="Arial"/>
          <w:sz w:val="22"/>
          <w:szCs w:val="22"/>
        </w:rPr>
        <w:tab/>
        <w:t>The module Changemakers: Building your Personal Brand for Sustainable Employment focuses on developing personal branding, employability skills, and career resilience required for success in modern professional environments. These competencies are especially relevant to health and social care since in this field, professionals are expected to exhibit self-awareness, flexibility, and quality communication when dealing with diverse populations. This assignment is a reflection on learning between Unit 1 and Unit 4, how each unit has helped me in understanding my personal and professional growth. These units helped me become more self-aware, understand more about the global healthcare landscape, learn to identify career opportunities and the need to be resilient to overcome challenges. These are the areas that are necessary to develop a solid professional identity and lifetime career development. On the whole, the knowledge and skills acquired during this module will help me serve in the future in the field of health and social care to become a more effective, ethical, and confident worker in a dynamic environment.</w:t>
      </w:r>
    </w:p>
    <w:p w14:paraId="37CE1B1D" w14:textId="77777777" w:rsidR="00A02A3E" w:rsidRPr="009C1E5C" w:rsidRDefault="00000000">
      <w:pPr>
        <w:pStyle w:val="Heading1"/>
        <w:spacing w:line="360" w:lineRule="auto"/>
        <w:rPr>
          <w:rFonts w:ascii="Arial" w:hAnsi="Arial" w:cs="Arial"/>
          <w:sz w:val="22"/>
          <w:szCs w:val="22"/>
        </w:rPr>
      </w:pPr>
      <w:bookmarkStart w:id="1" w:name="_heading=h.tdywsx7926ge" w:colFirst="0" w:colLast="0"/>
      <w:bookmarkEnd w:id="1"/>
      <w:r w:rsidRPr="009C1E5C">
        <w:rPr>
          <w:rFonts w:ascii="Arial" w:hAnsi="Arial" w:cs="Arial"/>
          <w:sz w:val="22"/>
          <w:szCs w:val="22"/>
        </w:rPr>
        <w:t xml:space="preserve">TASK 1: UNIT 1: BRAND YOU </w:t>
      </w:r>
    </w:p>
    <w:p w14:paraId="5D028F64" w14:textId="77777777" w:rsidR="009C1E5C" w:rsidRDefault="00000000">
      <w:pPr>
        <w:spacing w:line="360" w:lineRule="auto"/>
        <w:rPr>
          <w:rFonts w:ascii="Arial" w:hAnsi="Arial" w:cs="Arial"/>
          <w:sz w:val="22"/>
          <w:szCs w:val="22"/>
        </w:rPr>
      </w:pPr>
      <w:r w:rsidRPr="009C1E5C">
        <w:rPr>
          <w:rFonts w:ascii="Arial" w:hAnsi="Arial" w:cs="Arial"/>
          <w:sz w:val="22"/>
          <w:szCs w:val="22"/>
        </w:rPr>
        <w:tab/>
        <w:t>Unit 1 was aimed at making a good foundation of personal branding through the discussions of the main themes like ambition, motivation and professional behaviour. The idea that ambition was important, and the article about what drives you made me look back at myself and my motivation.</w:t>
      </w:r>
      <w:r w:rsidR="009C1E5C">
        <w:rPr>
          <w:rFonts w:ascii="Arial" w:hAnsi="Arial" w:cs="Arial"/>
          <w:sz w:val="22"/>
          <w:szCs w:val="22"/>
        </w:rPr>
        <w:t xml:space="preserve"> </w:t>
      </w:r>
      <w:r w:rsidRPr="009C1E5C">
        <w:rPr>
          <w:rFonts w:ascii="Arial" w:hAnsi="Arial" w:cs="Arial"/>
          <w:sz w:val="22"/>
          <w:szCs w:val="22"/>
        </w:rPr>
        <w:t xml:space="preserve">As </w:t>
      </w:r>
      <w:r w:rsidR="009C1E5C" w:rsidRPr="009C1E5C">
        <w:rPr>
          <w:rFonts w:ascii="Arial" w:hAnsi="Arial" w:cs="Arial"/>
          <w:sz w:val="22"/>
          <w:szCs w:val="22"/>
        </w:rPr>
        <w:t>well, the</w:t>
      </w:r>
      <w:r w:rsidRPr="009C1E5C">
        <w:rPr>
          <w:rFonts w:ascii="Arial" w:hAnsi="Arial" w:cs="Arial"/>
          <w:sz w:val="22"/>
          <w:szCs w:val="22"/>
        </w:rPr>
        <w:t xml:space="preserve"> </w:t>
      </w:r>
    </w:p>
    <w:p w14:paraId="78F2EDD1" w14:textId="760968DC" w:rsidR="00A02A3E" w:rsidRDefault="00000000">
      <w:pPr>
        <w:spacing w:line="360" w:lineRule="auto"/>
        <w:rPr>
          <w:rFonts w:ascii="Arial" w:hAnsi="Arial" w:cs="Arial"/>
          <w:sz w:val="22"/>
          <w:szCs w:val="22"/>
        </w:rPr>
      </w:pPr>
      <w:r w:rsidRPr="009C1E5C">
        <w:rPr>
          <w:rFonts w:ascii="Arial" w:hAnsi="Arial" w:cs="Arial"/>
          <w:sz w:val="22"/>
          <w:szCs w:val="22"/>
        </w:rPr>
        <w:lastRenderedPageBreak/>
        <w:t>establishment of ground rules encouraged the need to have professional behaviour such as punctuality, respect and discipline in an academic and professional environment.</w:t>
      </w:r>
      <w:r w:rsidR="00654382" w:rsidRPr="00654382">
        <w:rPr>
          <w:rFonts w:ascii="Arial" w:hAnsi="Arial" w:cs="Arial"/>
          <w:sz w:val="22"/>
          <w:szCs w:val="22"/>
        </w:rPr>
        <w:drawing>
          <wp:inline distT="0" distB="0" distL="0" distR="0" wp14:anchorId="6208B662" wp14:editId="0872A876">
            <wp:extent cx="5943600" cy="3095625"/>
            <wp:effectExtent l="0" t="0" r="0" b="9525"/>
            <wp:docPr id="9831299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129923" name=""/>
                    <pic:cNvPicPr/>
                  </pic:nvPicPr>
                  <pic:blipFill>
                    <a:blip r:embed="rId8"/>
                    <a:stretch>
                      <a:fillRect/>
                    </a:stretch>
                  </pic:blipFill>
                  <pic:spPr>
                    <a:xfrm>
                      <a:off x="0" y="0"/>
                      <a:ext cx="5943600" cy="3095625"/>
                    </a:xfrm>
                    <a:prstGeom prst="rect">
                      <a:avLst/>
                    </a:prstGeom>
                  </pic:spPr>
                </pic:pic>
              </a:graphicData>
            </a:graphic>
          </wp:inline>
        </w:drawing>
      </w:r>
    </w:p>
    <w:p w14:paraId="32ED40E4" w14:textId="77777777" w:rsidR="00654382" w:rsidRPr="009C1E5C" w:rsidRDefault="00654382">
      <w:pPr>
        <w:spacing w:line="360" w:lineRule="auto"/>
        <w:rPr>
          <w:rFonts w:ascii="Arial" w:hAnsi="Arial" w:cs="Arial"/>
          <w:sz w:val="22"/>
          <w:szCs w:val="22"/>
        </w:rPr>
      </w:pPr>
    </w:p>
    <w:p w14:paraId="1A9A534E" w14:textId="77777777" w:rsidR="00A02A3E" w:rsidRPr="009C1E5C" w:rsidRDefault="00000000">
      <w:pPr>
        <w:spacing w:line="360" w:lineRule="auto"/>
        <w:rPr>
          <w:rFonts w:ascii="Arial" w:hAnsi="Arial" w:cs="Arial"/>
          <w:sz w:val="22"/>
          <w:szCs w:val="22"/>
        </w:rPr>
      </w:pPr>
      <w:r w:rsidRPr="009C1E5C">
        <w:rPr>
          <w:rFonts w:ascii="Arial" w:hAnsi="Arial" w:cs="Arial"/>
          <w:sz w:val="22"/>
          <w:szCs w:val="22"/>
        </w:rPr>
        <w:tab/>
        <w:t>I also got to know that ambition is critical when it comes to creating success in career because it gives purpose and pushes people to make and attain purposeful goals. This knowledge allowed me to understand the necessity of planning in the long term and lifelong learning in my future profession. The ambition also helped me build my determination to seek opportunities in the field of health and social care.</w:t>
      </w:r>
    </w:p>
    <w:p w14:paraId="2D7A8BDD" w14:textId="77777777" w:rsidR="00A02A3E" w:rsidRPr="009C1E5C" w:rsidRDefault="00000000">
      <w:pPr>
        <w:spacing w:line="360" w:lineRule="auto"/>
        <w:rPr>
          <w:rFonts w:ascii="Arial" w:hAnsi="Arial" w:cs="Arial"/>
          <w:sz w:val="22"/>
          <w:szCs w:val="22"/>
        </w:rPr>
      </w:pPr>
      <w:r w:rsidRPr="009C1E5C">
        <w:rPr>
          <w:rFonts w:ascii="Arial" w:hAnsi="Arial" w:cs="Arial"/>
          <w:sz w:val="22"/>
          <w:szCs w:val="22"/>
        </w:rPr>
        <w:tab/>
        <w:t>The study of motivation helped me to distinguish between intrinsic and extrinsic motivation. I realised that intrinsic motivation, such as personal satisfaction and passion for helping others, is particularly important in health and social care roles. By determining my personal motivations, I was able to have a better insight into how the values relate to my career goals and the ways my values guide my decision making.</w:t>
      </w:r>
    </w:p>
    <w:p w14:paraId="51545D6C" w14:textId="77777777" w:rsidR="00A02A3E" w:rsidRPr="009C1E5C" w:rsidRDefault="00000000">
      <w:pPr>
        <w:spacing w:line="360" w:lineRule="auto"/>
        <w:rPr>
          <w:rFonts w:ascii="Arial" w:hAnsi="Arial" w:cs="Arial"/>
          <w:sz w:val="22"/>
          <w:szCs w:val="22"/>
        </w:rPr>
      </w:pPr>
      <w:r w:rsidRPr="009C1E5C">
        <w:rPr>
          <w:rFonts w:ascii="Arial" w:hAnsi="Arial" w:cs="Arial"/>
          <w:sz w:val="22"/>
          <w:szCs w:val="22"/>
        </w:rPr>
        <w:tab/>
        <w:t>Professional behaviour was prioritized with ground rules underlining the importance of punctuality, respect, and discipline. I realised that these are some behaviours that are vital in upholding professionalism and trust especially in a healthcare setting where reliability and ethical behaviours are paramount.</w:t>
      </w:r>
    </w:p>
    <w:p w14:paraId="2C90E4A8" w14:textId="77777777" w:rsidR="00A02A3E" w:rsidRPr="009C1E5C" w:rsidRDefault="00000000">
      <w:pPr>
        <w:spacing w:line="360" w:lineRule="auto"/>
        <w:rPr>
          <w:rFonts w:ascii="Arial" w:hAnsi="Arial" w:cs="Arial"/>
          <w:sz w:val="22"/>
          <w:szCs w:val="22"/>
        </w:rPr>
      </w:pPr>
      <w:r w:rsidRPr="009C1E5C">
        <w:rPr>
          <w:rFonts w:ascii="Arial" w:hAnsi="Arial" w:cs="Arial"/>
          <w:sz w:val="22"/>
          <w:szCs w:val="22"/>
        </w:rPr>
        <w:tab/>
        <w:t xml:space="preserve">Theoretically, personal branding, self-awareness and motivation are important concepts that form the foundation of professional development. Personal branding is a demonstration of </w:t>
      </w:r>
      <w:r w:rsidRPr="009C1E5C">
        <w:rPr>
          <w:rFonts w:ascii="Arial" w:hAnsi="Arial" w:cs="Arial"/>
          <w:sz w:val="22"/>
          <w:szCs w:val="22"/>
        </w:rPr>
        <w:lastRenderedPageBreak/>
        <w:t>how individuals sell themselves at work, and it affects the employability (Pathmanathan, 2018). Equally, building reputational self-awareness can help in advancing career by enabling individuals to know how others perceive them (Foster et al., 2023). Motivation also contributes to the accomplishment of goals and perseverance.</w:t>
      </w:r>
    </w:p>
    <w:p w14:paraId="4DA0D480" w14:textId="77777777" w:rsidR="00A02A3E" w:rsidRPr="009C1E5C" w:rsidRDefault="00000000">
      <w:pPr>
        <w:spacing w:line="360" w:lineRule="auto"/>
        <w:rPr>
          <w:rFonts w:ascii="Arial" w:hAnsi="Arial" w:cs="Arial"/>
          <w:sz w:val="22"/>
          <w:szCs w:val="22"/>
        </w:rPr>
      </w:pPr>
      <w:r w:rsidRPr="009C1E5C">
        <w:rPr>
          <w:rFonts w:ascii="Arial" w:hAnsi="Arial" w:cs="Arial"/>
          <w:sz w:val="22"/>
          <w:szCs w:val="22"/>
        </w:rPr>
        <w:tab/>
        <w:t>All in all, this unit helped me become more confident, helped me understand my career path and reinforced my professional identity, which will help me to work in the future in health and social care.</w:t>
      </w:r>
    </w:p>
    <w:p w14:paraId="2E0519AD" w14:textId="61FEB95D" w:rsidR="00A02A3E" w:rsidRPr="009C1E5C" w:rsidRDefault="00A02A3E">
      <w:pPr>
        <w:spacing w:line="360" w:lineRule="auto"/>
        <w:jc w:val="center"/>
        <w:rPr>
          <w:rFonts w:ascii="Arial" w:hAnsi="Arial" w:cs="Arial"/>
          <w:sz w:val="22"/>
          <w:szCs w:val="22"/>
        </w:rPr>
      </w:pPr>
    </w:p>
    <w:p w14:paraId="14B6E043" w14:textId="041A0E83" w:rsidR="00A02A3E" w:rsidRPr="009C1E5C" w:rsidRDefault="00A02A3E">
      <w:pPr>
        <w:spacing w:line="360" w:lineRule="auto"/>
        <w:jc w:val="center"/>
        <w:rPr>
          <w:rFonts w:ascii="Arial" w:hAnsi="Arial" w:cs="Arial"/>
          <w:sz w:val="22"/>
          <w:szCs w:val="22"/>
        </w:rPr>
      </w:pPr>
    </w:p>
    <w:p w14:paraId="46C618B8" w14:textId="77777777" w:rsidR="00A02A3E" w:rsidRPr="009C1E5C" w:rsidRDefault="00000000">
      <w:pPr>
        <w:pStyle w:val="Heading1"/>
        <w:spacing w:line="360" w:lineRule="auto"/>
        <w:rPr>
          <w:rFonts w:ascii="Arial" w:hAnsi="Arial" w:cs="Arial"/>
          <w:sz w:val="22"/>
          <w:szCs w:val="22"/>
        </w:rPr>
      </w:pPr>
      <w:bookmarkStart w:id="2" w:name="_heading=h.ymbfrxp9g5s1" w:colFirst="0" w:colLast="0"/>
      <w:bookmarkEnd w:id="2"/>
      <w:r w:rsidRPr="009C1E5C">
        <w:rPr>
          <w:rFonts w:ascii="Arial" w:hAnsi="Arial" w:cs="Arial"/>
          <w:sz w:val="22"/>
          <w:szCs w:val="22"/>
        </w:rPr>
        <w:t>TASK 2: UNIT 2: IT’S A SMALL WORLD</w:t>
      </w:r>
    </w:p>
    <w:p w14:paraId="38AF3564" w14:textId="77777777" w:rsidR="00A02A3E" w:rsidRDefault="00000000">
      <w:pPr>
        <w:spacing w:line="360" w:lineRule="auto"/>
        <w:rPr>
          <w:rFonts w:ascii="Arial" w:hAnsi="Arial" w:cs="Arial"/>
          <w:sz w:val="22"/>
          <w:szCs w:val="22"/>
        </w:rPr>
      </w:pPr>
      <w:r w:rsidRPr="009C1E5C">
        <w:rPr>
          <w:rFonts w:ascii="Arial" w:hAnsi="Arial" w:cs="Arial"/>
          <w:sz w:val="22"/>
          <w:szCs w:val="22"/>
        </w:rPr>
        <w:tab/>
        <w:t>Unit 2 discussed the notion of global interconnectedness and its applicability to health and social care. The major issues were globalisation, cultural diversity, networking, and structure of organisations bureaucracy and hierarchy. These subjects focused on the functioning of healthcare systems in the global environment and the ways in which professionals should adapt to various environments.</w:t>
      </w:r>
    </w:p>
    <w:p w14:paraId="5597096C" w14:textId="77777777" w:rsidR="00654382" w:rsidRPr="009C1E5C" w:rsidRDefault="00654382">
      <w:pPr>
        <w:spacing w:line="360" w:lineRule="auto"/>
        <w:rPr>
          <w:rFonts w:ascii="Arial" w:hAnsi="Arial" w:cs="Arial"/>
          <w:sz w:val="22"/>
          <w:szCs w:val="22"/>
        </w:rPr>
      </w:pPr>
    </w:p>
    <w:p w14:paraId="34A02268" w14:textId="77777777" w:rsidR="00A02A3E" w:rsidRPr="009C1E5C" w:rsidRDefault="00000000">
      <w:pPr>
        <w:spacing w:line="360" w:lineRule="auto"/>
        <w:rPr>
          <w:rFonts w:ascii="Arial" w:hAnsi="Arial" w:cs="Arial"/>
          <w:sz w:val="22"/>
          <w:szCs w:val="22"/>
        </w:rPr>
      </w:pPr>
      <w:r w:rsidRPr="009C1E5C">
        <w:rPr>
          <w:rFonts w:ascii="Arial" w:hAnsi="Arial" w:cs="Arial"/>
          <w:sz w:val="22"/>
          <w:szCs w:val="22"/>
        </w:rPr>
        <w:tab/>
        <w:t>I understood that healthcare is not confined to the local context but greatly determined by the globalisation. The growing cross-border flows of people, services, and knowledge have changed the way healthcare is delivered and brought new opportunities and challenges. Globalisation has not only allowed the healthcare systems and services to develop, but it has also raised the necessity of a flexible nature of professionals (Faisal and Dhusia, 2022).</w:t>
      </w:r>
    </w:p>
    <w:p w14:paraId="7E54CAE4" w14:textId="77777777" w:rsidR="00A02A3E" w:rsidRPr="009C1E5C" w:rsidRDefault="00000000">
      <w:pPr>
        <w:spacing w:line="360" w:lineRule="auto"/>
        <w:rPr>
          <w:rFonts w:ascii="Arial" w:hAnsi="Arial" w:cs="Arial"/>
          <w:sz w:val="22"/>
          <w:szCs w:val="22"/>
        </w:rPr>
      </w:pPr>
      <w:r w:rsidRPr="009C1E5C">
        <w:rPr>
          <w:rFonts w:ascii="Arial" w:hAnsi="Arial" w:cs="Arial"/>
          <w:sz w:val="22"/>
          <w:szCs w:val="22"/>
        </w:rPr>
        <w:tab/>
        <w:t>The idea that diversity is the spice of life emphasized the role of cultural diversity in healthcare. I was taught that to deliver inclusive and person-centred care it is important to understand various cultural backgrounds. Cultural competence enables medical care providers to react suitably to the requirements of various groups, enhancing patient results and diminishing disparities (Nair and Adetayo, 2019).</w:t>
      </w:r>
    </w:p>
    <w:p w14:paraId="15F8883D" w14:textId="77777777" w:rsidR="00A02A3E" w:rsidRDefault="00000000">
      <w:pPr>
        <w:spacing w:line="360" w:lineRule="auto"/>
        <w:rPr>
          <w:rFonts w:ascii="Arial" w:hAnsi="Arial" w:cs="Arial"/>
          <w:sz w:val="22"/>
          <w:szCs w:val="22"/>
        </w:rPr>
      </w:pPr>
      <w:r w:rsidRPr="009C1E5C">
        <w:rPr>
          <w:rFonts w:ascii="Arial" w:hAnsi="Arial" w:cs="Arial"/>
          <w:sz w:val="22"/>
          <w:szCs w:val="22"/>
        </w:rPr>
        <w:tab/>
        <w:t xml:space="preserve">Another thing that the unit stressed on was networking and the need to establish professional relationships. I realised that building relationships both within and between organisations may improve career prospects and aid professional development. Knowledge </w:t>
      </w:r>
      <w:r w:rsidRPr="009C1E5C">
        <w:rPr>
          <w:rFonts w:ascii="Arial" w:hAnsi="Arial" w:cs="Arial"/>
          <w:sz w:val="22"/>
          <w:szCs w:val="22"/>
        </w:rPr>
        <w:lastRenderedPageBreak/>
        <w:t>sharing and collaboration can also be provided through networking and are necessary in complex healthcare systems.</w:t>
      </w:r>
    </w:p>
    <w:p w14:paraId="3B0B0045" w14:textId="12D0E2F4" w:rsidR="00A37006" w:rsidRPr="00A37006" w:rsidRDefault="00A37006" w:rsidP="00A37006">
      <w:pPr>
        <w:spacing w:line="360" w:lineRule="auto"/>
        <w:rPr>
          <w:rFonts w:ascii="Arial" w:hAnsi="Arial" w:cs="Arial"/>
          <w:sz w:val="22"/>
          <w:szCs w:val="22"/>
          <w:lang w:val="en-GB"/>
        </w:rPr>
      </w:pPr>
      <w:r w:rsidRPr="00A37006">
        <w:rPr>
          <w:rFonts w:ascii="Arial" w:hAnsi="Arial" w:cs="Arial"/>
          <w:sz w:val="22"/>
          <w:szCs w:val="22"/>
          <w:lang w:val="en-GB"/>
        </w:rPr>
        <w:drawing>
          <wp:inline distT="0" distB="0" distL="0" distR="0" wp14:anchorId="231A17AD" wp14:editId="52A04BFE">
            <wp:extent cx="5943600" cy="3241040"/>
            <wp:effectExtent l="0" t="0" r="0" b="0"/>
            <wp:docPr id="1608346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241040"/>
                    </a:xfrm>
                    <a:prstGeom prst="rect">
                      <a:avLst/>
                    </a:prstGeom>
                    <a:noFill/>
                    <a:ln>
                      <a:noFill/>
                    </a:ln>
                  </pic:spPr>
                </pic:pic>
              </a:graphicData>
            </a:graphic>
          </wp:inline>
        </w:drawing>
      </w:r>
    </w:p>
    <w:p w14:paraId="197B77AA" w14:textId="77777777" w:rsidR="00A37006" w:rsidRPr="009C1E5C" w:rsidRDefault="00A37006">
      <w:pPr>
        <w:spacing w:line="360" w:lineRule="auto"/>
        <w:rPr>
          <w:rFonts w:ascii="Arial" w:hAnsi="Arial" w:cs="Arial"/>
          <w:sz w:val="22"/>
          <w:szCs w:val="22"/>
        </w:rPr>
      </w:pPr>
    </w:p>
    <w:p w14:paraId="7A8F45ED" w14:textId="77777777" w:rsidR="00A02A3E" w:rsidRPr="009C1E5C" w:rsidRDefault="00000000">
      <w:pPr>
        <w:spacing w:line="360" w:lineRule="auto"/>
        <w:rPr>
          <w:rFonts w:ascii="Arial" w:hAnsi="Arial" w:cs="Arial"/>
          <w:sz w:val="22"/>
          <w:szCs w:val="22"/>
        </w:rPr>
      </w:pPr>
      <w:r w:rsidRPr="009C1E5C">
        <w:rPr>
          <w:rFonts w:ascii="Arial" w:hAnsi="Arial" w:cs="Arial"/>
          <w:sz w:val="22"/>
          <w:szCs w:val="22"/>
        </w:rPr>
        <w:tab/>
        <w:t>Theoretically, the competence to practice (cultural competence), communicative skills, and global awareness are crucial. The competencies help professionals provide high-quality care in diverse and interconnected settings.</w:t>
      </w:r>
    </w:p>
    <w:p w14:paraId="657A9705" w14:textId="77777777" w:rsidR="00A02A3E" w:rsidRPr="009C1E5C" w:rsidRDefault="00000000">
      <w:pPr>
        <w:spacing w:line="360" w:lineRule="auto"/>
        <w:rPr>
          <w:rFonts w:ascii="Arial" w:hAnsi="Arial" w:cs="Arial"/>
          <w:sz w:val="22"/>
          <w:szCs w:val="22"/>
        </w:rPr>
      </w:pPr>
      <w:r w:rsidRPr="009C1E5C">
        <w:rPr>
          <w:rFonts w:ascii="Arial" w:hAnsi="Arial" w:cs="Arial"/>
          <w:sz w:val="22"/>
          <w:szCs w:val="22"/>
        </w:rPr>
        <w:tab/>
        <w:t>On the whole, this unit helped me learn more about the healthcare systems of the world, enhanced my communication skills, and made me more aware of cultural diversity. Such lessons will help me deliver more quality and inclusive care in my future health and social care practice.</w:t>
      </w:r>
    </w:p>
    <w:p w14:paraId="2B0099D2" w14:textId="77777777" w:rsidR="00A02A3E" w:rsidRPr="009C1E5C" w:rsidRDefault="00000000">
      <w:pPr>
        <w:spacing w:line="360" w:lineRule="auto"/>
        <w:rPr>
          <w:rFonts w:ascii="Arial" w:hAnsi="Arial" w:cs="Arial"/>
          <w:sz w:val="22"/>
          <w:szCs w:val="22"/>
        </w:rPr>
      </w:pPr>
      <w:r w:rsidRPr="009C1E5C">
        <w:rPr>
          <w:rFonts w:ascii="Arial" w:hAnsi="Arial" w:cs="Arial"/>
          <w:sz w:val="22"/>
          <w:szCs w:val="22"/>
        </w:rPr>
        <w:tab/>
        <w:t>On the whole, this unit helped me learn more about the healthcare systems of the world, enhanced my communication skills, and made me more aware of cultural diversity. Such lessons will help me deliver more quality and inclusive care in my future health and social care practice. In addition, this learning has strengthened my ability to work effectively within diverse teams and adapt to changing healthcare environments, which are essential skills for ensuring positive patient outcomes and professional competence in a globalised healthcare system.</w:t>
      </w:r>
    </w:p>
    <w:p w14:paraId="5119E28F" w14:textId="76AB7660" w:rsidR="00A02A3E" w:rsidRPr="009C1E5C" w:rsidRDefault="00A02A3E">
      <w:pPr>
        <w:spacing w:line="360" w:lineRule="auto"/>
        <w:jc w:val="center"/>
        <w:rPr>
          <w:rFonts w:ascii="Arial" w:hAnsi="Arial" w:cs="Arial"/>
          <w:sz w:val="22"/>
          <w:szCs w:val="22"/>
        </w:rPr>
      </w:pPr>
    </w:p>
    <w:p w14:paraId="6915568C" w14:textId="2AE94952" w:rsidR="00A02A3E" w:rsidRPr="009C1E5C" w:rsidRDefault="00A02A3E">
      <w:pPr>
        <w:spacing w:line="360" w:lineRule="auto"/>
        <w:jc w:val="center"/>
        <w:rPr>
          <w:rFonts w:ascii="Arial" w:hAnsi="Arial" w:cs="Arial"/>
          <w:sz w:val="22"/>
          <w:szCs w:val="22"/>
        </w:rPr>
      </w:pPr>
    </w:p>
    <w:p w14:paraId="72A62773" w14:textId="77777777" w:rsidR="00A02A3E" w:rsidRPr="009C1E5C" w:rsidRDefault="00000000">
      <w:pPr>
        <w:pStyle w:val="Heading1"/>
        <w:spacing w:line="360" w:lineRule="auto"/>
        <w:rPr>
          <w:rFonts w:ascii="Arial" w:hAnsi="Arial" w:cs="Arial"/>
          <w:sz w:val="22"/>
          <w:szCs w:val="22"/>
        </w:rPr>
      </w:pPr>
      <w:bookmarkStart w:id="3" w:name="_heading=h.pmx028dstufj" w:colFirst="0" w:colLast="0"/>
      <w:bookmarkEnd w:id="3"/>
      <w:r w:rsidRPr="009C1E5C">
        <w:rPr>
          <w:rFonts w:ascii="Arial" w:hAnsi="Arial" w:cs="Arial"/>
          <w:sz w:val="22"/>
          <w:szCs w:val="22"/>
        </w:rPr>
        <w:lastRenderedPageBreak/>
        <w:t xml:space="preserve">TASK 3: UNIT 3: OPPORTUNITY KNOCKS </w:t>
      </w:r>
    </w:p>
    <w:p w14:paraId="6B446AE0" w14:textId="63BC083E" w:rsidR="00A02A3E" w:rsidRDefault="00000000">
      <w:pPr>
        <w:spacing w:line="360" w:lineRule="auto"/>
        <w:rPr>
          <w:rFonts w:ascii="Arial" w:hAnsi="Arial" w:cs="Arial"/>
          <w:sz w:val="22"/>
          <w:szCs w:val="22"/>
        </w:rPr>
      </w:pPr>
      <w:r w:rsidRPr="009C1E5C">
        <w:rPr>
          <w:rFonts w:ascii="Arial" w:hAnsi="Arial" w:cs="Arial"/>
          <w:sz w:val="22"/>
          <w:szCs w:val="22"/>
        </w:rPr>
        <w:tab/>
        <w:t>Unit 3 was about knowing the ability of people to consciously make opportunities instead of waiting that they will happen. The topics “creating your own luck” and “identifying career opportunities” emphasised the importance of a proactive approach to personal and professional development. This unit brought to my attention the fact that employability does not necessarily rely on qualifications but also on the capacity of an individual to identify and take action on opportunities.</w:t>
      </w:r>
      <w:r w:rsidR="00E24E01">
        <w:rPr>
          <w:rFonts w:ascii="Arial" w:hAnsi="Arial" w:cs="Arial"/>
          <w:noProof/>
          <w:sz w:val="22"/>
          <w:szCs w:val="22"/>
        </w:rPr>
        <w:drawing>
          <wp:inline distT="0" distB="0" distL="0" distR="0" wp14:anchorId="25B8207E" wp14:editId="66C9B89B">
            <wp:extent cx="10071735" cy="5486400"/>
            <wp:effectExtent l="0" t="0" r="5715" b="0"/>
            <wp:docPr id="5548654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071735" cy="5486400"/>
                    </a:xfrm>
                    <a:prstGeom prst="rect">
                      <a:avLst/>
                    </a:prstGeom>
                    <a:noFill/>
                  </pic:spPr>
                </pic:pic>
              </a:graphicData>
            </a:graphic>
          </wp:inline>
        </w:drawing>
      </w:r>
    </w:p>
    <w:p w14:paraId="7DD2C553" w14:textId="77777777" w:rsidR="00E24E01" w:rsidRPr="009C1E5C" w:rsidRDefault="00E24E01">
      <w:pPr>
        <w:spacing w:line="360" w:lineRule="auto"/>
        <w:rPr>
          <w:rFonts w:ascii="Arial" w:hAnsi="Arial" w:cs="Arial"/>
          <w:sz w:val="22"/>
          <w:szCs w:val="22"/>
        </w:rPr>
      </w:pPr>
    </w:p>
    <w:p w14:paraId="3AC4F635" w14:textId="77777777" w:rsidR="00A02A3E" w:rsidRPr="009C1E5C" w:rsidRDefault="00000000">
      <w:pPr>
        <w:spacing w:line="360" w:lineRule="auto"/>
        <w:rPr>
          <w:rFonts w:ascii="Arial" w:hAnsi="Arial" w:cs="Arial"/>
          <w:sz w:val="22"/>
          <w:szCs w:val="22"/>
        </w:rPr>
      </w:pPr>
      <w:r w:rsidRPr="009C1E5C">
        <w:rPr>
          <w:rFonts w:ascii="Arial" w:hAnsi="Arial" w:cs="Arial"/>
          <w:sz w:val="22"/>
          <w:szCs w:val="22"/>
        </w:rPr>
        <w:tab/>
        <w:t xml:space="preserve">I got to know that opportunities are not entirely due to fortune but are usually due to planning, hard work, and a positive attitude. Forming this comprehension prompted me to become </w:t>
      </w:r>
      <w:r w:rsidRPr="009C1E5C">
        <w:rPr>
          <w:rFonts w:ascii="Arial" w:hAnsi="Arial" w:cs="Arial"/>
          <w:sz w:val="22"/>
          <w:szCs w:val="22"/>
        </w:rPr>
        <w:lastRenderedPageBreak/>
        <w:t>more responsible of my own career growth. Being more concerned and open to learning experiences, I realised that I could make my own success, not dependent on any outside factors.</w:t>
      </w:r>
    </w:p>
    <w:p w14:paraId="31261936" w14:textId="77777777" w:rsidR="00A02A3E" w:rsidRPr="009C1E5C" w:rsidRDefault="00000000">
      <w:pPr>
        <w:spacing w:line="360" w:lineRule="auto"/>
        <w:rPr>
          <w:rFonts w:ascii="Arial" w:hAnsi="Arial" w:cs="Arial"/>
          <w:sz w:val="22"/>
          <w:szCs w:val="22"/>
        </w:rPr>
      </w:pPr>
      <w:r w:rsidRPr="009C1E5C">
        <w:rPr>
          <w:rFonts w:ascii="Arial" w:hAnsi="Arial" w:cs="Arial"/>
          <w:sz w:val="22"/>
          <w:szCs w:val="22"/>
        </w:rPr>
        <w:tab/>
        <w:t>Moreover, I was taught how to recognize career opportunities and this process occurred through the development of awareness of my skills, interests and the broader job market. The identification of opportunities entails keen observation, self-assessment, and time. This has made me be more thoughtful about my future career and what I need to do to reach my objectives.</w:t>
      </w:r>
    </w:p>
    <w:p w14:paraId="1DA1EACF" w14:textId="77777777" w:rsidR="00A02A3E" w:rsidRPr="009C1E5C" w:rsidRDefault="00000000">
      <w:pPr>
        <w:spacing w:line="360" w:lineRule="auto"/>
        <w:rPr>
          <w:rFonts w:ascii="Arial" w:hAnsi="Arial" w:cs="Arial"/>
          <w:sz w:val="22"/>
          <w:szCs w:val="22"/>
        </w:rPr>
      </w:pPr>
      <w:r w:rsidRPr="009C1E5C">
        <w:rPr>
          <w:rFonts w:ascii="Arial" w:hAnsi="Arial" w:cs="Arial"/>
          <w:sz w:val="22"/>
          <w:szCs w:val="22"/>
        </w:rPr>
        <w:tab/>
        <w:t>Theoretically, employability skills and career development are the keys to workforce success. Omar et al. (2023) note that the adaptability and self-efficacy skills (employability skills) contribute greatly to career success. Likewise, efficient career planning fosters engagement, and long-term professional development (Lartey, 2021). These theories support the need to actively pursue and use opportunities.</w:t>
      </w:r>
    </w:p>
    <w:p w14:paraId="67B9D7E5" w14:textId="77777777" w:rsidR="00A02A3E" w:rsidRPr="009C1E5C" w:rsidRDefault="00000000">
      <w:pPr>
        <w:spacing w:line="360" w:lineRule="auto"/>
        <w:rPr>
          <w:rFonts w:ascii="Arial" w:hAnsi="Arial" w:cs="Arial"/>
          <w:sz w:val="22"/>
          <w:szCs w:val="22"/>
        </w:rPr>
      </w:pPr>
      <w:r w:rsidRPr="009C1E5C">
        <w:rPr>
          <w:rFonts w:ascii="Arial" w:hAnsi="Arial" w:cs="Arial"/>
          <w:sz w:val="22"/>
          <w:szCs w:val="22"/>
        </w:rPr>
        <w:tab/>
        <w:t>All in all, this unit made me more confident and made me more active in my career. My planning skills and how to find and utilize opportunities have improved. Proactivity is especially crucial in the health and social care field, where it allows professionals to receive training, enhance their competencies, and advance their careers. Such learning will assist me in the development that I will have in the future and enable me to make sound career choices.</w:t>
      </w:r>
    </w:p>
    <w:p w14:paraId="5F9C5E15" w14:textId="77777777" w:rsidR="00A02A3E" w:rsidRDefault="00000000">
      <w:pPr>
        <w:spacing w:line="360" w:lineRule="auto"/>
        <w:rPr>
          <w:rFonts w:ascii="Arial" w:hAnsi="Arial" w:cs="Arial"/>
          <w:sz w:val="22"/>
          <w:szCs w:val="22"/>
        </w:rPr>
      </w:pPr>
      <w:r w:rsidRPr="009C1E5C">
        <w:rPr>
          <w:rFonts w:ascii="Arial" w:hAnsi="Arial" w:cs="Arial"/>
          <w:sz w:val="22"/>
          <w:szCs w:val="22"/>
        </w:rPr>
        <w:tab/>
        <w:t>All in all, this unit made me more confident and made me more active in my career. My planning skills and how to find and utilize opportunities have improved. Proactivity is especially crucial in the health and social care field, where it allows professionals to receive training, enhance their competencies, and advance their careers. Such learning will assist me in the development that I will have in the future and enable me to make sound career choices. Furthermore, it has encouraged me to continuously seek improvement, remain adaptable, and take initiative in challenging situations, which are essential qualities for achieving long-term success and delivering effective care within a dynamic healthcare environment.</w:t>
      </w:r>
    </w:p>
    <w:p w14:paraId="19FB23A7" w14:textId="77777777" w:rsidR="00E24E01" w:rsidRPr="009C1E5C" w:rsidRDefault="00E24E01">
      <w:pPr>
        <w:spacing w:line="360" w:lineRule="auto"/>
        <w:rPr>
          <w:rFonts w:ascii="Arial" w:hAnsi="Arial" w:cs="Arial"/>
          <w:sz w:val="22"/>
          <w:szCs w:val="22"/>
        </w:rPr>
      </w:pPr>
    </w:p>
    <w:p w14:paraId="0CD22911" w14:textId="52AE9FC9" w:rsidR="00A02A3E" w:rsidRPr="009C1E5C" w:rsidRDefault="00A02A3E">
      <w:pPr>
        <w:spacing w:line="360" w:lineRule="auto"/>
        <w:jc w:val="center"/>
        <w:rPr>
          <w:rFonts w:ascii="Arial" w:hAnsi="Arial" w:cs="Arial"/>
          <w:sz w:val="22"/>
          <w:szCs w:val="22"/>
        </w:rPr>
      </w:pPr>
    </w:p>
    <w:p w14:paraId="757E380E" w14:textId="77777777" w:rsidR="00A02A3E" w:rsidRPr="009C1E5C" w:rsidRDefault="00000000">
      <w:pPr>
        <w:pStyle w:val="Heading1"/>
        <w:spacing w:line="360" w:lineRule="auto"/>
        <w:rPr>
          <w:rFonts w:ascii="Arial" w:hAnsi="Arial" w:cs="Arial"/>
          <w:sz w:val="22"/>
          <w:szCs w:val="22"/>
        </w:rPr>
      </w:pPr>
      <w:bookmarkStart w:id="4" w:name="_heading=h.m0q1udkjptyd" w:colFirst="0" w:colLast="0"/>
      <w:bookmarkEnd w:id="4"/>
      <w:r w:rsidRPr="009C1E5C">
        <w:rPr>
          <w:rFonts w:ascii="Arial" w:hAnsi="Arial" w:cs="Arial"/>
          <w:sz w:val="22"/>
          <w:szCs w:val="22"/>
        </w:rPr>
        <w:t>TASK 4: UNIT 4: THE PURSUIT OF HAPPINESS</w:t>
      </w:r>
    </w:p>
    <w:p w14:paraId="06396AD9" w14:textId="77777777" w:rsidR="00A02A3E" w:rsidRPr="009C1E5C" w:rsidRDefault="00000000">
      <w:pPr>
        <w:spacing w:line="360" w:lineRule="auto"/>
        <w:rPr>
          <w:rFonts w:ascii="Arial" w:hAnsi="Arial" w:cs="Arial"/>
          <w:sz w:val="22"/>
          <w:szCs w:val="22"/>
        </w:rPr>
      </w:pPr>
      <w:r w:rsidRPr="009C1E5C">
        <w:rPr>
          <w:rFonts w:ascii="Arial" w:hAnsi="Arial" w:cs="Arial"/>
          <w:sz w:val="22"/>
          <w:szCs w:val="22"/>
        </w:rPr>
        <w:tab/>
        <w:t>Unit 4 concerned personal development, perseverance and creating a vivid picture of the future. The discussions were on the topics of future me, passion and perseverance, grit, limiting beliefs, dealing with failure, and resilience. This unit made me understand that I should always be positive and attain the skill of overcoming difficulties both in personal and professional settings.</w:t>
      </w:r>
    </w:p>
    <w:p w14:paraId="63C4C0C0" w14:textId="2D53629A" w:rsidR="00A02A3E" w:rsidRDefault="00000000">
      <w:pPr>
        <w:spacing w:line="360" w:lineRule="auto"/>
        <w:rPr>
          <w:rFonts w:ascii="Arial" w:hAnsi="Arial" w:cs="Arial"/>
          <w:sz w:val="22"/>
          <w:szCs w:val="22"/>
        </w:rPr>
      </w:pPr>
      <w:r w:rsidRPr="009C1E5C">
        <w:rPr>
          <w:rFonts w:ascii="Arial" w:hAnsi="Arial" w:cs="Arial"/>
          <w:sz w:val="22"/>
          <w:szCs w:val="22"/>
        </w:rPr>
        <w:lastRenderedPageBreak/>
        <w:tab/>
        <w:t>I considered my future aspirations and gained a better idea of the kind of career I would like to follow. This activity made me reflect critically on my strengths and weaknesses, as well as my long-term goals. A clear picture of what I want to become in the future has enabled me to concentrate and work towards realizing my aspirations.</w:t>
      </w:r>
      <w:r w:rsidR="00690114" w:rsidRPr="00690114">
        <w:rPr>
          <w:rFonts w:ascii="Arial" w:hAnsi="Arial" w:cs="Arial"/>
          <w:sz w:val="22"/>
          <w:szCs w:val="22"/>
        </w:rPr>
        <w:drawing>
          <wp:inline distT="0" distB="0" distL="0" distR="0" wp14:anchorId="72FA83E3" wp14:editId="70744F6E">
            <wp:extent cx="5943600" cy="3090545"/>
            <wp:effectExtent l="0" t="0" r="0" b="0"/>
            <wp:docPr id="1392813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813877" name=""/>
                    <pic:cNvPicPr/>
                  </pic:nvPicPr>
                  <pic:blipFill>
                    <a:blip r:embed="rId11"/>
                    <a:stretch>
                      <a:fillRect/>
                    </a:stretch>
                  </pic:blipFill>
                  <pic:spPr>
                    <a:xfrm>
                      <a:off x="0" y="0"/>
                      <a:ext cx="5943600" cy="3090545"/>
                    </a:xfrm>
                    <a:prstGeom prst="rect">
                      <a:avLst/>
                    </a:prstGeom>
                  </pic:spPr>
                </pic:pic>
              </a:graphicData>
            </a:graphic>
          </wp:inline>
        </w:drawing>
      </w:r>
    </w:p>
    <w:p w14:paraId="4F6720B6" w14:textId="77777777" w:rsidR="00690114" w:rsidRPr="009C1E5C" w:rsidRDefault="00690114">
      <w:pPr>
        <w:spacing w:line="360" w:lineRule="auto"/>
        <w:rPr>
          <w:rFonts w:ascii="Arial" w:hAnsi="Arial" w:cs="Arial"/>
          <w:sz w:val="22"/>
          <w:szCs w:val="22"/>
        </w:rPr>
      </w:pPr>
    </w:p>
    <w:p w14:paraId="0E236F41" w14:textId="77777777" w:rsidR="00A02A3E" w:rsidRPr="009C1E5C" w:rsidRDefault="00000000">
      <w:pPr>
        <w:spacing w:line="360" w:lineRule="auto"/>
        <w:rPr>
          <w:rFonts w:ascii="Arial" w:hAnsi="Arial" w:cs="Arial"/>
          <w:sz w:val="22"/>
          <w:szCs w:val="22"/>
        </w:rPr>
      </w:pPr>
      <w:r w:rsidRPr="009C1E5C">
        <w:rPr>
          <w:rFonts w:ascii="Arial" w:hAnsi="Arial" w:cs="Arial"/>
          <w:sz w:val="22"/>
          <w:szCs w:val="22"/>
        </w:rPr>
        <w:tab/>
        <w:t>These ideas of passion, perseverance and grit emphasized that success does not come immediately and that one has to work hard over a period of time. I also got to know that determination and hard work are the key to success in dealing with the obstacles and attaining success in the long term. According to Wood et al. (2024), grit and resilience play a crucial role in personal and professional development as they help people to be motivated despite challenges.</w:t>
      </w:r>
    </w:p>
    <w:p w14:paraId="006FBA81" w14:textId="77777777" w:rsidR="00A02A3E" w:rsidRPr="009C1E5C" w:rsidRDefault="00000000">
      <w:pPr>
        <w:spacing w:line="360" w:lineRule="auto"/>
        <w:rPr>
          <w:rFonts w:ascii="Arial" w:hAnsi="Arial" w:cs="Arial"/>
          <w:sz w:val="22"/>
          <w:szCs w:val="22"/>
        </w:rPr>
      </w:pPr>
      <w:r w:rsidRPr="009C1E5C">
        <w:rPr>
          <w:rFonts w:ascii="Arial" w:hAnsi="Arial" w:cs="Arial"/>
          <w:sz w:val="22"/>
          <w:szCs w:val="22"/>
        </w:rPr>
        <w:tab/>
        <w:t>Additionally, I recognised the impact of limiting beliefs on my confidence and performance. The knowledge of how negative thinking can limit progress enabled me to devise measures to eliminate these obstacles. I also got to know that failure is not something to be looked on as a setback but as an opportunity to learn and this has enhanced my response to problems.</w:t>
      </w:r>
    </w:p>
    <w:p w14:paraId="59528894" w14:textId="3F93A0C6" w:rsidR="00A02A3E" w:rsidRDefault="00000000">
      <w:pPr>
        <w:spacing w:line="360" w:lineRule="auto"/>
        <w:rPr>
          <w:rFonts w:ascii="Arial" w:hAnsi="Arial" w:cs="Arial"/>
          <w:sz w:val="22"/>
          <w:szCs w:val="22"/>
        </w:rPr>
      </w:pPr>
      <w:r w:rsidRPr="009C1E5C">
        <w:rPr>
          <w:rFonts w:ascii="Arial" w:hAnsi="Arial" w:cs="Arial"/>
          <w:sz w:val="22"/>
          <w:szCs w:val="22"/>
        </w:rPr>
        <w:tab/>
        <w:t xml:space="preserve">Theoretically, resilience has been found to be of importance in ensuring well-being and performance. Psychological resilience helps people to adjust to the stress and stay motivated in challenging settings (Chidi et al., 2024). This is especially the case with health and social care </w:t>
      </w:r>
      <w:r w:rsidRPr="009C1E5C">
        <w:rPr>
          <w:rFonts w:ascii="Arial" w:hAnsi="Arial" w:cs="Arial"/>
          <w:sz w:val="22"/>
          <w:szCs w:val="22"/>
        </w:rPr>
        <w:lastRenderedPageBreak/>
        <w:t>where professionals are prone to emotional and physical stress.</w:t>
      </w:r>
      <w:r w:rsidR="0009608B">
        <w:rPr>
          <w:rFonts w:ascii="Arial" w:hAnsi="Arial" w:cs="Arial"/>
          <w:noProof/>
          <w:sz w:val="22"/>
          <w:szCs w:val="22"/>
        </w:rPr>
        <w:drawing>
          <wp:inline distT="0" distB="0" distL="0" distR="0" wp14:anchorId="7A0D6338" wp14:editId="7F140F15">
            <wp:extent cx="10243185" cy="5416550"/>
            <wp:effectExtent l="0" t="0" r="5715" b="0"/>
            <wp:docPr id="19534627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0243185" cy="5416550"/>
                    </a:xfrm>
                    <a:prstGeom prst="rect">
                      <a:avLst/>
                    </a:prstGeom>
                    <a:noFill/>
                  </pic:spPr>
                </pic:pic>
              </a:graphicData>
            </a:graphic>
          </wp:inline>
        </w:drawing>
      </w:r>
    </w:p>
    <w:p w14:paraId="58BABC52" w14:textId="77777777" w:rsidR="0009608B" w:rsidRDefault="0009608B">
      <w:pPr>
        <w:spacing w:line="360" w:lineRule="auto"/>
        <w:rPr>
          <w:rFonts w:ascii="Arial" w:hAnsi="Arial" w:cs="Arial"/>
          <w:sz w:val="22"/>
          <w:szCs w:val="22"/>
        </w:rPr>
      </w:pPr>
    </w:p>
    <w:p w14:paraId="34397566" w14:textId="77777777" w:rsidR="0009608B" w:rsidRPr="009C1E5C" w:rsidRDefault="0009608B">
      <w:pPr>
        <w:spacing w:line="360" w:lineRule="auto"/>
        <w:rPr>
          <w:rFonts w:ascii="Arial" w:hAnsi="Arial" w:cs="Arial"/>
          <w:sz w:val="22"/>
          <w:szCs w:val="22"/>
        </w:rPr>
      </w:pPr>
    </w:p>
    <w:p w14:paraId="4E4E8BEE" w14:textId="77777777" w:rsidR="00A02A3E" w:rsidRPr="009C1E5C" w:rsidRDefault="00000000">
      <w:pPr>
        <w:spacing w:line="360" w:lineRule="auto"/>
        <w:rPr>
          <w:rFonts w:ascii="Arial" w:hAnsi="Arial" w:cs="Arial"/>
          <w:sz w:val="22"/>
          <w:szCs w:val="22"/>
        </w:rPr>
      </w:pPr>
      <w:r w:rsidRPr="009C1E5C">
        <w:rPr>
          <w:rFonts w:ascii="Arial" w:hAnsi="Arial" w:cs="Arial"/>
          <w:sz w:val="22"/>
          <w:szCs w:val="22"/>
        </w:rPr>
        <w:tab/>
        <w:t>In general, this unit equipped me with a stronger mindset, confidence, and readiness to face future challenges. It also enabled me to look back and see what skills I have acquired during the module such as self-awareness, global understanding, career awareness and resilience. These competencies will contribute to my future work in the field of health and social care and help me to work under the pressure in an active work environment.</w:t>
      </w:r>
    </w:p>
    <w:p w14:paraId="365AF98F" w14:textId="1034C96C" w:rsidR="00A02A3E" w:rsidRPr="009C1E5C" w:rsidRDefault="00A02A3E">
      <w:pPr>
        <w:spacing w:line="360" w:lineRule="auto"/>
        <w:jc w:val="center"/>
        <w:rPr>
          <w:rFonts w:ascii="Arial" w:hAnsi="Arial" w:cs="Arial"/>
          <w:sz w:val="22"/>
          <w:szCs w:val="22"/>
        </w:rPr>
      </w:pPr>
    </w:p>
    <w:p w14:paraId="5B24C375" w14:textId="77777777" w:rsidR="00A02A3E" w:rsidRPr="009C1E5C" w:rsidRDefault="00000000">
      <w:pPr>
        <w:pStyle w:val="Heading1"/>
        <w:spacing w:line="360" w:lineRule="auto"/>
        <w:rPr>
          <w:rFonts w:ascii="Arial" w:hAnsi="Arial" w:cs="Arial"/>
          <w:sz w:val="22"/>
          <w:szCs w:val="22"/>
        </w:rPr>
      </w:pPr>
      <w:bookmarkStart w:id="5" w:name="_heading=h.3b7jjt8bewsk" w:colFirst="0" w:colLast="0"/>
      <w:bookmarkEnd w:id="5"/>
      <w:r w:rsidRPr="009C1E5C">
        <w:rPr>
          <w:rFonts w:ascii="Arial" w:hAnsi="Arial" w:cs="Arial"/>
          <w:sz w:val="22"/>
          <w:szCs w:val="22"/>
        </w:rPr>
        <w:lastRenderedPageBreak/>
        <w:t>CONCLUSION</w:t>
      </w:r>
    </w:p>
    <w:p w14:paraId="2C6B378C" w14:textId="77777777" w:rsidR="00A02A3E" w:rsidRPr="009C1E5C" w:rsidRDefault="00000000">
      <w:pPr>
        <w:spacing w:line="360" w:lineRule="auto"/>
        <w:rPr>
          <w:rFonts w:ascii="Arial" w:hAnsi="Arial" w:cs="Arial"/>
          <w:sz w:val="22"/>
          <w:szCs w:val="22"/>
        </w:rPr>
      </w:pPr>
      <w:r w:rsidRPr="009C1E5C">
        <w:rPr>
          <w:rFonts w:ascii="Arial" w:hAnsi="Arial" w:cs="Arial"/>
          <w:sz w:val="22"/>
          <w:szCs w:val="22"/>
        </w:rPr>
        <w:tab/>
        <w:t>To sum up, this module has made a great impact on my personal and professional growth. Unit 1 helped me learn more about personal branding and self-awareness, whereas Unit 2 has brought me more knowledge about globalisation and cultural diversity in health and social care. Unit 3 helped me to understand the necessity of opportunity creation and identification, and Unit 4 reinforced my vision of resilience, perseverance, and personal development.</w:t>
      </w:r>
    </w:p>
    <w:p w14:paraId="283EB9BF" w14:textId="77777777" w:rsidR="00A02A3E" w:rsidRPr="009C1E5C" w:rsidRDefault="00000000">
      <w:pPr>
        <w:spacing w:line="360" w:lineRule="auto"/>
        <w:rPr>
          <w:rFonts w:ascii="Arial" w:hAnsi="Arial" w:cs="Arial"/>
          <w:sz w:val="22"/>
          <w:szCs w:val="22"/>
        </w:rPr>
      </w:pPr>
      <w:r w:rsidRPr="009C1E5C">
        <w:rPr>
          <w:rFonts w:ascii="Arial" w:hAnsi="Arial" w:cs="Arial"/>
          <w:sz w:val="22"/>
          <w:szCs w:val="22"/>
        </w:rPr>
        <w:tab/>
        <w:t>On the whole, the module has made me acquire the necessary skills, such as communication, self-awareness, and career planning. Such skills are key to success in health and social care, where the professionals should be versatile, understanding, and strong. The acquired knowledge has boosted my confidence and equipped me to meet future challenges successfully. I can now more effectively address my career objectives and make a positive impact on the healthcare industry, as a professional and a lifelong learner committed to continuous improvement and ethical practice in my future career</w:t>
      </w:r>
    </w:p>
    <w:p w14:paraId="09689D98" w14:textId="77777777" w:rsidR="00A02A3E" w:rsidRPr="009C1E5C" w:rsidRDefault="00000000">
      <w:pPr>
        <w:jc w:val="left"/>
        <w:rPr>
          <w:rFonts w:ascii="Arial" w:hAnsi="Arial" w:cs="Arial"/>
          <w:b/>
          <w:bCs/>
          <w:i/>
          <w:iCs/>
          <w:sz w:val="22"/>
          <w:szCs w:val="22"/>
        </w:rPr>
      </w:pPr>
      <w:bookmarkStart w:id="6" w:name="_heading=h.d894mbjqozx8" w:colFirst="0" w:colLast="0"/>
      <w:bookmarkEnd w:id="6"/>
      <w:r w:rsidRPr="009C1E5C">
        <w:rPr>
          <w:rFonts w:ascii="Arial" w:hAnsi="Arial" w:cs="Arial"/>
          <w:sz w:val="22"/>
          <w:szCs w:val="22"/>
        </w:rPr>
        <w:br w:type="page"/>
      </w:r>
    </w:p>
    <w:p w14:paraId="0D729575" w14:textId="77777777" w:rsidR="00A02A3E" w:rsidRPr="009C1E5C" w:rsidRDefault="00000000">
      <w:pPr>
        <w:pStyle w:val="Heading1"/>
        <w:spacing w:line="360" w:lineRule="auto"/>
        <w:rPr>
          <w:rFonts w:ascii="Arial" w:hAnsi="Arial" w:cs="Arial"/>
          <w:sz w:val="22"/>
          <w:szCs w:val="22"/>
        </w:rPr>
      </w:pPr>
      <w:r w:rsidRPr="009C1E5C">
        <w:rPr>
          <w:rFonts w:ascii="Arial" w:hAnsi="Arial" w:cs="Arial"/>
          <w:sz w:val="22"/>
          <w:szCs w:val="22"/>
        </w:rPr>
        <w:lastRenderedPageBreak/>
        <w:t>References:</w:t>
      </w:r>
    </w:p>
    <w:p w14:paraId="7FDC56AF" w14:textId="77777777" w:rsidR="00A02A3E" w:rsidRPr="009C1E5C" w:rsidRDefault="00000000">
      <w:pPr>
        <w:spacing w:line="360" w:lineRule="auto"/>
        <w:ind w:left="720" w:hanging="720"/>
        <w:rPr>
          <w:rFonts w:ascii="Arial" w:hAnsi="Arial" w:cs="Arial"/>
          <w:sz w:val="22"/>
          <w:szCs w:val="22"/>
        </w:rPr>
      </w:pPr>
      <w:r w:rsidRPr="009C1E5C">
        <w:rPr>
          <w:rFonts w:ascii="Arial" w:hAnsi="Arial" w:cs="Arial"/>
          <w:sz w:val="22"/>
          <w:szCs w:val="22"/>
        </w:rPr>
        <w:t>Chidi, R., Adeniyi, A.O., Okolo, C.A., Babawarun, O. and Arowoogun, J.O., 2024. Psychological resilience in healthcare workers: A review of strategies and intervention. </w:t>
      </w:r>
      <w:r w:rsidRPr="009C1E5C">
        <w:rPr>
          <w:rFonts w:ascii="Arial" w:hAnsi="Arial" w:cs="Arial"/>
          <w:i/>
          <w:iCs/>
          <w:sz w:val="22"/>
          <w:szCs w:val="22"/>
        </w:rPr>
        <w:t>World Journal of Biology Pharmacy and Health Sciences</w:t>
      </w:r>
      <w:r w:rsidRPr="009C1E5C">
        <w:rPr>
          <w:rFonts w:ascii="Arial" w:hAnsi="Arial" w:cs="Arial"/>
          <w:sz w:val="22"/>
          <w:szCs w:val="22"/>
        </w:rPr>
        <w:t>, </w:t>
      </w:r>
      <w:r w:rsidRPr="009C1E5C">
        <w:rPr>
          <w:rFonts w:ascii="Arial" w:hAnsi="Arial" w:cs="Arial"/>
          <w:i/>
          <w:iCs/>
          <w:sz w:val="22"/>
          <w:szCs w:val="22"/>
        </w:rPr>
        <w:t>17</w:t>
      </w:r>
      <w:r w:rsidRPr="009C1E5C">
        <w:rPr>
          <w:rFonts w:ascii="Arial" w:hAnsi="Arial" w:cs="Arial"/>
          <w:sz w:val="22"/>
          <w:szCs w:val="22"/>
        </w:rPr>
        <w:t>(2), pp.387-395.</w:t>
      </w:r>
    </w:p>
    <w:p w14:paraId="42F665B8" w14:textId="77777777" w:rsidR="00A02A3E" w:rsidRPr="009C1E5C" w:rsidRDefault="00000000">
      <w:pPr>
        <w:spacing w:line="360" w:lineRule="auto"/>
        <w:ind w:left="720" w:hanging="720"/>
        <w:rPr>
          <w:rFonts w:ascii="Arial" w:hAnsi="Arial" w:cs="Arial"/>
          <w:sz w:val="22"/>
          <w:szCs w:val="22"/>
        </w:rPr>
      </w:pPr>
      <w:r w:rsidRPr="009C1E5C">
        <w:rPr>
          <w:rFonts w:ascii="Arial" w:hAnsi="Arial" w:cs="Arial"/>
          <w:sz w:val="22"/>
          <w:szCs w:val="22"/>
        </w:rPr>
        <w:t>Faisal, M. and Dhusia, D.K., 2022. Globalisation, Health Care System &amp; Services, and Health Tourism: A Systematic Review. </w:t>
      </w:r>
      <w:r w:rsidRPr="009C1E5C">
        <w:rPr>
          <w:rFonts w:ascii="Arial" w:hAnsi="Arial" w:cs="Arial"/>
          <w:i/>
          <w:iCs/>
          <w:sz w:val="22"/>
          <w:szCs w:val="22"/>
        </w:rPr>
        <w:t>Atna Journal of Tourism Studies</w:t>
      </w:r>
      <w:r w:rsidRPr="009C1E5C">
        <w:rPr>
          <w:rFonts w:ascii="Arial" w:hAnsi="Arial" w:cs="Arial"/>
          <w:sz w:val="22"/>
          <w:szCs w:val="22"/>
        </w:rPr>
        <w:t>, </w:t>
      </w:r>
      <w:r w:rsidRPr="009C1E5C">
        <w:rPr>
          <w:rFonts w:ascii="Arial" w:hAnsi="Arial" w:cs="Arial"/>
          <w:i/>
          <w:iCs/>
          <w:sz w:val="22"/>
          <w:szCs w:val="22"/>
        </w:rPr>
        <w:t>17</w:t>
      </w:r>
      <w:r w:rsidRPr="009C1E5C">
        <w:rPr>
          <w:rFonts w:ascii="Arial" w:hAnsi="Arial" w:cs="Arial"/>
          <w:sz w:val="22"/>
          <w:szCs w:val="22"/>
        </w:rPr>
        <w:t>(2), pp.141-163.</w:t>
      </w:r>
    </w:p>
    <w:p w14:paraId="01A91E49" w14:textId="77777777" w:rsidR="00A02A3E" w:rsidRPr="009C1E5C" w:rsidRDefault="00000000">
      <w:pPr>
        <w:spacing w:line="360" w:lineRule="auto"/>
        <w:ind w:left="720" w:hanging="720"/>
        <w:rPr>
          <w:rFonts w:ascii="Arial" w:hAnsi="Arial" w:cs="Arial"/>
          <w:sz w:val="22"/>
          <w:szCs w:val="22"/>
        </w:rPr>
      </w:pPr>
      <w:r w:rsidRPr="009C1E5C">
        <w:rPr>
          <w:rFonts w:ascii="Arial" w:hAnsi="Arial" w:cs="Arial"/>
          <w:sz w:val="22"/>
          <w:szCs w:val="22"/>
        </w:rPr>
        <w:t>Foster, J., Stone, T., Jawahar, I.M., Steinheider, B. and Gray, T.W., 2023. Reputational self-awareness: an innovative career development tool. </w:t>
      </w:r>
      <w:r w:rsidRPr="009C1E5C">
        <w:rPr>
          <w:rFonts w:ascii="Arial" w:hAnsi="Arial" w:cs="Arial"/>
          <w:i/>
          <w:iCs/>
          <w:sz w:val="22"/>
          <w:szCs w:val="22"/>
        </w:rPr>
        <w:t>Career Development International</w:t>
      </w:r>
      <w:r w:rsidRPr="009C1E5C">
        <w:rPr>
          <w:rFonts w:ascii="Arial" w:hAnsi="Arial" w:cs="Arial"/>
          <w:sz w:val="22"/>
          <w:szCs w:val="22"/>
        </w:rPr>
        <w:t>, </w:t>
      </w:r>
      <w:r w:rsidRPr="009C1E5C">
        <w:rPr>
          <w:rFonts w:ascii="Arial" w:hAnsi="Arial" w:cs="Arial"/>
          <w:i/>
          <w:iCs/>
          <w:sz w:val="22"/>
          <w:szCs w:val="22"/>
        </w:rPr>
        <w:t>28</w:t>
      </w:r>
      <w:r w:rsidRPr="009C1E5C">
        <w:rPr>
          <w:rFonts w:ascii="Arial" w:hAnsi="Arial" w:cs="Arial"/>
          <w:sz w:val="22"/>
          <w:szCs w:val="22"/>
        </w:rPr>
        <w:t>(6-7), pp.793-815.</w:t>
      </w:r>
    </w:p>
    <w:p w14:paraId="4FFB9336" w14:textId="77777777" w:rsidR="00A02A3E" w:rsidRPr="009C1E5C" w:rsidRDefault="00000000">
      <w:pPr>
        <w:spacing w:line="360" w:lineRule="auto"/>
        <w:ind w:left="720" w:hanging="720"/>
        <w:rPr>
          <w:rFonts w:ascii="Arial" w:hAnsi="Arial" w:cs="Arial"/>
          <w:sz w:val="22"/>
          <w:szCs w:val="22"/>
        </w:rPr>
      </w:pPr>
      <w:r w:rsidRPr="009C1E5C">
        <w:rPr>
          <w:rFonts w:ascii="Arial" w:hAnsi="Arial" w:cs="Arial"/>
          <w:sz w:val="22"/>
          <w:szCs w:val="22"/>
        </w:rPr>
        <w:t>Lartey, F.M., 2021. Impact of career planning, employee autonomy, and manager recognition on employee engagement.</w:t>
      </w:r>
    </w:p>
    <w:p w14:paraId="014B5D68" w14:textId="77777777" w:rsidR="00A02A3E" w:rsidRPr="009C1E5C" w:rsidRDefault="00000000">
      <w:pPr>
        <w:spacing w:line="360" w:lineRule="auto"/>
        <w:ind w:left="720" w:hanging="720"/>
        <w:rPr>
          <w:rFonts w:ascii="Arial" w:hAnsi="Arial" w:cs="Arial"/>
          <w:sz w:val="22"/>
          <w:szCs w:val="22"/>
        </w:rPr>
      </w:pPr>
      <w:r w:rsidRPr="009C1E5C">
        <w:rPr>
          <w:rFonts w:ascii="Arial" w:hAnsi="Arial" w:cs="Arial"/>
          <w:sz w:val="22"/>
          <w:szCs w:val="22"/>
        </w:rPr>
        <w:t>Nair, L. and Adetayo, O.A., 2019. Cultural competence and ethnic diversity in healthcare. </w:t>
      </w:r>
      <w:r w:rsidRPr="009C1E5C">
        <w:rPr>
          <w:rFonts w:ascii="Arial" w:hAnsi="Arial" w:cs="Arial"/>
          <w:i/>
          <w:iCs/>
          <w:sz w:val="22"/>
          <w:szCs w:val="22"/>
        </w:rPr>
        <w:t>Plastic and Reconstructive Surgery–Global Open</w:t>
      </w:r>
      <w:r w:rsidRPr="009C1E5C">
        <w:rPr>
          <w:rFonts w:ascii="Arial" w:hAnsi="Arial" w:cs="Arial"/>
          <w:sz w:val="22"/>
          <w:szCs w:val="22"/>
        </w:rPr>
        <w:t>, </w:t>
      </w:r>
      <w:r w:rsidRPr="009C1E5C">
        <w:rPr>
          <w:rFonts w:ascii="Arial" w:hAnsi="Arial" w:cs="Arial"/>
          <w:i/>
          <w:iCs/>
          <w:sz w:val="22"/>
          <w:szCs w:val="22"/>
        </w:rPr>
        <w:t>7</w:t>
      </w:r>
      <w:r w:rsidRPr="009C1E5C">
        <w:rPr>
          <w:rFonts w:ascii="Arial" w:hAnsi="Arial" w:cs="Arial"/>
          <w:sz w:val="22"/>
          <w:szCs w:val="22"/>
        </w:rPr>
        <w:t>(5), p.e2219.</w:t>
      </w:r>
    </w:p>
    <w:p w14:paraId="434B151B" w14:textId="77777777" w:rsidR="00A02A3E" w:rsidRPr="009C1E5C" w:rsidRDefault="00000000">
      <w:pPr>
        <w:spacing w:line="360" w:lineRule="auto"/>
        <w:ind w:left="720" w:hanging="720"/>
        <w:rPr>
          <w:rFonts w:ascii="Arial" w:hAnsi="Arial" w:cs="Arial"/>
          <w:sz w:val="22"/>
          <w:szCs w:val="22"/>
        </w:rPr>
      </w:pPr>
      <w:r w:rsidRPr="009C1E5C">
        <w:rPr>
          <w:rFonts w:ascii="Arial" w:hAnsi="Arial" w:cs="Arial"/>
          <w:sz w:val="22"/>
          <w:szCs w:val="22"/>
        </w:rPr>
        <w:t>Omar, M.K., Muhamad, W.M.W., Ismail, N., Zakaria, A. and Kadir, K.M., 2023. Employability skills and career development self-efficacy as indicators for workforce success. </w:t>
      </w:r>
      <w:r w:rsidRPr="009C1E5C">
        <w:rPr>
          <w:rFonts w:ascii="Arial" w:hAnsi="Arial" w:cs="Arial"/>
          <w:i/>
          <w:iCs/>
          <w:sz w:val="22"/>
          <w:szCs w:val="22"/>
        </w:rPr>
        <w:t>Journal of Technical Education and Training</w:t>
      </w:r>
      <w:r w:rsidRPr="009C1E5C">
        <w:rPr>
          <w:rFonts w:ascii="Arial" w:hAnsi="Arial" w:cs="Arial"/>
          <w:sz w:val="22"/>
          <w:szCs w:val="22"/>
        </w:rPr>
        <w:t>, </w:t>
      </w:r>
      <w:r w:rsidRPr="009C1E5C">
        <w:rPr>
          <w:rFonts w:ascii="Arial" w:hAnsi="Arial" w:cs="Arial"/>
          <w:i/>
          <w:iCs/>
          <w:sz w:val="22"/>
          <w:szCs w:val="22"/>
        </w:rPr>
        <w:t>15</w:t>
      </w:r>
      <w:r w:rsidRPr="009C1E5C">
        <w:rPr>
          <w:rFonts w:ascii="Arial" w:hAnsi="Arial" w:cs="Arial"/>
          <w:sz w:val="22"/>
          <w:szCs w:val="22"/>
        </w:rPr>
        <w:t>(3), pp.118-130.</w:t>
      </w:r>
    </w:p>
    <w:p w14:paraId="32757ABD" w14:textId="77777777" w:rsidR="00A02A3E" w:rsidRPr="009C1E5C" w:rsidRDefault="00000000">
      <w:pPr>
        <w:spacing w:line="360" w:lineRule="auto"/>
        <w:ind w:left="720" w:hanging="720"/>
        <w:rPr>
          <w:rFonts w:ascii="Arial" w:hAnsi="Arial" w:cs="Arial"/>
          <w:sz w:val="22"/>
          <w:szCs w:val="22"/>
        </w:rPr>
      </w:pPr>
      <w:r w:rsidRPr="009C1E5C">
        <w:rPr>
          <w:rFonts w:ascii="Arial" w:hAnsi="Arial" w:cs="Arial"/>
          <w:sz w:val="22"/>
          <w:szCs w:val="22"/>
        </w:rPr>
        <w:t>Pathmanathan, P., 2018. The impact of personal characteristics on personal branding in reflection to the employability. </w:t>
      </w:r>
      <w:r w:rsidRPr="009C1E5C">
        <w:rPr>
          <w:rFonts w:ascii="Arial" w:hAnsi="Arial" w:cs="Arial"/>
          <w:i/>
          <w:iCs/>
          <w:sz w:val="22"/>
          <w:szCs w:val="22"/>
        </w:rPr>
        <w:t>Information Management and Business Review</w:t>
      </w:r>
      <w:r w:rsidRPr="009C1E5C">
        <w:rPr>
          <w:rFonts w:ascii="Arial" w:hAnsi="Arial" w:cs="Arial"/>
          <w:sz w:val="22"/>
          <w:szCs w:val="22"/>
        </w:rPr>
        <w:t>.</w:t>
      </w:r>
    </w:p>
    <w:p w14:paraId="5FF26000" w14:textId="77777777" w:rsidR="00A02A3E" w:rsidRPr="009C1E5C" w:rsidRDefault="00000000">
      <w:pPr>
        <w:spacing w:line="360" w:lineRule="auto"/>
        <w:ind w:left="720" w:hanging="720"/>
        <w:rPr>
          <w:rFonts w:ascii="Arial" w:hAnsi="Arial" w:cs="Arial"/>
          <w:sz w:val="22"/>
          <w:szCs w:val="22"/>
        </w:rPr>
      </w:pPr>
      <w:r w:rsidRPr="009C1E5C">
        <w:rPr>
          <w:rFonts w:ascii="Arial" w:hAnsi="Arial" w:cs="Arial"/>
          <w:sz w:val="22"/>
          <w:szCs w:val="22"/>
        </w:rPr>
        <w:t>Wood, C., Sponseller, C., Frerichs, S.W. and DeMorra, M.W., 2024. Resilience and Grit: What They Are and Why They Matter for Youth Development Professional. </w:t>
      </w:r>
      <w:r w:rsidRPr="009C1E5C">
        <w:rPr>
          <w:rFonts w:ascii="Arial" w:hAnsi="Arial" w:cs="Arial"/>
          <w:i/>
          <w:iCs/>
          <w:sz w:val="22"/>
          <w:szCs w:val="22"/>
        </w:rPr>
        <w:t>Journal of Youth Development</w:t>
      </w:r>
      <w:r w:rsidRPr="009C1E5C">
        <w:rPr>
          <w:rFonts w:ascii="Arial" w:hAnsi="Arial" w:cs="Arial"/>
          <w:sz w:val="22"/>
          <w:szCs w:val="22"/>
        </w:rPr>
        <w:t>, </w:t>
      </w:r>
      <w:r w:rsidRPr="009C1E5C">
        <w:rPr>
          <w:rFonts w:ascii="Arial" w:hAnsi="Arial" w:cs="Arial"/>
          <w:i/>
          <w:iCs/>
          <w:sz w:val="22"/>
          <w:szCs w:val="22"/>
        </w:rPr>
        <w:t>19</w:t>
      </w:r>
      <w:r w:rsidRPr="009C1E5C">
        <w:rPr>
          <w:rFonts w:ascii="Arial" w:hAnsi="Arial" w:cs="Arial"/>
          <w:sz w:val="22"/>
          <w:szCs w:val="22"/>
        </w:rPr>
        <w:t>(4), pp.20-30.</w:t>
      </w:r>
    </w:p>
    <w:sectPr w:rsidR="00A02A3E" w:rsidRPr="009C1E5C">
      <w:headerReference w:type="default" r:id="rId13"/>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0B1D41" w14:textId="77777777" w:rsidR="009537E9" w:rsidRDefault="009537E9">
      <w:pPr>
        <w:spacing w:after="0" w:line="240" w:lineRule="auto"/>
      </w:pPr>
      <w:r>
        <w:separator/>
      </w:r>
    </w:p>
  </w:endnote>
  <w:endnote w:type="continuationSeparator" w:id="0">
    <w:p w14:paraId="0E13917D" w14:textId="77777777" w:rsidR="009537E9" w:rsidRDefault="009537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7C177154-018C-456F-8614-B3E5D1B2B9D3}"/>
    <w:embedItalic r:id="rId2" w:fontKey="{A4AEE1EB-843C-4396-9F82-BDC55F5299F6}"/>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3" w:fontKey="{714FE8C8-2E55-4CB0-90AC-D8B1D6568095}"/>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E947DF" w14:textId="77777777" w:rsidR="009537E9" w:rsidRDefault="009537E9">
      <w:pPr>
        <w:spacing w:after="0" w:line="240" w:lineRule="auto"/>
      </w:pPr>
      <w:r>
        <w:separator/>
      </w:r>
    </w:p>
  </w:footnote>
  <w:footnote w:type="continuationSeparator" w:id="0">
    <w:p w14:paraId="5E0442BF" w14:textId="77777777" w:rsidR="009537E9" w:rsidRDefault="009537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6F9560" w14:textId="77777777" w:rsidR="00A02A3E" w:rsidRDefault="00000000">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9C1E5C">
      <w:rPr>
        <w:noProof/>
        <w:color w:val="000000"/>
      </w:rPr>
      <w:t>2</w:t>
    </w:r>
    <w:r>
      <w:rPr>
        <w:color w:val="000000"/>
      </w:rPr>
      <w:fldChar w:fldCharType="end"/>
    </w:r>
  </w:p>
  <w:p w14:paraId="78C26966" w14:textId="77777777" w:rsidR="00A02A3E" w:rsidRDefault="00A02A3E">
    <w:pPr>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2A3E"/>
    <w:rsid w:val="0009608B"/>
    <w:rsid w:val="000E4371"/>
    <w:rsid w:val="005B31CE"/>
    <w:rsid w:val="00606D0E"/>
    <w:rsid w:val="00654382"/>
    <w:rsid w:val="00690114"/>
    <w:rsid w:val="007C0B62"/>
    <w:rsid w:val="00837F55"/>
    <w:rsid w:val="009537E9"/>
    <w:rsid w:val="009C1E5C"/>
    <w:rsid w:val="00A02A3E"/>
    <w:rsid w:val="00A37006"/>
    <w:rsid w:val="00C838F2"/>
    <w:rsid w:val="00E24E01"/>
    <w:rsid w:val="00F226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78373"/>
  <w15:docId w15:val="{15A30A33-0F28-4C4A-9FD9-AAA9ECC75A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ar-SA"/>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bCs/>
      <w:i/>
      <w:iCs/>
    </w:rPr>
  </w:style>
  <w:style w:type="paragraph" w:styleId="Heading2">
    <w:name w:val="heading 2"/>
    <w:basedOn w:val="Normal"/>
    <w:next w:val="Normal"/>
    <w:uiPriority w:val="9"/>
    <w:semiHidden/>
    <w:unhideWhenUsed/>
    <w:qFormat/>
    <w:pPr>
      <w:widowControl w:val="0"/>
      <w:spacing w:after="0" w:line="360" w:lineRule="auto"/>
      <w:outlineLvl w:val="1"/>
    </w:pPr>
    <w:rPr>
      <w:i/>
      <w:iCs/>
    </w:rPr>
  </w:style>
  <w:style w:type="paragraph" w:styleId="Heading3">
    <w:name w:val="heading 3"/>
    <w:basedOn w:val="Normal"/>
    <w:next w:val="Normal"/>
    <w:uiPriority w:val="9"/>
    <w:semiHidden/>
    <w:unhideWhenUsed/>
    <w:qFormat/>
    <w:pPr>
      <w:widowControl w:val="0"/>
      <w:spacing w:before="243" w:after="0" w:line="360" w:lineRule="auto"/>
      <w:ind w:left="720"/>
      <w:jc w:val="center"/>
      <w:outlineLvl w:val="2"/>
    </w:pPr>
  </w:style>
  <w:style w:type="paragraph" w:styleId="Heading4">
    <w:name w:val="heading 4"/>
    <w:basedOn w:val="Normal"/>
    <w:next w:val="Normal"/>
    <w:uiPriority w:val="9"/>
    <w:semiHidden/>
    <w:unhideWhenUsed/>
    <w:qFormat/>
    <w:pPr>
      <w:keepNext/>
      <w:keepLines/>
      <w:spacing w:before="80" w:after="40"/>
      <w:outlineLvl w:val="3"/>
    </w:pPr>
    <w:rPr>
      <w:rFonts w:ascii="Calibri" w:eastAsia="Calibri" w:hAnsi="Calibri" w:cs="Calibri"/>
      <w:i/>
      <w:iCs/>
      <w:color w:val="2F5496"/>
    </w:rPr>
  </w:style>
  <w:style w:type="paragraph" w:styleId="Heading5">
    <w:name w:val="heading 5"/>
    <w:basedOn w:val="Normal"/>
    <w:next w:val="Normal"/>
    <w:uiPriority w:val="9"/>
    <w:semiHidden/>
    <w:unhideWhenUsed/>
    <w:qFormat/>
    <w:pPr>
      <w:keepNext/>
      <w:keepLines/>
      <w:spacing w:before="80" w:after="40"/>
      <w:outlineLvl w:val="4"/>
    </w:pPr>
    <w:rPr>
      <w:rFonts w:ascii="Calibri" w:eastAsia="Calibri" w:hAnsi="Calibri" w:cs="Calibri"/>
      <w:color w:val="2F5496"/>
    </w:rPr>
  </w:style>
  <w:style w:type="paragraph" w:styleId="Heading6">
    <w:name w:val="heading 6"/>
    <w:basedOn w:val="Normal"/>
    <w:next w:val="Normal"/>
    <w:uiPriority w:val="9"/>
    <w:semiHidden/>
    <w:unhideWhenUsed/>
    <w:qFormat/>
    <w:pPr>
      <w:keepNext/>
      <w:keepLines/>
      <w:spacing w:before="40" w:after="0"/>
      <w:outlineLvl w:val="5"/>
    </w:pPr>
    <w:rPr>
      <w:rFonts w:ascii="Calibri" w:eastAsia="Calibri" w:hAnsi="Calibri" w:cs="Calibri"/>
      <w:i/>
      <w:iCs/>
      <w:color w:val="595959"/>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Calibri" w:eastAsia="Calibri" w:hAnsi="Calibri" w:cs="Calibri"/>
      <w:sz w:val="56"/>
      <w:szCs w:val="56"/>
    </w:rPr>
  </w:style>
  <w:style w:type="paragraph" w:styleId="Subtitle">
    <w:name w:val="Subtitle"/>
    <w:basedOn w:val="Normal"/>
    <w:next w:val="Normal"/>
    <w:uiPriority w:val="11"/>
    <w:qFormat/>
    <w:rPr>
      <w:rFonts w:ascii="Calibri" w:eastAsia="Calibri" w:hAnsi="Calibri" w:cs="Calibri"/>
      <w:color w:val="595959"/>
      <w:sz w:val="28"/>
      <w:szCs w:val="28"/>
    </w:rPr>
  </w:style>
  <w:style w:type="paragraph" w:styleId="Header">
    <w:name w:val="header"/>
    <w:basedOn w:val="Normal"/>
    <w:link w:val="HeaderChar"/>
    <w:uiPriority w:val="99"/>
    <w:unhideWhenUsed/>
    <w:rsid w:val="00837F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7F55"/>
  </w:style>
  <w:style w:type="paragraph" w:styleId="Footer">
    <w:name w:val="footer"/>
    <w:basedOn w:val="Normal"/>
    <w:link w:val="FooterChar"/>
    <w:uiPriority w:val="99"/>
    <w:unhideWhenUsed/>
    <w:rsid w:val="00837F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7F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m+p/rcoP6rX7au/0PleIwlBF2Kg==">CgMxLjAyDmgudW00b2JlbDM5dHo2Mg5oLnRkeXdzeDc5MjZnZTIOaC55bWJmcnhwOWc1czEyDmgucG14MDI4ZHN0dWZqMg5oLm0wcTF1ZGtqcHR5ZDIOaC4zYjdqanQ4YmV3c2syDmguZDg5NG1ianFveng4OAByITFOUnlVOXV3TGNSblJsaE1IX0p5MFpXaUl4UzBraXZjaw==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2214</Words>
  <Characters>12625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Antonio De Jesus Soares (2335800)</cp:lastModifiedBy>
  <cp:revision>3</cp:revision>
  <dcterms:created xsi:type="dcterms:W3CDTF">2026-04-13T08:07:00Z</dcterms:created>
  <dcterms:modified xsi:type="dcterms:W3CDTF">2026-04-13T08:11:00Z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9f08c38c-e7e5-4a82-a43a-33351cc1e5b7</vt:lpwstr>
  </property>
</Properties>
</file>