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jc w:val="center"/>
      </w:pPr>
      <w:r>
        <w:rPr>
          <w:rFonts w:ascii="Times New Roman" w:cs="Times New Roman" w:eastAsia="Times New Roman" w:hAnsi="Times New Roman"/>
          <w:b/>
          <w:bCs/>
          <w:sz w:val="24"/>
          <w:szCs w:val="24"/>
        </w:rPr>
        <w:t xml:space="preserve">The Statistical Foundations of Machine Learning and Data Science</w:t>
      </w:r>
    </w:p>
    <w:p>
      <w:pPr>
        <w:spacing w:after="160"/>
        <w:jc w:val="center"/>
      </w:pPr>
      <w:r>
        <w:rPr>
          <w:rFonts w:ascii="Times New Roman" w:cs="Times New Roman" w:eastAsia="Times New Roman" w:hAnsi="Times New Roman"/>
          <w:i/>
          <w:iCs/>
          <w:sz w:val="20"/>
          <w:szCs w:val="20"/>
        </w:rPr>
        <w:t xml:space="preserve">Engagement with Literature | Activity Sheet Report</w:t>
      </w:r>
    </w:p>
    <w:p>
      <w:pPr>
        <w:spacing w:after="40" w:before="0"/>
      </w:pPr>
      <w:r>
        <w:rPr>
          <w:rFonts w:ascii="Times New Roman" w:cs="Times New Roman" w:eastAsia="Times New Roman" w:hAnsi="Times New Roman"/>
          <w:b/>
          <w:bCs/>
          <w:sz w:val="22"/>
          <w:szCs w:val="22"/>
        </w:rPr>
        <w:t xml:space="preserve">Introduction</w:t>
      </w:r>
    </w:p>
    <w:p>
      <w:pPr>
        <w:spacing w:after="100" w:line="264"/>
        <w:jc w:val="both"/>
      </w:pPr>
      <w:r>
        <w:rPr>
          <w:rFonts w:ascii="Times New Roman" w:cs="Times New Roman" w:eastAsia="Times New Roman" w:hAnsi="Times New Roman"/>
          <w:sz w:val="22"/>
          <w:szCs w:val="22"/>
        </w:rPr>
        <w:t xml:space="preserve">A foundational question in contemporary data science concerns the relationship between classical statistics and modern machine learning (ML): are they distinct disciplines, or does ML represent an evolution of statistical methodology? Scholarly literature published since 2024 consistently demonstrates that statistical methods remain the theoretical and practical backbone of ML workflows. This report draws on recent peer-reviewed sources to examine how statistical reasoning underpins model evaluation, feature selection, and validation in data science and artificial intelligence (AI).</w:t>
      </w:r>
    </w:p>
    <w:p>
      <w:pPr>
        <w:spacing w:after="40" w:before="0"/>
      </w:pPr>
      <w:r>
        <w:rPr>
          <w:rFonts w:ascii="Times New Roman" w:cs="Times New Roman" w:eastAsia="Times New Roman" w:hAnsi="Times New Roman"/>
          <w:b/>
          <w:bCs/>
          <w:sz w:val="22"/>
          <w:szCs w:val="22"/>
        </w:rPr>
        <w:t xml:space="preserve">Review of the Literature</w:t>
      </w:r>
    </w:p>
    <w:p>
      <w:pPr>
        <w:spacing w:after="90" w:line="264"/>
        <w:jc w:val="both"/>
      </w:pPr>
      <w:r>
        <w:rPr>
          <w:rFonts w:ascii="Times New Roman" w:cs="Times New Roman" w:eastAsia="Times New Roman" w:hAnsi="Times New Roman"/>
          <w:sz w:val="22"/>
          <w:szCs w:val="22"/>
        </w:rPr>
        <w:t xml:space="preserve">Rainio, Teuho, and Klén [1] provide a systematic examination of evaluation metrics and statistical tests for machine learning, published in Scientific Reports in 2024. Their work argues that rigorous statistical testing — including paired significance tests and confidence interval estimation — is essential for meaningful comparison of ML models. The authors demonstrate that common evaluation metrics such as AUC-ROC and F1-score are rooted in probabilistic and statistical theory, and that without appropriate statistical validation, performance claims risk being misleading or non-reproducible. This contribution highlights that the boundary between statistical inference and ML evaluation is, in practice, inseparable.</w:t>
      </w:r>
    </w:p>
    <w:p>
      <w:pPr>
        <w:spacing w:after="90" w:line="264"/>
        <w:jc w:val="both"/>
      </w:pPr>
      <w:r>
        <w:rPr>
          <w:rFonts w:ascii="Times New Roman" w:cs="Times New Roman" w:eastAsia="Times New Roman" w:hAnsi="Times New Roman"/>
          <w:sz w:val="22"/>
          <w:szCs w:val="22"/>
        </w:rPr>
        <w:t xml:space="preserve">Barbieri, Grisci, and Dorn [2] investigate feature selection methods in a 2024 study published in Expert Systems with Applications, providing a comprehensive comparative framework for assessing the performance and stability of filter, wrapper, and embedded selection techniques. They establish that statistical measures — including variance-based ranking, mutual information, and hypothesis-driven metrics — remain among the most interpretable and reliable approaches for identifying informative predictors in high-dimensional datasets. Their analysis shows that instability in feature selection directly translates to unpredictable model behaviour, underscoring the role of statistical reasoning in ensuring reproducibility.</w:t>
      </w:r>
    </w:p>
    <w:p>
      <w:pPr>
        <w:spacing w:after="90" w:line="264"/>
        <w:jc w:val="both"/>
      </w:pPr>
      <w:r>
        <w:rPr>
          <w:rFonts w:ascii="Times New Roman" w:cs="Times New Roman" w:eastAsia="Times New Roman" w:hAnsi="Times New Roman"/>
          <w:sz w:val="22"/>
          <w:szCs w:val="22"/>
        </w:rPr>
        <w:t xml:space="preserve">Complementing these findings, Lumumba et al. [3], writing in the American Journal of Theoretical and Applied Statistics (2024), conduct an empirical comparison of cross-validation strategies — including LOOCV, k-fold, and repeated k-fold cross-validation — across multiple ML classifiers and dataset types. Their results demonstrate that the choice of validation strategy has a statistically significant effect on model performance estimates, with repeated k-fold cross-validation offering the most stable trade-off between bias and variance. This work reinforces that cross-validation, a procedure originating in classical statistical resampling theory, remains indispensable to any responsible ML pipeline, from hyperparameter tuning to out-of-sample performance estimation.</w:t>
      </w:r>
    </w:p>
    <w:p>
      <w:pPr>
        <w:spacing w:after="100" w:line="264"/>
        <w:jc w:val="both"/>
      </w:pPr>
      <w:r>
        <w:rPr>
          <w:rFonts w:ascii="Times New Roman" w:cs="Times New Roman" w:eastAsia="Times New Roman" w:hAnsi="Times New Roman"/>
          <w:sz w:val="22"/>
          <w:szCs w:val="22"/>
        </w:rPr>
        <w:t xml:space="preserve">Taken together, these studies affirm that statistical thinking permeates every stage of modern ML development — from selecting relevant features and choosing model architectures to validating predictions on unseen data. The literature makes clear that practitioners lacking statistical literacy are prone to errors in model comparison, feature engineering, and generalisation assessment.</w:t>
      </w:r>
    </w:p>
    <w:p>
      <w:pPr>
        <w:spacing w:after="40" w:before="0"/>
      </w:pPr>
      <w:r>
        <w:rPr>
          <w:rFonts w:ascii="Times New Roman" w:cs="Times New Roman" w:eastAsia="Times New Roman" w:hAnsi="Times New Roman"/>
          <w:b/>
          <w:bCs/>
          <w:sz w:val="22"/>
          <w:szCs w:val="22"/>
        </w:rPr>
        <w:t xml:space="preserve">Conclusion</w:t>
      </w:r>
    </w:p>
    <w:p>
      <w:pPr>
        <w:spacing w:after="120" w:line="264"/>
        <w:jc w:val="both"/>
      </w:pPr>
      <w:r>
        <w:rPr>
          <w:rFonts w:ascii="Times New Roman" w:cs="Times New Roman" w:eastAsia="Times New Roman" w:hAnsi="Times New Roman"/>
          <w:sz w:val="22"/>
          <w:szCs w:val="22"/>
        </w:rPr>
        <w:t xml:space="preserve">Recent peer-reviewed literature confirms that statistics is not merely a precursor to machine learning, but its enduring intellectual foundation. Whether through significance testing in model evaluation, statistical feature selection, or principled cross-validation, statistical methods provide the rigour necessary for reliable and interpretable ML systems. As data science matures, statistical literacy remains an essential and non-negotiable competency for practitioners and researchers alike.</w:t>
      </w:r>
    </w:p>
    <w:p>
      <w:pPr>
        <w:spacing w:after="40" w:before="0"/>
      </w:pPr>
      <w:r>
        <w:rPr>
          <w:rFonts w:ascii="Times New Roman" w:cs="Times New Roman" w:eastAsia="Times New Roman" w:hAnsi="Times New Roman"/>
          <w:b/>
          <w:bCs/>
          <w:sz w:val="22"/>
          <w:szCs w:val="22"/>
        </w:rPr>
        <w:t xml:space="preserve">References</w:t>
      </w:r>
    </w:p>
    <w:p>
      <w:pPr>
        <w:spacing w:after="50" w:line="240"/>
        <w:ind w:left="360" w:hanging="360"/>
      </w:pPr>
      <w:r>
        <w:rPr>
          <w:rFonts w:ascii="Times New Roman" w:cs="Times New Roman" w:eastAsia="Times New Roman" w:hAnsi="Times New Roman"/>
          <w:sz w:val="20"/>
          <w:szCs w:val="20"/>
        </w:rPr>
        <w:t xml:space="preserve">[1] O. Rainio, J. Teuho, and R. Klén, “Evaluation metrics and statistical tests for machine learning,” Scientific Reports, vol. 14, no. 1, Art. no. 6086, Mar. 2024, doi: 10.1038/s41598-024-56706-x.</w:t>
      </w:r>
    </w:p>
    <w:p>
      <w:pPr>
        <w:spacing w:after="50" w:line="240"/>
        <w:ind w:left="360" w:hanging="360"/>
      </w:pPr>
      <w:r>
        <w:rPr>
          <w:rFonts w:ascii="Times New Roman" w:cs="Times New Roman" w:eastAsia="Times New Roman" w:hAnsi="Times New Roman"/>
          <w:sz w:val="20"/>
          <w:szCs w:val="20"/>
        </w:rPr>
        <w:t xml:space="preserve">[2] M. C. Barbieri, B. I. Grisci, and M. Dorn, “Analysis and comparison of feature selection methods towards performance and stability,” Expert Systems with Applications, vol. 249, Art. no. 123667, 2024, doi: 10.1016/j.eswa.2024.123667.</w:t>
      </w:r>
    </w:p>
    <w:p>
      <w:pPr>
        <w:spacing w:after="50" w:line="240"/>
        <w:ind w:left="360" w:hanging="360"/>
      </w:pPr>
      <w:r>
        <w:rPr>
          <w:rFonts w:ascii="Times New Roman" w:cs="Times New Roman" w:eastAsia="Times New Roman" w:hAnsi="Times New Roman"/>
          <w:sz w:val="20"/>
          <w:szCs w:val="20"/>
        </w:rPr>
        <w:t xml:space="preserve">[3] V. W. Lumumba, D. Kiprotich, M. L. Mpaine, N. G. Makena, and M. D. Kavita, “Comparative analysis of cross-validation techniques: LOOCV, K-folds cross-validation, and repeated K-folds cross-validation in machine learning models,” American Journal of Theoretical and Applied Statistics, vol. 13, no. 5, pp. 127–137, 2024, doi: 10.11648/j.ajtas.20241305.13.</w:t>
      </w:r>
    </w:p>
    <w:sectPr>
      <w:pgSz w:w="11906" w:h="16838" w:orient="portrait"/>
      <w:pgMar w:top="900" w:right="1000" w:bottom="900" w:left="10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2026-05-20T15:01:10.923Z</dcterms:created>
  <dcterms:modified xsi:type="dcterms:W3CDTF">2026-05-20T15:01:10.923Z</dcterms:modified>
</cp:coreProperties>
</file>

<file path=docProps/custom.xml><?xml version="1.0" encoding="utf-8"?>
<Properties xmlns="http://schemas.openxmlformats.org/officeDocument/2006/custom-properties" xmlns:vt="http://schemas.openxmlformats.org/officeDocument/2006/docPropsVTypes"/>
</file>