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2829DE" w14:textId="77777777" w:rsidR="008F5A06" w:rsidRPr="00D1345F" w:rsidRDefault="008F5A06" w:rsidP="00D1345F">
      <w:pPr>
        <w:spacing w:line="360" w:lineRule="auto"/>
        <w:jc w:val="center"/>
        <w:rPr>
          <w:rFonts w:ascii="Arial" w:hAnsi="Arial" w:cs="Arial"/>
          <w:sz w:val="22"/>
          <w:szCs w:val="22"/>
        </w:rPr>
      </w:pPr>
    </w:p>
    <w:p w14:paraId="162829DF" w14:textId="77777777" w:rsidR="008F5A06" w:rsidRPr="00D1345F" w:rsidRDefault="008F5A06" w:rsidP="00D1345F">
      <w:pPr>
        <w:spacing w:line="360" w:lineRule="auto"/>
        <w:jc w:val="center"/>
        <w:rPr>
          <w:rFonts w:ascii="Arial" w:hAnsi="Arial" w:cs="Arial"/>
          <w:sz w:val="22"/>
          <w:szCs w:val="22"/>
        </w:rPr>
      </w:pPr>
    </w:p>
    <w:p w14:paraId="162829E0" w14:textId="77777777" w:rsidR="008F5A06" w:rsidRPr="00D1345F" w:rsidRDefault="008F5A06" w:rsidP="00D1345F">
      <w:pPr>
        <w:spacing w:line="360" w:lineRule="auto"/>
        <w:jc w:val="center"/>
        <w:rPr>
          <w:rFonts w:ascii="Arial" w:hAnsi="Arial" w:cs="Arial"/>
          <w:sz w:val="22"/>
          <w:szCs w:val="22"/>
        </w:rPr>
      </w:pPr>
    </w:p>
    <w:p w14:paraId="162829E1" w14:textId="77777777" w:rsidR="008F5A06" w:rsidRPr="00D1345F" w:rsidRDefault="0076107F" w:rsidP="00D1345F">
      <w:pPr>
        <w:spacing w:line="360" w:lineRule="auto"/>
        <w:jc w:val="center"/>
        <w:rPr>
          <w:rFonts w:ascii="Arial" w:hAnsi="Arial" w:cs="Arial"/>
          <w:sz w:val="28"/>
          <w:szCs w:val="28"/>
        </w:rPr>
      </w:pPr>
      <w:r w:rsidRPr="00D1345F">
        <w:rPr>
          <w:rFonts w:ascii="Arial" w:eastAsia="Arial" w:hAnsi="Arial" w:cs="Arial"/>
          <w:b/>
          <w:bCs/>
          <w:sz w:val="28"/>
          <w:szCs w:val="28"/>
        </w:rPr>
        <w:t>MSc Public Health and Social Care in Practice</w:t>
      </w:r>
    </w:p>
    <w:p w14:paraId="162829E2" w14:textId="77777777" w:rsidR="008F5A06" w:rsidRPr="00D1345F" w:rsidRDefault="008F5A06" w:rsidP="00D1345F">
      <w:pPr>
        <w:spacing w:line="360" w:lineRule="auto"/>
        <w:jc w:val="center"/>
        <w:rPr>
          <w:rFonts w:ascii="Arial" w:hAnsi="Arial" w:cs="Arial"/>
          <w:sz w:val="28"/>
          <w:szCs w:val="28"/>
        </w:rPr>
      </w:pPr>
    </w:p>
    <w:p w14:paraId="162829E3" w14:textId="77777777" w:rsidR="008F5A06" w:rsidRPr="00D1345F" w:rsidRDefault="0076107F" w:rsidP="00D1345F">
      <w:pPr>
        <w:spacing w:line="360" w:lineRule="auto"/>
        <w:jc w:val="center"/>
        <w:rPr>
          <w:rFonts w:ascii="Arial" w:hAnsi="Arial" w:cs="Arial"/>
          <w:sz w:val="28"/>
          <w:szCs w:val="28"/>
        </w:rPr>
      </w:pPr>
      <w:r w:rsidRPr="00D1345F">
        <w:rPr>
          <w:rFonts w:ascii="Arial" w:eastAsia="Arial" w:hAnsi="Arial" w:cs="Arial"/>
          <w:b/>
          <w:bCs/>
          <w:sz w:val="28"/>
          <w:szCs w:val="28"/>
        </w:rPr>
        <w:t>Quality Assurance and Service Improvements</w:t>
      </w:r>
    </w:p>
    <w:p w14:paraId="162829E4" w14:textId="77777777" w:rsidR="008F5A06" w:rsidRPr="00D1345F" w:rsidRDefault="0076107F" w:rsidP="00D1345F">
      <w:pPr>
        <w:spacing w:line="360" w:lineRule="auto"/>
        <w:jc w:val="center"/>
        <w:rPr>
          <w:rFonts w:ascii="Arial" w:hAnsi="Arial" w:cs="Arial"/>
          <w:sz w:val="28"/>
          <w:szCs w:val="28"/>
        </w:rPr>
      </w:pPr>
      <w:r w:rsidRPr="00D1345F">
        <w:rPr>
          <w:rFonts w:ascii="Arial" w:eastAsia="Arial" w:hAnsi="Arial" w:cs="Arial"/>
          <w:sz w:val="28"/>
          <w:szCs w:val="28"/>
        </w:rPr>
        <w:t>Module Code: LCHS7006</w:t>
      </w:r>
    </w:p>
    <w:p w14:paraId="162829E5" w14:textId="77777777" w:rsidR="008F5A06" w:rsidRPr="00D1345F" w:rsidRDefault="008F5A06" w:rsidP="00D1345F">
      <w:pPr>
        <w:spacing w:line="360" w:lineRule="auto"/>
        <w:jc w:val="center"/>
        <w:rPr>
          <w:rFonts w:ascii="Arial" w:hAnsi="Arial" w:cs="Arial"/>
          <w:sz w:val="28"/>
          <w:szCs w:val="28"/>
        </w:rPr>
      </w:pPr>
    </w:p>
    <w:p w14:paraId="162829E6" w14:textId="77777777" w:rsidR="008F5A06" w:rsidRPr="00D1345F" w:rsidRDefault="008F5A06" w:rsidP="00D1345F">
      <w:pPr>
        <w:spacing w:line="360" w:lineRule="auto"/>
        <w:jc w:val="center"/>
        <w:rPr>
          <w:rFonts w:ascii="Arial" w:hAnsi="Arial" w:cs="Arial"/>
          <w:sz w:val="28"/>
          <w:szCs w:val="28"/>
        </w:rPr>
      </w:pPr>
    </w:p>
    <w:p w14:paraId="162829E7" w14:textId="77777777" w:rsidR="008F5A06" w:rsidRPr="00D1345F" w:rsidRDefault="0076107F" w:rsidP="00D1345F">
      <w:pPr>
        <w:spacing w:line="360" w:lineRule="auto"/>
        <w:jc w:val="center"/>
        <w:rPr>
          <w:rFonts w:ascii="Arial" w:hAnsi="Arial" w:cs="Arial"/>
          <w:sz w:val="28"/>
          <w:szCs w:val="28"/>
        </w:rPr>
      </w:pPr>
      <w:r w:rsidRPr="00D1345F">
        <w:rPr>
          <w:rFonts w:ascii="Arial" w:eastAsia="Arial" w:hAnsi="Arial" w:cs="Arial"/>
          <w:b/>
          <w:bCs/>
          <w:sz w:val="28"/>
          <w:szCs w:val="28"/>
        </w:rPr>
        <w:t>Component 2: Service Improvement Report</w:t>
      </w:r>
    </w:p>
    <w:p w14:paraId="162829E8" w14:textId="77777777" w:rsidR="008F5A06" w:rsidRPr="00D1345F" w:rsidRDefault="008F5A06" w:rsidP="00D1345F">
      <w:pPr>
        <w:spacing w:line="360" w:lineRule="auto"/>
        <w:jc w:val="center"/>
        <w:rPr>
          <w:rFonts w:ascii="Arial" w:hAnsi="Arial" w:cs="Arial"/>
          <w:sz w:val="28"/>
          <w:szCs w:val="28"/>
        </w:rPr>
      </w:pPr>
    </w:p>
    <w:p w14:paraId="162829E9" w14:textId="77777777" w:rsidR="008F5A06" w:rsidRPr="00D1345F" w:rsidRDefault="008F5A06" w:rsidP="00D1345F">
      <w:pPr>
        <w:spacing w:line="360" w:lineRule="auto"/>
        <w:jc w:val="center"/>
        <w:rPr>
          <w:rFonts w:ascii="Arial" w:hAnsi="Arial" w:cs="Arial"/>
          <w:sz w:val="28"/>
          <w:szCs w:val="28"/>
        </w:rPr>
      </w:pPr>
    </w:p>
    <w:p w14:paraId="162829EA" w14:textId="77777777" w:rsidR="008F5A06" w:rsidRPr="00D1345F" w:rsidRDefault="0076107F" w:rsidP="00D1345F">
      <w:pPr>
        <w:spacing w:line="360" w:lineRule="auto"/>
        <w:jc w:val="center"/>
        <w:rPr>
          <w:rFonts w:ascii="Arial" w:hAnsi="Arial" w:cs="Arial"/>
          <w:sz w:val="28"/>
          <w:szCs w:val="28"/>
        </w:rPr>
      </w:pPr>
      <w:r w:rsidRPr="00D1345F">
        <w:rPr>
          <w:rFonts w:ascii="Arial" w:eastAsia="Arial" w:hAnsi="Arial" w:cs="Arial"/>
          <w:sz w:val="28"/>
          <w:szCs w:val="28"/>
        </w:rPr>
        <w:t>A Critical Analysis of Quality Assurance Failure</w:t>
      </w:r>
    </w:p>
    <w:p w14:paraId="162829EB" w14:textId="77777777" w:rsidR="008F5A06" w:rsidRPr="00D1345F" w:rsidRDefault="0076107F" w:rsidP="00D1345F">
      <w:pPr>
        <w:spacing w:line="360" w:lineRule="auto"/>
        <w:jc w:val="center"/>
        <w:rPr>
          <w:rFonts w:ascii="Arial" w:hAnsi="Arial" w:cs="Arial"/>
          <w:sz w:val="28"/>
          <w:szCs w:val="28"/>
        </w:rPr>
      </w:pPr>
      <w:r w:rsidRPr="00D1345F">
        <w:rPr>
          <w:rFonts w:ascii="Arial" w:eastAsia="Arial" w:hAnsi="Arial" w:cs="Arial"/>
          <w:sz w:val="28"/>
          <w:szCs w:val="28"/>
        </w:rPr>
        <w:t>at Countess of Chester Hospital:</w:t>
      </w:r>
    </w:p>
    <w:p w14:paraId="162829EC" w14:textId="77777777" w:rsidR="008F5A06" w:rsidRPr="00D1345F" w:rsidRDefault="0076107F" w:rsidP="00D1345F">
      <w:pPr>
        <w:spacing w:line="360" w:lineRule="auto"/>
        <w:jc w:val="center"/>
        <w:rPr>
          <w:rFonts w:ascii="Arial" w:hAnsi="Arial" w:cs="Arial"/>
          <w:sz w:val="28"/>
          <w:szCs w:val="28"/>
        </w:rPr>
      </w:pPr>
      <w:r w:rsidRPr="00D1345F">
        <w:rPr>
          <w:rFonts w:ascii="Arial" w:eastAsia="Arial" w:hAnsi="Arial" w:cs="Arial"/>
          <w:sz w:val="28"/>
          <w:szCs w:val="28"/>
        </w:rPr>
        <w:t>Root Causes, Strategic Context and Service Improvement Recommendations</w:t>
      </w:r>
    </w:p>
    <w:p w14:paraId="162829ED" w14:textId="77777777" w:rsidR="008F5A06" w:rsidRPr="00D1345F" w:rsidRDefault="008F5A06" w:rsidP="00D1345F">
      <w:pPr>
        <w:spacing w:line="360" w:lineRule="auto"/>
        <w:jc w:val="center"/>
        <w:rPr>
          <w:rFonts w:ascii="Arial" w:hAnsi="Arial" w:cs="Arial"/>
          <w:sz w:val="28"/>
          <w:szCs w:val="28"/>
        </w:rPr>
      </w:pPr>
    </w:p>
    <w:p w14:paraId="162829EE" w14:textId="77777777" w:rsidR="008F5A06" w:rsidRPr="00D1345F" w:rsidRDefault="008F5A06" w:rsidP="00D1345F">
      <w:pPr>
        <w:spacing w:line="360" w:lineRule="auto"/>
        <w:jc w:val="center"/>
        <w:rPr>
          <w:rFonts w:ascii="Arial" w:hAnsi="Arial" w:cs="Arial"/>
          <w:sz w:val="28"/>
          <w:szCs w:val="28"/>
        </w:rPr>
      </w:pPr>
    </w:p>
    <w:p w14:paraId="162829EF" w14:textId="77777777" w:rsidR="008F5A06" w:rsidRPr="00D1345F" w:rsidRDefault="008F5A06" w:rsidP="00D1345F">
      <w:pPr>
        <w:spacing w:line="360" w:lineRule="auto"/>
        <w:jc w:val="center"/>
        <w:rPr>
          <w:rFonts w:ascii="Arial" w:hAnsi="Arial" w:cs="Arial"/>
          <w:sz w:val="28"/>
          <w:szCs w:val="28"/>
        </w:rPr>
      </w:pPr>
    </w:p>
    <w:p w14:paraId="162829F0" w14:textId="77777777" w:rsidR="008F5A06" w:rsidRPr="00D1345F" w:rsidRDefault="0076107F" w:rsidP="00D1345F">
      <w:pPr>
        <w:spacing w:line="360" w:lineRule="auto"/>
        <w:jc w:val="center"/>
        <w:rPr>
          <w:rFonts w:ascii="Arial" w:hAnsi="Arial" w:cs="Arial"/>
          <w:sz w:val="28"/>
          <w:szCs w:val="28"/>
        </w:rPr>
      </w:pPr>
      <w:r w:rsidRPr="00D1345F">
        <w:rPr>
          <w:rFonts w:ascii="Arial" w:eastAsia="Arial" w:hAnsi="Arial" w:cs="Arial"/>
          <w:sz w:val="28"/>
          <w:szCs w:val="28"/>
        </w:rPr>
        <w:t>Student Name: Ronak Yusuf Sheikh</w:t>
      </w:r>
    </w:p>
    <w:p w14:paraId="162829F1" w14:textId="77777777" w:rsidR="008F5A06" w:rsidRPr="00D1345F" w:rsidRDefault="0076107F" w:rsidP="00D1345F">
      <w:pPr>
        <w:spacing w:line="360" w:lineRule="auto"/>
        <w:jc w:val="center"/>
        <w:rPr>
          <w:rFonts w:ascii="Arial" w:hAnsi="Arial" w:cs="Arial"/>
          <w:sz w:val="28"/>
          <w:szCs w:val="28"/>
        </w:rPr>
      </w:pPr>
      <w:r w:rsidRPr="00D1345F">
        <w:rPr>
          <w:rFonts w:ascii="Arial" w:eastAsia="Arial" w:hAnsi="Arial" w:cs="Arial"/>
          <w:sz w:val="28"/>
          <w:szCs w:val="28"/>
        </w:rPr>
        <w:t>Student ID: 2436884</w:t>
      </w:r>
    </w:p>
    <w:p w14:paraId="162829F2" w14:textId="77777777" w:rsidR="008F5A06" w:rsidRPr="00D1345F" w:rsidRDefault="008F5A06" w:rsidP="00D1345F">
      <w:pPr>
        <w:spacing w:line="360" w:lineRule="auto"/>
        <w:jc w:val="center"/>
        <w:rPr>
          <w:rFonts w:ascii="Arial" w:hAnsi="Arial" w:cs="Arial"/>
          <w:sz w:val="28"/>
          <w:szCs w:val="28"/>
        </w:rPr>
      </w:pPr>
    </w:p>
    <w:p w14:paraId="162829F3" w14:textId="77777777" w:rsidR="008F5A06" w:rsidRPr="00D1345F" w:rsidRDefault="0076107F" w:rsidP="00D1345F">
      <w:pPr>
        <w:spacing w:line="360" w:lineRule="auto"/>
        <w:jc w:val="center"/>
        <w:rPr>
          <w:rFonts w:ascii="Arial" w:hAnsi="Arial" w:cs="Arial"/>
          <w:sz w:val="28"/>
          <w:szCs w:val="28"/>
        </w:rPr>
      </w:pPr>
      <w:r w:rsidRPr="00D1345F">
        <w:rPr>
          <w:rFonts w:ascii="Arial" w:eastAsia="Arial" w:hAnsi="Arial" w:cs="Arial"/>
          <w:sz w:val="28"/>
          <w:szCs w:val="28"/>
        </w:rPr>
        <w:t>Lecturer: Arif Ahmed / Brian Mashumba</w:t>
      </w:r>
    </w:p>
    <w:p w14:paraId="162829F4" w14:textId="77777777" w:rsidR="008F5A06" w:rsidRPr="00D1345F" w:rsidRDefault="008F5A06" w:rsidP="00D1345F">
      <w:pPr>
        <w:spacing w:line="360" w:lineRule="auto"/>
        <w:jc w:val="center"/>
        <w:rPr>
          <w:rFonts w:ascii="Arial" w:hAnsi="Arial" w:cs="Arial"/>
          <w:sz w:val="28"/>
          <w:szCs w:val="28"/>
        </w:rPr>
      </w:pPr>
    </w:p>
    <w:p w14:paraId="162829F5" w14:textId="77777777" w:rsidR="008F5A06" w:rsidRPr="00D1345F" w:rsidRDefault="0076107F" w:rsidP="00D1345F">
      <w:pPr>
        <w:spacing w:line="360" w:lineRule="auto"/>
        <w:jc w:val="center"/>
        <w:rPr>
          <w:rFonts w:ascii="Arial" w:hAnsi="Arial" w:cs="Arial"/>
          <w:sz w:val="28"/>
          <w:szCs w:val="28"/>
        </w:rPr>
      </w:pPr>
      <w:r w:rsidRPr="00D1345F">
        <w:rPr>
          <w:rFonts w:ascii="Arial" w:eastAsia="Arial" w:hAnsi="Arial" w:cs="Arial"/>
          <w:sz w:val="28"/>
          <w:szCs w:val="28"/>
        </w:rPr>
        <w:t>Submission Date: 17 April 2026</w:t>
      </w:r>
    </w:p>
    <w:p w14:paraId="162829F6" w14:textId="77777777" w:rsidR="008F5A06" w:rsidRPr="00D1345F" w:rsidRDefault="008F5A06" w:rsidP="00D1345F">
      <w:pPr>
        <w:spacing w:line="360" w:lineRule="auto"/>
        <w:jc w:val="center"/>
        <w:rPr>
          <w:rFonts w:ascii="Arial" w:hAnsi="Arial" w:cs="Arial"/>
          <w:sz w:val="28"/>
          <w:szCs w:val="28"/>
        </w:rPr>
      </w:pPr>
    </w:p>
    <w:p w14:paraId="162829F7" w14:textId="77777777" w:rsidR="008F5A06" w:rsidRPr="00D1345F" w:rsidRDefault="008F5A06" w:rsidP="00D1345F">
      <w:pPr>
        <w:spacing w:line="360" w:lineRule="auto"/>
        <w:jc w:val="center"/>
        <w:rPr>
          <w:rFonts w:ascii="Arial" w:hAnsi="Arial" w:cs="Arial"/>
          <w:sz w:val="28"/>
          <w:szCs w:val="28"/>
        </w:rPr>
      </w:pPr>
    </w:p>
    <w:p w14:paraId="162829F8" w14:textId="77777777" w:rsidR="008F5A06" w:rsidRPr="00D1345F" w:rsidRDefault="0076107F" w:rsidP="00D1345F">
      <w:pPr>
        <w:spacing w:line="360" w:lineRule="auto"/>
        <w:jc w:val="center"/>
        <w:rPr>
          <w:rFonts w:ascii="Arial" w:hAnsi="Arial" w:cs="Arial"/>
          <w:sz w:val="28"/>
          <w:szCs w:val="28"/>
        </w:rPr>
      </w:pPr>
      <w:r w:rsidRPr="00D1345F">
        <w:rPr>
          <w:rFonts w:ascii="Arial" w:eastAsia="Arial" w:hAnsi="Arial" w:cs="Arial"/>
          <w:b/>
          <w:bCs/>
          <w:sz w:val="28"/>
          <w:szCs w:val="28"/>
        </w:rPr>
        <w:t>University of Wales Trinity Saint David</w:t>
      </w:r>
    </w:p>
    <w:p w14:paraId="162829F9" w14:textId="77777777" w:rsidR="008F5A06" w:rsidRPr="00D1345F" w:rsidRDefault="0076107F" w:rsidP="00D1345F">
      <w:pPr>
        <w:spacing w:line="360" w:lineRule="auto"/>
        <w:jc w:val="center"/>
        <w:rPr>
          <w:rFonts w:ascii="Arial" w:hAnsi="Arial" w:cs="Arial"/>
          <w:sz w:val="28"/>
          <w:szCs w:val="28"/>
        </w:rPr>
      </w:pPr>
      <w:r w:rsidRPr="00D1345F">
        <w:rPr>
          <w:rFonts w:ascii="Arial" w:hAnsi="Arial" w:cs="Arial"/>
          <w:sz w:val="28"/>
          <w:szCs w:val="28"/>
        </w:rPr>
        <w:br w:type="page"/>
      </w:r>
    </w:p>
    <w:sdt>
      <w:sdtPr>
        <w:rPr>
          <w:rFonts w:ascii="Arial" w:eastAsia="Times New Roman" w:hAnsi="Arial" w:cs="Arial"/>
          <w:color w:val="auto"/>
          <w:sz w:val="22"/>
          <w:szCs w:val="22"/>
        </w:rPr>
        <w:id w:val="-283738151"/>
        <w:docPartObj>
          <w:docPartGallery w:val="Table of Contents"/>
          <w:docPartUnique/>
        </w:docPartObj>
      </w:sdtPr>
      <w:sdtEndPr>
        <w:rPr>
          <w:b/>
          <w:bCs/>
          <w:noProof/>
        </w:rPr>
      </w:sdtEndPr>
      <w:sdtContent>
        <w:p w14:paraId="0EA69269" w14:textId="03268366" w:rsidR="00317302" w:rsidRPr="00D1345F" w:rsidRDefault="00317302" w:rsidP="00D1345F">
          <w:pPr>
            <w:pStyle w:val="TOCHeading"/>
            <w:spacing w:line="360" w:lineRule="auto"/>
            <w:jc w:val="both"/>
            <w:rPr>
              <w:rFonts w:ascii="Arial" w:hAnsi="Arial" w:cs="Arial"/>
              <w:sz w:val="22"/>
              <w:szCs w:val="22"/>
            </w:rPr>
          </w:pPr>
          <w:r w:rsidRPr="00D1345F">
            <w:rPr>
              <w:rFonts w:ascii="Arial" w:hAnsi="Arial" w:cs="Arial"/>
              <w:sz w:val="22"/>
              <w:szCs w:val="22"/>
            </w:rPr>
            <w:t>Table of Contents</w:t>
          </w:r>
        </w:p>
        <w:p w14:paraId="71501427" w14:textId="134C6D38" w:rsidR="006A2113" w:rsidRPr="00D1345F" w:rsidRDefault="00317302" w:rsidP="00D1345F">
          <w:pPr>
            <w:pStyle w:val="TOC1"/>
            <w:tabs>
              <w:tab w:val="right" w:leader="dot" w:pos="9016"/>
            </w:tabs>
            <w:spacing w:line="360" w:lineRule="auto"/>
            <w:jc w:val="both"/>
            <w:rPr>
              <w:rFonts w:ascii="Arial" w:eastAsiaTheme="minorEastAsia" w:hAnsi="Arial" w:cs="Arial"/>
              <w:noProof/>
              <w:kern w:val="2"/>
              <w:sz w:val="24"/>
              <w:szCs w:val="24"/>
              <w14:ligatures w14:val="standardContextual"/>
            </w:rPr>
          </w:pPr>
          <w:r w:rsidRPr="00D1345F">
            <w:rPr>
              <w:rFonts w:ascii="Arial" w:hAnsi="Arial" w:cs="Arial"/>
              <w:sz w:val="22"/>
              <w:szCs w:val="22"/>
            </w:rPr>
            <w:fldChar w:fldCharType="begin"/>
          </w:r>
          <w:r w:rsidRPr="00D1345F">
            <w:rPr>
              <w:rFonts w:ascii="Arial" w:hAnsi="Arial" w:cs="Arial"/>
              <w:sz w:val="22"/>
              <w:szCs w:val="22"/>
            </w:rPr>
            <w:instrText xml:space="preserve"> TOC \o "1-3" \h \z \u </w:instrText>
          </w:r>
          <w:r w:rsidRPr="00D1345F">
            <w:rPr>
              <w:rFonts w:ascii="Arial" w:hAnsi="Arial" w:cs="Arial"/>
              <w:sz w:val="22"/>
              <w:szCs w:val="22"/>
            </w:rPr>
            <w:fldChar w:fldCharType="separate"/>
          </w:r>
          <w:hyperlink w:anchor="_Toc226860674" w:history="1">
            <w:r w:rsidR="006A2113" w:rsidRPr="00D1345F">
              <w:rPr>
                <w:rStyle w:val="Hyperlink"/>
                <w:rFonts w:ascii="Arial" w:hAnsi="Arial" w:cs="Arial"/>
                <w:noProof/>
              </w:rPr>
              <w:t>1. Introduction</w:t>
            </w:r>
            <w:r w:rsidR="006A2113" w:rsidRPr="00D1345F">
              <w:rPr>
                <w:rFonts w:ascii="Arial" w:hAnsi="Arial" w:cs="Arial"/>
                <w:noProof/>
                <w:webHidden/>
              </w:rPr>
              <w:tab/>
            </w:r>
            <w:r w:rsidR="006A2113" w:rsidRPr="00D1345F">
              <w:rPr>
                <w:rFonts w:ascii="Arial" w:hAnsi="Arial" w:cs="Arial"/>
                <w:noProof/>
                <w:webHidden/>
              </w:rPr>
              <w:fldChar w:fldCharType="begin"/>
            </w:r>
            <w:r w:rsidR="006A2113" w:rsidRPr="00D1345F">
              <w:rPr>
                <w:rFonts w:ascii="Arial" w:hAnsi="Arial" w:cs="Arial"/>
                <w:noProof/>
                <w:webHidden/>
              </w:rPr>
              <w:instrText xml:space="preserve"> PAGEREF _Toc226860674 \h </w:instrText>
            </w:r>
            <w:r w:rsidR="006A2113" w:rsidRPr="00D1345F">
              <w:rPr>
                <w:rFonts w:ascii="Arial" w:hAnsi="Arial" w:cs="Arial"/>
                <w:noProof/>
                <w:webHidden/>
              </w:rPr>
            </w:r>
            <w:r w:rsidR="006A2113" w:rsidRPr="00D1345F">
              <w:rPr>
                <w:rFonts w:ascii="Arial" w:hAnsi="Arial" w:cs="Arial"/>
                <w:noProof/>
                <w:webHidden/>
              </w:rPr>
              <w:fldChar w:fldCharType="separate"/>
            </w:r>
            <w:r w:rsidR="006A2113" w:rsidRPr="00D1345F">
              <w:rPr>
                <w:rFonts w:ascii="Arial" w:hAnsi="Arial" w:cs="Arial"/>
                <w:noProof/>
                <w:webHidden/>
              </w:rPr>
              <w:t>3</w:t>
            </w:r>
            <w:r w:rsidR="006A2113" w:rsidRPr="00D1345F">
              <w:rPr>
                <w:rFonts w:ascii="Arial" w:hAnsi="Arial" w:cs="Arial"/>
                <w:noProof/>
                <w:webHidden/>
              </w:rPr>
              <w:fldChar w:fldCharType="end"/>
            </w:r>
          </w:hyperlink>
        </w:p>
        <w:p w14:paraId="28220FB6" w14:textId="7BE22121" w:rsidR="006A2113" w:rsidRPr="00D1345F" w:rsidRDefault="006A2113" w:rsidP="00D1345F">
          <w:pPr>
            <w:pStyle w:val="TOC1"/>
            <w:tabs>
              <w:tab w:val="right" w:leader="dot" w:pos="9016"/>
            </w:tabs>
            <w:spacing w:line="360" w:lineRule="auto"/>
            <w:jc w:val="both"/>
            <w:rPr>
              <w:rFonts w:ascii="Arial" w:eastAsiaTheme="minorEastAsia" w:hAnsi="Arial" w:cs="Arial"/>
              <w:noProof/>
              <w:kern w:val="2"/>
              <w:sz w:val="24"/>
              <w:szCs w:val="24"/>
              <w14:ligatures w14:val="standardContextual"/>
            </w:rPr>
          </w:pPr>
          <w:hyperlink w:anchor="_Toc226860675" w:history="1">
            <w:r w:rsidRPr="00D1345F">
              <w:rPr>
                <w:rStyle w:val="Hyperlink"/>
                <w:rFonts w:ascii="Arial" w:hAnsi="Arial" w:cs="Arial"/>
                <w:noProof/>
              </w:rPr>
              <w:t>2. Main Body</w:t>
            </w:r>
            <w:r w:rsidRPr="00D1345F">
              <w:rPr>
                <w:rFonts w:ascii="Arial" w:hAnsi="Arial" w:cs="Arial"/>
                <w:noProof/>
                <w:webHidden/>
              </w:rPr>
              <w:tab/>
            </w:r>
            <w:r w:rsidRPr="00D1345F">
              <w:rPr>
                <w:rFonts w:ascii="Arial" w:hAnsi="Arial" w:cs="Arial"/>
                <w:noProof/>
                <w:webHidden/>
              </w:rPr>
              <w:fldChar w:fldCharType="begin"/>
            </w:r>
            <w:r w:rsidRPr="00D1345F">
              <w:rPr>
                <w:rFonts w:ascii="Arial" w:hAnsi="Arial" w:cs="Arial"/>
                <w:noProof/>
                <w:webHidden/>
              </w:rPr>
              <w:instrText xml:space="preserve"> PAGEREF _Toc226860675 \h </w:instrText>
            </w:r>
            <w:r w:rsidRPr="00D1345F">
              <w:rPr>
                <w:rFonts w:ascii="Arial" w:hAnsi="Arial" w:cs="Arial"/>
                <w:noProof/>
                <w:webHidden/>
              </w:rPr>
            </w:r>
            <w:r w:rsidRPr="00D1345F">
              <w:rPr>
                <w:rFonts w:ascii="Arial" w:hAnsi="Arial" w:cs="Arial"/>
                <w:noProof/>
                <w:webHidden/>
              </w:rPr>
              <w:fldChar w:fldCharType="separate"/>
            </w:r>
            <w:r w:rsidRPr="00D1345F">
              <w:rPr>
                <w:rFonts w:ascii="Arial" w:hAnsi="Arial" w:cs="Arial"/>
                <w:noProof/>
                <w:webHidden/>
              </w:rPr>
              <w:t>4</w:t>
            </w:r>
            <w:r w:rsidRPr="00D1345F">
              <w:rPr>
                <w:rFonts w:ascii="Arial" w:hAnsi="Arial" w:cs="Arial"/>
                <w:noProof/>
                <w:webHidden/>
              </w:rPr>
              <w:fldChar w:fldCharType="end"/>
            </w:r>
          </w:hyperlink>
        </w:p>
        <w:p w14:paraId="3DC17031" w14:textId="6CCAA672" w:rsidR="006A2113" w:rsidRPr="00D1345F" w:rsidRDefault="006A2113" w:rsidP="00D1345F">
          <w:pPr>
            <w:pStyle w:val="TOC2"/>
            <w:tabs>
              <w:tab w:val="right" w:leader="dot" w:pos="9016"/>
            </w:tabs>
            <w:spacing w:line="360" w:lineRule="auto"/>
            <w:jc w:val="both"/>
            <w:rPr>
              <w:rFonts w:ascii="Arial" w:eastAsiaTheme="minorEastAsia" w:hAnsi="Arial" w:cs="Arial"/>
              <w:noProof/>
              <w:kern w:val="2"/>
              <w:sz w:val="24"/>
              <w:szCs w:val="24"/>
              <w14:ligatures w14:val="standardContextual"/>
            </w:rPr>
          </w:pPr>
          <w:hyperlink w:anchor="_Toc226860676" w:history="1">
            <w:r w:rsidRPr="00D1345F">
              <w:rPr>
                <w:rStyle w:val="Hyperlink"/>
                <w:rFonts w:ascii="Arial" w:hAnsi="Arial" w:cs="Arial"/>
                <w:noProof/>
              </w:rPr>
              <w:t>2.1 Theoretical Framework: The Donabedian Model</w:t>
            </w:r>
            <w:r w:rsidRPr="00D1345F">
              <w:rPr>
                <w:rFonts w:ascii="Arial" w:hAnsi="Arial" w:cs="Arial"/>
                <w:noProof/>
                <w:webHidden/>
              </w:rPr>
              <w:tab/>
            </w:r>
            <w:r w:rsidRPr="00D1345F">
              <w:rPr>
                <w:rFonts w:ascii="Arial" w:hAnsi="Arial" w:cs="Arial"/>
                <w:noProof/>
                <w:webHidden/>
              </w:rPr>
              <w:fldChar w:fldCharType="begin"/>
            </w:r>
            <w:r w:rsidRPr="00D1345F">
              <w:rPr>
                <w:rFonts w:ascii="Arial" w:hAnsi="Arial" w:cs="Arial"/>
                <w:noProof/>
                <w:webHidden/>
              </w:rPr>
              <w:instrText xml:space="preserve"> PAGEREF _Toc226860676 \h </w:instrText>
            </w:r>
            <w:r w:rsidRPr="00D1345F">
              <w:rPr>
                <w:rFonts w:ascii="Arial" w:hAnsi="Arial" w:cs="Arial"/>
                <w:noProof/>
                <w:webHidden/>
              </w:rPr>
            </w:r>
            <w:r w:rsidRPr="00D1345F">
              <w:rPr>
                <w:rFonts w:ascii="Arial" w:hAnsi="Arial" w:cs="Arial"/>
                <w:noProof/>
                <w:webHidden/>
              </w:rPr>
              <w:fldChar w:fldCharType="separate"/>
            </w:r>
            <w:r w:rsidRPr="00D1345F">
              <w:rPr>
                <w:rFonts w:ascii="Arial" w:hAnsi="Arial" w:cs="Arial"/>
                <w:noProof/>
                <w:webHidden/>
              </w:rPr>
              <w:t>4</w:t>
            </w:r>
            <w:r w:rsidRPr="00D1345F">
              <w:rPr>
                <w:rFonts w:ascii="Arial" w:hAnsi="Arial" w:cs="Arial"/>
                <w:noProof/>
                <w:webHidden/>
              </w:rPr>
              <w:fldChar w:fldCharType="end"/>
            </w:r>
          </w:hyperlink>
        </w:p>
        <w:p w14:paraId="40F9CEAF" w14:textId="4DB517E7" w:rsidR="006A2113" w:rsidRPr="00D1345F" w:rsidRDefault="006A2113" w:rsidP="00D1345F">
          <w:pPr>
            <w:pStyle w:val="TOC2"/>
            <w:tabs>
              <w:tab w:val="right" w:leader="dot" w:pos="9016"/>
            </w:tabs>
            <w:spacing w:line="360" w:lineRule="auto"/>
            <w:jc w:val="both"/>
            <w:rPr>
              <w:rFonts w:ascii="Arial" w:eastAsiaTheme="minorEastAsia" w:hAnsi="Arial" w:cs="Arial"/>
              <w:noProof/>
              <w:kern w:val="2"/>
              <w:sz w:val="24"/>
              <w:szCs w:val="24"/>
              <w14:ligatures w14:val="standardContextual"/>
            </w:rPr>
          </w:pPr>
          <w:hyperlink w:anchor="_Toc226860677" w:history="1">
            <w:r w:rsidRPr="00D1345F">
              <w:rPr>
                <w:rStyle w:val="Hyperlink"/>
                <w:rFonts w:ascii="Arial" w:hAnsi="Arial" w:cs="Arial"/>
                <w:noProof/>
              </w:rPr>
              <w:t>2.2 Root Cause Analysis: The Fishbone Diagram</w:t>
            </w:r>
            <w:r w:rsidRPr="00D1345F">
              <w:rPr>
                <w:rFonts w:ascii="Arial" w:hAnsi="Arial" w:cs="Arial"/>
                <w:noProof/>
                <w:webHidden/>
              </w:rPr>
              <w:tab/>
            </w:r>
            <w:r w:rsidRPr="00D1345F">
              <w:rPr>
                <w:rFonts w:ascii="Arial" w:hAnsi="Arial" w:cs="Arial"/>
                <w:noProof/>
                <w:webHidden/>
              </w:rPr>
              <w:fldChar w:fldCharType="begin"/>
            </w:r>
            <w:r w:rsidRPr="00D1345F">
              <w:rPr>
                <w:rFonts w:ascii="Arial" w:hAnsi="Arial" w:cs="Arial"/>
                <w:noProof/>
                <w:webHidden/>
              </w:rPr>
              <w:instrText xml:space="preserve"> PAGEREF _Toc226860677 \h </w:instrText>
            </w:r>
            <w:r w:rsidRPr="00D1345F">
              <w:rPr>
                <w:rFonts w:ascii="Arial" w:hAnsi="Arial" w:cs="Arial"/>
                <w:noProof/>
                <w:webHidden/>
              </w:rPr>
            </w:r>
            <w:r w:rsidRPr="00D1345F">
              <w:rPr>
                <w:rFonts w:ascii="Arial" w:hAnsi="Arial" w:cs="Arial"/>
                <w:noProof/>
                <w:webHidden/>
              </w:rPr>
              <w:fldChar w:fldCharType="separate"/>
            </w:r>
            <w:r w:rsidRPr="00D1345F">
              <w:rPr>
                <w:rFonts w:ascii="Arial" w:hAnsi="Arial" w:cs="Arial"/>
                <w:noProof/>
                <w:webHidden/>
              </w:rPr>
              <w:t>5</w:t>
            </w:r>
            <w:r w:rsidRPr="00D1345F">
              <w:rPr>
                <w:rFonts w:ascii="Arial" w:hAnsi="Arial" w:cs="Arial"/>
                <w:noProof/>
                <w:webHidden/>
              </w:rPr>
              <w:fldChar w:fldCharType="end"/>
            </w:r>
          </w:hyperlink>
        </w:p>
        <w:p w14:paraId="4A7AE2F8" w14:textId="63C95ED4" w:rsidR="006A2113" w:rsidRPr="00D1345F" w:rsidRDefault="006A2113" w:rsidP="00D1345F">
          <w:pPr>
            <w:pStyle w:val="TOC2"/>
            <w:tabs>
              <w:tab w:val="right" w:leader="dot" w:pos="9016"/>
            </w:tabs>
            <w:spacing w:line="360" w:lineRule="auto"/>
            <w:jc w:val="both"/>
            <w:rPr>
              <w:rFonts w:ascii="Arial" w:eastAsiaTheme="minorEastAsia" w:hAnsi="Arial" w:cs="Arial"/>
              <w:noProof/>
              <w:kern w:val="2"/>
              <w:sz w:val="24"/>
              <w:szCs w:val="24"/>
              <w14:ligatures w14:val="standardContextual"/>
            </w:rPr>
          </w:pPr>
          <w:hyperlink w:anchor="_Toc226860678" w:history="1">
            <w:r w:rsidRPr="00D1345F">
              <w:rPr>
                <w:rStyle w:val="Hyperlink"/>
                <w:rFonts w:ascii="Arial" w:hAnsi="Arial" w:cs="Arial"/>
                <w:noProof/>
              </w:rPr>
              <w:t>2.3 Root Cause Analysis: The 5 Whys</w:t>
            </w:r>
            <w:r w:rsidRPr="00D1345F">
              <w:rPr>
                <w:rFonts w:ascii="Arial" w:hAnsi="Arial" w:cs="Arial"/>
                <w:noProof/>
                <w:webHidden/>
              </w:rPr>
              <w:tab/>
            </w:r>
            <w:r w:rsidRPr="00D1345F">
              <w:rPr>
                <w:rFonts w:ascii="Arial" w:hAnsi="Arial" w:cs="Arial"/>
                <w:noProof/>
                <w:webHidden/>
              </w:rPr>
              <w:fldChar w:fldCharType="begin"/>
            </w:r>
            <w:r w:rsidRPr="00D1345F">
              <w:rPr>
                <w:rFonts w:ascii="Arial" w:hAnsi="Arial" w:cs="Arial"/>
                <w:noProof/>
                <w:webHidden/>
              </w:rPr>
              <w:instrText xml:space="preserve"> PAGEREF _Toc226860678 \h </w:instrText>
            </w:r>
            <w:r w:rsidRPr="00D1345F">
              <w:rPr>
                <w:rFonts w:ascii="Arial" w:hAnsi="Arial" w:cs="Arial"/>
                <w:noProof/>
                <w:webHidden/>
              </w:rPr>
            </w:r>
            <w:r w:rsidRPr="00D1345F">
              <w:rPr>
                <w:rFonts w:ascii="Arial" w:hAnsi="Arial" w:cs="Arial"/>
                <w:noProof/>
                <w:webHidden/>
              </w:rPr>
              <w:fldChar w:fldCharType="separate"/>
            </w:r>
            <w:r w:rsidRPr="00D1345F">
              <w:rPr>
                <w:rFonts w:ascii="Arial" w:hAnsi="Arial" w:cs="Arial"/>
                <w:noProof/>
                <w:webHidden/>
              </w:rPr>
              <w:t>6</w:t>
            </w:r>
            <w:r w:rsidRPr="00D1345F">
              <w:rPr>
                <w:rFonts w:ascii="Arial" w:hAnsi="Arial" w:cs="Arial"/>
                <w:noProof/>
                <w:webHidden/>
              </w:rPr>
              <w:fldChar w:fldCharType="end"/>
            </w:r>
          </w:hyperlink>
        </w:p>
        <w:p w14:paraId="6762244D" w14:textId="44347F3B" w:rsidR="006A2113" w:rsidRPr="00D1345F" w:rsidRDefault="006A2113" w:rsidP="00D1345F">
          <w:pPr>
            <w:pStyle w:val="TOC2"/>
            <w:tabs>
              <w:tab w:val="right" w:leader="dot" w:pos="9016"/>
            </w:tabs>
            <w:spacing w:line="360" w:lineRule="auto"/>
            <w:jc w:val="both"/>
            <w:rPr>
              <w:rFonts w:ascii="Arial" w:eastAsiaTheme="minorEastAsia" w:hAnsi="Arial" w:cs="Arial"/>
              <w:noProof/>
              <w:kern w:val="2"/>
              <w:sz w:val="24"/>
              <w:szCs w:val="24"/>
              <w14:ligatures w14:val="standardContextual"/>
            </w:rPr>
          </w:pPr>
          <w:hyperlink w:anchor="_Toc226860679" w:history="1">
            <w:r w:rsidRPr="00D1345F">
              <w:rPr>
                <w:rStyle w:val="Hyperlink"/>
                <w:rFonts w:ascii="Arial" w:hAnsi="Arial" w:cs="Arial"/>
                <w:noProof/>
              </w:rPr>
              <w:t>2.4 Strategic Analysis: SWOT</w:t>
            </w:r>
            <w:r w:rsidRPr="00D1345F">
              <w:rPr>
                <w:rFonts w:ascii="Arial" w:hAnsi="Arial" w:cs="Arial"/>
                <w:noProof/>
                <w:webHidden/>
              </w:rPr>
              <w:tab/>
            </w:r>
            <w:r w:rsidRPr="00D1345F">
              <w:rPr>
                <w:rFonts w:ascii="Arial" w:hAnsi="Arial" w:cs="Arial"/>
                <w:noProof/>
                <w:webHidden/>
              </w:rPr>
              <w:fldChar w:fldCharType="begin"/>
            </w:r>
            <w:r w:rsidRPr="00D1345F">
              <w:rPr>
                <w:rFonts w:ascii="Arial" w:hAnsi="Arial" w:cs="Arial"/>
                <w:noProof/>
                <w:webHidden/>
              </w:rPr>
              <w:instrText xml:space="preserve"> PAGEREF _Toc226860679 \h </w:instrText>
            </w:r>
            <w:r w:rsidRPr="00D1345F">
              <w:rPr>
                <w:rFonts w:ascii="Arial" w:hAnsi="Arial" w:cs="Arial"/>
                <w:noProof/>
                <w:webHidden/>
              </w:rPr>
            </w:r>
            <w:r w:rsidRPr="00D1345F">
              <w:rPr>
                <w:rFonts w:ascii="Arial" w:hAnsi="Arial" w:cs="Arial"/>
                <w:noProof/>
                <w:webHidden/>
              </w:rPr>
              <w:fldChar w:fldCharType="separate"/>
            </w:r>
            <w:r w:rsidRPr="00D1345F">
              <w:rPr>
                <w:rFonts w:ascii="Arial" w:hAnsi="Arial" w:cs="Arial"/>
                <w:noProof/>
                <w:webHidden/>
              </w:rPr>
              <w:t>7</w:t>
            </w:r>
            <w:r w:rsidRPr="00D1345F">
              <w:rPr>
                <w:rFonts w:ascii="Arial" w:hAnsi="Arial" w:cs="Arial"/>
                <w:noProof/>
                <w:webHidden/>
              </w:rPr>
              <w:fldChar w:fldCharType="end"/>
            </w:r>
          </w:hyperlink>
        </w:p>
        <w:p w14:paraId="3B178081" w14:textId="3CF3D3AD" w:rsidR="006A2113" w:rsidRPr="00D1345F" w:rsidRDefault="006A2113" w:rsidP="00D1345F">
          <w:pPr>
            <w:pStyle w:val="TOC1"/>
            <w:tabs>
              <w:tab w:val="right" w:leader="dot" w:pos="9016"/>
            </w:tabs>
            <w:spacing w:line="360" w:lineRule="auto"/>
            <w:jc w:val="both"/>
            <w:rPr>
              <w:rFonts w:ascii="Arial" w:eastAsiaTheme="minorEastAsia" w:hAnsi="Arial" w:cs="Arial"/>
              <w:noProof/>
              <w:kern w:val="2"/>
              <w:sz w:val="24"/>
              <w:szCs w:val="24"/>
              <w14:ligatures w14:val="standardContextual"/>
            </w:rPr>
          </w:pPr>
          <w:hyperlink w:anchor="_Toc226860680" w:history="1">
            <w:r w:rsidRPr="00D1345F">
              <w:rPr>
                <w:rStyle w:val="Hyperlink"/>
                <w:rFonts w:ascii="Arial" w:hAnsi="Arial" w:cs="Arial"/>
                <w:noProof/>
              </w:rPr>
              <w:t>3. RECOMMENDATIONS</w:t>
            </w:r>
            <w:r w:rsidRPr="00D1345F">
              <w:rPr>
                <w:rFonts w:ascii="Arial" w:hAnsi="Arial" w:cs="Arial"/>
                <w:noProof/>
                <w:webHidden/>
              </w:rPr>
              <w:tab/>
            </w:r>
            <w:r w:rsidRPr="00D1345F">
              <w:rPr>
                <w:rFonts w:ascii="Arial" w:hAnsi="Arial" w:cs="Arial"/>
                <w:noProof/>
                <w:webHidden/>
              </w:rPr>
              <w:fldChar w:fldCharType="begin"/>
            </w:r>
            <w:r w:rsidRPr="00D1345F">
              <w:rPr>
                <w:rFonts w:ascii="Arial" w:hAnsi="Arial" w:cs="Arial"/>
                <w:noProof/>
                <w:webHidden/>
              </w:rPr>
              <w:instrText xml:space="preserve"> PAGEREF _Toc226860680 \h </w:instrText>
            </w:r>
            <w:r w:rsidRPr="00D1345F">
              <w:rPr>
                <w:rFonts w:ascii="Arial" w:hAnsi="Arial" w:cs="Arial"/>
                <w:noProof/>
                <w:webHidden/>
              </w:rPr>
            </w:r>
            <w:r w:rsidRPr="00D1345F">
              <w:rPr>
                <w:rFonts w:ascii="Arial" w:hAnsi="Arial" w:cs="Arial"/>
                <w:noProof/>
                <w:webHidden/>
              </w:rPr>
              <w:fldChar w:fldCharType="separate"/>
            </w:r>
            <w:r w:rsidRPr="00D1345F">
              <w:rPr>
                <w:rFonts w:ascii="Arial" w:hAnsi="Arial" w:cs="Arial"/>
                <w:noProof/>
                <w:webHidden/>
              </w:rPr>
              <w:t>9</w:t>
            </w:r>
            <w:r w:rsidRPr="00D1345F">
              <w:rPr>
                <w:rFonts w:ascii="Arial" w:hAnsi="Arial" w:cs="Arial"/>
                <w:noProof/>
                <w:webHidden/>
              </w:rPr>
              <w:fldChar w:fldCharType="end"/>
            </w:r>
          </w:hyperlink>
        </w:p>
        <w:p w14:paraId="0FA9A93C" w14:textId="042F323E" w:rsidR="006A2113" w:rsidRPr="00D1345F" w:rsidRDefault="006A2113" w:rsidP="00D1345F">
          <w:pPr>
            <w:pStyle w:val="TOC2"/>
            <w:tabs>
              <w:tab w:val="right" w:leader="dot" w:pos="9016"/>
            </w:tabs>
            <w:spacing w:line="360" w:lineRule="auto"/>
            <w:jc w:val="both"/>
            <w:rPr>
              <w:rFonts w:ascii="Arial" w:eastAsiaTheme="minorEastAsia" w:hAnsi="Arial" w:cs="Arial"/>
              <w:noProof/>
              <w:kern w:val="2"/>
              <w:sz w:val="24"/>
              <w:szCs w:val="24"/>
              <w14:ligatures w14:val="standardContextual"/>
            </w:rPr>
          </w:pPr>
          <w:hyperlink w:anchor="_Toc226860681" w:history="1">
            <w:r w:rsidRPr="00D1345F">
              <w:rPr>
                <w:rStyle w:val="Hyperlink"/>
                <w:rFonts w:ascii="Arial" w:hAnsi="Arial" w:cs="Arial"/>
                <w:noProof/>
              </w:rPr>
              <w:t>3.1 Strengthening Clinical Governance and Accountability Structures</w:t>
            </w:r>
            <w:r w:rsidRPr="00D1345F">
              <w:rPr>
                <w:rFonts w:ascii="Arial" w:hAnsi="Arial" w:cs="Arial"/>
                <w:noProof/>
                <w:webHidden/>
              </w:rPr>
              <w:tab/>
            </w:r>
            <w:r w:rsidRPr="00D1345F">
              <w:rPr>
                <w:rFonts w:ascii="Arial" w:hAnsi="Arial" w:cs="Arial"/>
                <w:noProof/>
                <w:webHidden/>
              </w:rPr>
              <w:fldChar w:fldCharType="begin"/>
            </w:r>
            <w:r w:rsidRPr="00D1345F">
              <w:rPr>
                <w:rFonts w:ascii="Arial" w:hAnsi="Arial" w:cs="Arial"/>
                <w:noProof/>
                <w:webHidden/>
              </w:rPr>
              <w:instrText xml:space="preserve"> PAGEREF _Toc226860681 \h </w:instrText>
            </w:r>
            <w:r w:rsidRPr="00D1345F">
              <w:rPr>
                <w:rFonts w:ascii="Arial" w:hAnsi="Arial" w:cs="Arial"/>
                <w:noProof/>
                <w:webHidden/>
              </w:rPr>
            </w:r>
            <w:r w:rsidRPr="00D1345F">
              <w:rPr>
                <w:rFonts w:ascii="Arial" w:hAnsi="Arial" w:cs="Arial"/>
                <w:noProof/>
                <w:webHidden/>
              </w:rPr>
              <w:fldChar w:fldCharType="separate"/>
            </w:r>
            <w:r w:rsidRPr="00D1345F">
              <w:rPr>
                <w:rFonts w:ascii="Arial" w:hAnsi="Arial" w:cs="Arial"/>
                <w:noProof/>
                <w:webHidden/>
              </w:rPr>
              <w:t>9</w:t>
            </w:r>
            <w:r w:rsidRPr="00D1345F">
              <w:rPr>
                <w:rFonts w:ascii="Arial" w:hAnsi="Arial" w:cs="Arial"/>
                <w:noProof/>
                <w:webHidden/>
              </w:rPr>
              <w:fldChar w:fldCharType="end"/>
            </w:r>
          </w:hyperlink>
        </w:p>
        <w:p w14:paraId="7ACE2A80" w14:textId="269943F2" w:rsidR="006A2113" w:rsidRPr="00D1345F" w:rsidRDefault="006A2113" w:rsidP="00D1345F">
          <w:pPr>
            <w:pStyle w:val="TOC2"/>
            <w:tabs>
              <w:tab w:val="right" w:leader="dot" w:pos="9016"/>
            </w:tabs>
            <w:spacing w:line="360" w:lineRule="auto"/>
            <w:jc w:val="both"/>
            <w:rPr>
              <w:rFonts w:ascii="Arial" w:eastAsiaTheme="minorEastAsia" w:hAnsi="Arial" w:cs="Arial"/>
              <w:noProof/>
              <w:kern w:val="2"/>
              <w:sz w:val="24"/>
              <w:szCs w:val="24"/>
              <w14:ligatures w14:val="standardContextual"/>
            </w:rPr>
          </w:pPr>
          <w:hyperlink w:anchor="_Toc226860682" w:history="1">
            <w:r w:rsidRPr="00D1345F">
              <w:rPr>
                <w:rStyle w:val="Hyperlink"/>
                <w:rFonts w:ascii="Arial" w:hAnsi="Arial" w:cs="Arial"/>
                <w:noProof/>
              </w:rPr>
              <w:t>3.2 Improving Escalation Pathways and Safety Reporting Culture</w:t>
            </w:r>
            <w:r w:rsidRPr="00D1345F">
              <w:rPr>
                <w:rFonts w:ascii="Arial" w:hAnsi="Arial" w:cs="Arial"/>
                <w:noProof/>
                <w:webHidden/>
              </w:rPr>
              <w:tab/>
            </w:r>
            <w:r w:rsidRPr="00D1345F">
              <w:rPr>
                <w:rFonts w:ascii="Arial" w:hAnsi="Arial" w:cs="Arial"/>
                <w:noProof/>
                <w:webHidden/>
              </w:rPr>
              <w:fldChar w:fldCharType="begin"/>
            </w:r>
            <w:r w:rsidRPr="00D1345F">
              <w:rPr>
                <w:rFonts w:ascii="Arial" w:hAnsi="Arial" w:cs="Arial"/>
                <w:noProof/>
                <w:webHidden/>
              </w:rPr>
              <w:instrText xml:space="preserve"> PAGEREF _Toc226860682 \h </w:instrText>
            </w:r>
            <w:r w:rsidRPr="00D1345F">
              <w:rPr>
                <w:rFonts w:ascii="Arial" w:hAnsi="Arial" w:cs="Arial"/>
                <w:noProof/>
                <w:webHidden/>
              </w:rPr>
            </w:r>
            <w:r w:rsidRPr="00D1345F">
              <w:rPr>
                <w:rFonts w:ascii="Arial" w:hAnsi="Arial" w:cs="Arial"/>
                <w:noProof/>
                <w:webHidden/>
              </w:rPr>
              <w:fldChar w:fldCharType="separate"/>
            </w:r>
            <w:r w:rsidRPr="00D1345F">
              <w:rPr>
                <w:rFonts w:ascii="Arial" w:hAnsi="Arial" w:cs="Arial"/>
                <w:noProof/>
                <w:webHidden/>
              </w:rPr>
              <w:t>10</w:t>
            </w:r>
            <w:r w:rsidRPr="00D1345F">
              <w:rPr>
                <w:rFonts w:ascii="Arial" w:hAnsi="Arial" w:cs="Arial"/>
                <w:noProof/>
                <w:webHidden/>
              </w:rPr>
              <w:fldChar w:fldCharType="end"/>
            </w:r>
          </w:hyperlink>
        </w:p>
        <w:p w14:paraId="52416A2F" w14:textId="37C5A5AA" w:rsidR="006A2113" w:rsidRPr="00D1345F" w:rsidRDefault="006A2113" w:rsidP="00D1345F">
          <w:pPr>
            <w:pStyle w:val="TOC2"/>
            <w:tabs>
              <w:tab w:val="right" w:leader="dot" w:pos="9016"/>
            </w:tabs>
            <w:spacing w:line="360" w:lineRule="auto"/>
            <w:jc w:val="both"/>
            <w:rPr>
              <w:rFonts w:ascii="Arial" w:eastAsiaTheme="minorEastAsia" w:hAnsi="Arial" w:cs="Arial"/>
              <w:noProof/>
              <w:kern w:val="2"/>
              <w:sz w:val="24"/>
              <w:szCs w:val="24"/>
              <w14:ligatures w14:val="standardContextual"/>
            </w:rPr>
          </w:pPr>
          <w:hyperlink w:anchor="_Toc226860683" w:history="1">
            <w:r w:rsidRPr="00D1345F">
              <w:rPr>
                <w:rStyle w:val="Hyperlink"/>
                <w:rFonts w:ascii="Arial" w:hAnsi="Arial" w:cs="Arial"/>
                <w:noProof/>
              </w:rPr>
              <w:t>3.3 Addressing Workforce and Staffing Standards</w:t>
            </w:r>
            <w:r w:rsidRPr="00D1345F">
              <w:rPr>
                <w:rFonts w:ascii="Arial" w:hAnsi="Arial" w:cs="Arial"/>
                <w:noProof/>
                <w:webHidden/>
              </w:rPr>
              <w:tab/>
            </w:r>
            <w:r w:rsidRPr="00D1345F">
              <w:rPr>
                <w:rFonts w:ascii="Arial" w:hAnsi="Arial" w:cs="Arial"/>
                <w:noProof/>
                <w:webHidden/>
              </w:rPr>
              <w:fldChar w:fldCharType="begin"/>
            </w:r>
            <w:r w:rsidRPr="00D1345F">
              <w:rPr>
                <w:rFonts w:ascii="Arial" w:hAnsi="Arial" w:cs="Arial"/>
                <w:noProof/>
                <w:webHidden/>
              </w:rPr>
              <w:instrText xml:space="preserve"> PAGEREF _Toc226860683 \h </w:instrText>
            </w:r>
            <w:r w:rsidRPr="00D1345F">
              <w:rPr>
                <w:rFonts w:ascii="Arial" w:hAnsi="Arial" w:cs="Arial"/>
                <w:noProof/>
                <w:webHidden/>
              </w:rPr>
            </w:r>
            <w:r w:rsidRPr="00D1345F">
              <w:rPr>
                <w:rFonts w:ascii="Arial" w:hAnsi="Arial" w:cs="Arial"/>
                <w:noProof/>
                <w:webHidden/>
              </w:rPr>
              <w:fldChar w:fldCharType="separate"/>
            </w:r>
            <w:r w:rsidRPr="00D1345F">
              <w:rPr>
                <w:rFonts w:ascii="Arial" w:hAnsi="Arial" w:cs="Arial"/>
                <w:noProof/>
                <w:webHidden/>
              </w:rPr>
              <w:t>10</w:t>
            </w:r>
            <w:r w:rsidRPr="00D1345F">
              <w:rPr>
                <w:rFonts w:ascii="Arial" w:hAnsi="Arial" w:cs="Arial"/>
                <w:noProof/>
                <w:webHidden/>
              </w:rPr>
              <w:fldChar w:fldCharType="end"/>
            </w:r>
          </w:hyperlink>
        </w:p>
        <w:p w14:paraId="32936651" w14:textId="7997E549" w:rsidR="006A2113" w:rsidRPr="00D1345F" w:rsidRDefault="006A2113" w:rsidP="00D1345F">
          <w:pPr>
            <w:pStyle w:val="TOC2"/>
            <w:tabs>
              <w:tab w:val="right" w:leader="dot" w:pos="9016"/>
            </w:tabs>
            <w:spacing w:line="360" w:lineRule="auto"/>
            <w:jc w:val="both"/>
            <w:rPr>
              <w:rFonts w:ascii="Arial" w:eastAsiaTheme="minorEastAsia" w:hAnsi="Arial" w:cs="Arial"/>
              <w:noProof/>
              <w:kern w:val="2"/>
              <w:sz w:val="24"/>
              <w:szCs w:val="24"/>
              <w14:ligatures w14:val="standardContextual"/>
            </w:rPr>
          </w:pPr>
          <w:hyperlink w:anchor="_Toc226860684" w:history="1">
            <w:r w:rsidRPr="00D1345F">
              <w:rPr>
                <w:rStyle w:val="Hyperlink"/>
                <w:rFonts w:ascii="Arial" w:hAnsi="Arial" w:cs="Arial"/>
                <w:noProof/>
              </w:rPr>
              <w:t>3.4 Embedding Safety Culture Through Leadership Accountability</w:t>
            </w:r>
            <w:r w:rsidRPr="00D1345F">
              <w:rPr>
                <w:rFonts w:ascii="Arial" w:hAnsi="Arial" w:cs="Arial"/>
                <w:noProof/>
                <w:webHidden/>
              </w:rPr>
              <w:tab/>
            </w:r>
            <w:r w:rsidRPr="00D1345F">
              <w:rPr>
                <w:rFonts w:ascii="Arial" w:hAnsi="Arial" w:cs="Arial"/>
                <w:noProof/>
                <w:webHidden/>
              </w:rPr>
              <w:fldChar w:fldCharType="begin"/>
            </w:r>
            <w:r w:rsidRPr="00D1345F">
              <w:rPr>
                <w:rFonts w:ascii="Arial" w:hAnsi="Arial" w:cs="Arial"/>
                <w:noProof/>
                <w:webHidden/>
              </w:rPr>
              <w:instrText xml:space="preserve"> PAGEREF _Toc226860684 \h </w:instrText>
            </w:r>
            <w:r w:rsidRPr="00D1345F">
              <w:rPr>
                <w:rFonts w:ascii="Arial" w:hAnsi="Arial" w:cs="Arial"/>
                <w:noProof/>
                <w:webHidden/>
              </w:rPr>
            </w:r>
            <w:r w:rsidRPr="00D1345F">
              <w:rPr>
                <w:rFonts w:ascii="Arial" w:hAnsi="Arial" w:cs="Arial"/>
                <w:noProof/>
                <w:webHidden/>
              </w:rPr>
              <w:fldChar w:fldCharType="separate"/>
            </w:r>
            <w:r w:rsidRPr="00D1345F">
              <w:rPr>
                <w:rFonts w:ascii="Arial" w:hAnsi="Arial" w:cs="Arial"/>
                <w:noProof/>
                <w:webHidden/>
              </w:rPr>
              <w:t>11</w:t>
            </w:r>
            <w:r w:rsidRPr="00D1345F">
              <w:rPr>
                <w:rFonts w:ascii="Arial" w:hAnsi="Arial" w:cs="Arial"/>
                <w:noProof/>
                <w:webHidden/>
              </w:rPr>
              <w:fldChar w:fldCharType="end"/>
            </w:r>
          </w:hyperlink>
        </w:p>
        <w:p w14:paraId="5BC8F1B6" w14:textId="7447F08F" w:rsidR="006A2113" w:rsidRPr="00D1345F" w:rsidRDefault="006A2113" w:rsidP="00D1345F">
          <w:pPr>
            <w:pStyle w:val="TOC1"/>
            <w:tabs>
              <w:tab w:val="right" w:leader="dot" w:pos="9016"/>
            </w:tabs>
            <w:spacing w:line="360" w:lineRule="auto"/>
            <w:jc w:val="both"/>
            <w:rPr>
              <w:rFonts w:ascii="Arial" w:eastAsiaTheme="minorEastAsia" w:hAnsi="Arial" w:cs="Arial"/>
              <w:noProof/>
              <w:kern w:val="2"/>
              <w:sz w:val="24"/>
              <w:szCs w:val="24"/>
              <w14:ligatures w14:val="standardContextual"/>
            </w:rPr>
          </w:pPr>
          <w:hyperlink w:anchor="_Toc226860685" w:history="1">
            <w:r w:rsidRPr="00D1345F">
              <w:rPr>
                <w:rStyle w:val="Hyperlink"/>
                <w:rFonts w:ascii="Arial" w:hAnsi="Arial" w:cs="Arial"/>
                <w:noProof/>
              </w:rPr>
              <w:t>4. Conclusion</w:t>
            </w:r>
            <w:r w:rsidRPr="00D1345F">
              <w:rPr>
                <w:rFonts w:ascii="Arial" w:hAnsi="Arial" w:cs="Arial"/>
                <w:noProof/>
                <w:webHidden/>
              </w:rPr>
              <w:tab/>
            </w:r>
            <w:r w:rsidRPr="00D1345F">
              <w:rPr>
                <w:rFonts w:ascii="Arial" w:hAnsi="Arial" w:cs="Arial"/>
                <w:noProof/>
                <w:webHidden/>
              </w:rPr>
              <w:fldChar w:fldCharType="begin"/>
            </w:r>
            <w:r w:rsidRPr="00D1345F">
              <w:rPr>
                <w:rFonts w:ascii="Arial" w:hAnsi="Arial" w:cs="Arial"/>
                <w:noProof/>
                <w:webHidden/>
              </w:rPr>
              <w:instrText xml:space="preserve"> PAGEREF _Toc226860685 \h </w:instrText>
            </w:r>
            <w:r w:rsidRPr="00D1345F">
              <w:rPr>
                <w:rFonts w:ascii="Arial" w:hAnsi="Arial" w:cs="Arial"/>
                <w:noProof/>
                <w:webHidden/>
              </w:rPr>
            </w:r>
            <w:r w:rsidRPr="00D1345F">
              <w:rPr>
                <w:rFonts w:ascii="Arial" w:hAnsi="Arial" w:cs="Arial"/>
                <w:noProof/>
                <w:webHidden/>
              </w:rPr>
              <w:fldChar w:fldCharType="separate"/>
            </w:r>
            <w:r w:rsidRPr="00D1345F">
              <w:rPr>
                <w:rFonts w:ascii="Arial" w:hAnsi="Arial" w:cs="Arial"/>
                <w:noProof/>
                <w:webHidden/>
              </w:rPr>
              <w:t>12</w:t>
            </w:r>
            <w:r w:rsidRPr="00D1345F">
              <w:rPr>
                <w:rFonts w:ascii="Arial" w:hAnsi="Arial" w:cs="Arial"/>
                <w:noProof/>
                <w:webHidden/>
              </w:rPr>
              <w:fldChar w:fldCharType="end"/>
            </w:r>
          </w:hyperlink>
        </w:p>
        <w:p w14:paraId="46EDCD7A" w14:textId="0B017670" w:rsidR="006A2113" w:rsidRPr="00D1345F" w:rsidRDefault="006A2113" w:rsidP="00D1345F">
          <w:pPr>
            <w:pStyle w:val="TOC1"/>
            <w:tabs>
              <w:tab w:val="right" w:leader="dot" w:pos="9016"/>
            </w:tabs>
            <w:spacing w:line="360" w:lineRule="auto"/>
            <w:jc w:val="both"/>
            <w:rPr>
              <w:rFonts w:ascii="Arial" w:eastAsiaTheme="minorEastAsia" w:hAnsi="Arial" w:cs="Arial"/>
              <w:noProof/>
              <w:kern w:val="2"/>
              <w:sz w:val="24"/>
              <w:szCs w:val="24"/>
              <w14:ligatures w14:val="standardContextual"/>
            </w:rPr>
          </w:pPr>
          <w:hyperlink w:anchor="_Toc226860686" w:history="1">
            <w:r w:rsidRPr="00D1345F">
              <w:rPr>
                <w:rStyle w:val="Hyperlink"/>
                <w:rFonts w:ascii="Arial" w:hAnsi="Arial" w:cs="Arial"/>
                <w:noProof/>
              </w:rPr>
              <w:t>References</w:t>
            </w:r>
            <w:r w:rsidRPr="00D1345F">
              <w:rPr>
                <w:rFonts w:ascii="Arial" w:hAnsi="Arial" w:cs="Arial"/>
                <w:noProof/>
                <w:webHidden/>
              </w:rPr>
              <w:tab/>
            </w:r>
            <w:r w:rsidRPr="00D1345F">
              <w:rPr>
                <w:rFonts w:ascii="Arial" w:hAnsi="Arial" w:cs="Arial"/>
                <w:noProof/>
                <w:webHidden/>
              </w:rPr>
              <w:fldChar w:fldCharType="begin"/>
            </w:r>
            <w:r w:rsidRPr="00D1345F">
              <w:rPr>
                <w:rFonts w:ascii="Arial" w:hAnsi="Arial" w:cs="Arial"/>
                <w:noProof/>
                <w:webHidden/>
              </w:rPr>
              <w:instrText xml:space="preserve"> PAGEREF _Toc226860686 \h </w:instrText>
            </w:r>
            <w:r w:rsidRPr="00D1345F">
              <w:rPr>
                <w:rFonts w:ascii="Arial" w:hAnsi="Arial" w:cs="Arial"/>
                <w:noProof/>
                <w:webHidden/>
              </w:rPr>
            </w:r>
            <w:r w:rsidRPr="00D1345F">
              <w:rPr>
                <w:rFonts w:ascii="Arial" w:hAnsi="Arial" w:cs="Arial"/>
                <w:noProof/>
                <w:webHidden/>
              </w:rPr>
              <w:fldChar w:fldCharType="separate"/>
            </w:r>
            <w:r w:rsidRPr="00D1345F">
              <w:rPr>
                <w:rFonts w:ascii="Arial" w:hAnsi="Arial" w:cs="Arial"/>
                <w:noProof/>
                <w:webHidden/>
              </w:rPr>
              <w:t>13</w:t>
            </w:r>
            <w:r w:rsidRPr="00D1345F">
              <w:rPr>
                <w:rFonts w:ascii="Arial" w:hAnsi="Arial" w:cs="Arial"/>
                <w:noProof/>
                <w:webHidden/>
              </w:rPr>
              <w:fldChar w:fldCharType="end"/>
            </w:r>
          </w:hyperlink>
        </w:p>
        <w:p w14:paraId="274B872F" w14:textId="2BF08C8D" w:rsidR="00317302" w:rsidRPr="00D1345F" w:rsidRDefault="00317302" w:rsidP="00D1345F">
          <w:pPr>
            <w:spacing w:line="360" w:lineRule="auto"/>
            <w:jc w:val="both"/>
            <w:rPr>
              <w:rFonts w:ascii="Arial" w:hAnsi="Arial" w:cs="Arial"/>
              <w:sz w:val="22"/>
              <w:szCs w:val="22"/>
            </w:rPr>
          </w:pPr>
          <w:r w:rsidRPr="00D1345F">
            <w:rPr>
              <w:rFonts w:ascii="Arial" w:hAnsi="Arial" w:cs="Arial"/>
              <w:b/>
              <w:bCs/>
              <w:noProof/>
              <w:sz w:val="22"/>
              <w:szCs w:val="22"/>
            </w:rPr>
            <w:fldChar w:fldCharType="end"/>
          </w:r>
        </w:p>
      </w:sdtContent>
    </w:sdt>
    <w:p w14:paraId="5D53785F" w14:textId="77777777" w:rsidR="00317302" w:rsidRPr="00D1345F" w:rsidRDefault="00317302" w:rsidP="00D1345F">
      <w:pPr>
        <w:spacing w:line="360" w:lineRule="auto"/>
        <w:jc w:val="both"/>
        <w:rPr>
          <w:rFonts w:ascii="Arial" w:eastAsia="Arial" w:hAnsi="Arial" w:cs="Arial"/>
          <w:b/>
          <w:bCs/>
          <w:sz w:val="22"/>
          <w:szCs w:val="22"/>
        </w:rPr>
      </w:pPr>
      <w:r w:rsidRPr="00D1345F">
        <w:rPr>
          <w:rFonts w:ascii="Arial" w:hAnsi="Arial" w:cs="Arial"/>
          <w:sz w:val="22"/>
          <w:szCs w:val="22"/>
        </w:rPr>
        <w:br w:type="page"/>
      </w:r>
    </w:p>
    <w:p w14:paraId="162829FA" w14:textId="78EDFEC3" w:rsidR="008F5A06" w:rsidRPr="00D1345F" w:rsidRDefault="0076107F" w:rsidP="00D1345F">
      <w:pPr>
        <w:pStyle w:val="Heading1"/>
        <w:jc w:val="both"/>
        <w:rPr>
          <w:sz w:val="22"/>
          <w:szCs w:val="22"/>
        </w:rPr>
      </w:pPr>
      <w:bookmarkStart w:id="0" w:name="_Toc226860674"/>
      <w:r w:rsidRPr="00D1345F">
        <w:rPr>
          <w:sz w:val="22"/>
          <w:szCs w:val="22"/>
        </w:rPr>
        <w:lastRenderedPageBreak/>
        <w:t>1. Introduction</w:t>
      </w:r>
      <w:bookmarkEnd w:id="0"/>
    </w:p>
    <w:p w14:paraId="22D7D10D" w14:textId="081F8DD4" w:rsidR="00E4692B" w:rsidRPr="00D1345F" w:rsidRDefault="00E4692B"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 xml:space="preserve">Quality assurance in medical care is one of the </w:t>
      </w:r>
      <w:proofErr w:type="gramStart"/>
      <w:r w:rsidRPr="00D1345F">
        <w:rPr>
          <w:rFonts w:ascii="Arial" w:eastAsia="Arial" w:hAnsi="Arial" w:cs="Arial"/>
          <w:sz w:val="22"/>
          <w:szCs w:val="22"/>
        </w:rPr>
        <w:t>core</w:t>
      </w:r>
      <w:proofErr w:type="gramEnd"/>
      <w:r w:rsidRPr="00D1345F">
        <w:rPr>
          <w:rFonts w:ascii="Arial" w:eastAsia="Arial" w:hAnsi="Arial" w:cs="Arial"/>
          <w:sz w:val="22"/>
          <w:szCs w:val="22"/>
        </w:rPr>
        <w:t xml:space="preserve"> promises of the systematic and circumspective tracking, rating and continual individualization of the quality of care, where the main goal is the safeguarding of the patients against avoidable injury (Donabedian, 1988). These systems can be broken when they are through inadequate governance, the leadership is flawed, or the reporting system is weakened, and these are results that are hard and can be irreversible. The case of Lucy Letby, who was found guilty of murdering seven infants and seeking to murder six more at the Countess of Chester Hospital neonatal unit in 2015-16, made this fact incredibly vivid in 2023. The following independent investigations found that her offending was enabled and prolonged by deep institutional maladaptation, such as dismissal of legitimate clinical concerns and complaints by consultant </w:t>
      </w:r>
      <w:proofErr w:type="spellStart"/>
      <w:r w:rsidRPr="00D1345F">
        <w:rPr>
          <w:rFonts w:ascii="Arial" w:eastAsia="Arial" w:hAnsi="Arial" w:cs="Arial"/>
          <w:sz w:val="22"/>
          <w:szCs w:val="22"/>
        </w:rPr>
        <w:t>paediatricians</w:t>
      </w:r>
      <w:proofErr w:type="spellEnd"/>
      <w:r w:rsidRPr="00D1345F">
        <w:rPr>
          <w:rFonts w:ascii="Arial" w:eastAsia="Arial" w:hAnsi="Arial" w:cs="Arial"/>
          <w:sz w:val="22"/>
          <w:szCs w:val="22"/>
        </w:rPr>
        <w:t xml:space="preserve">, lack of strict incident review processes, and institutional governance structures that </w:t>
      </w:r>
      <w:proofErr w:type="spellStart"/>
      <w:r w:rsidRPr="00D1345F">
        <w:rPr>
          <w:rFonts w:ascii="Arial" w:eastAsia="Arial" w:hAnsi="Arial" w:cs="Arial"/>
          <w:sz w:val="22"/>
          <w:szCs w:val="22"/>
        </w:rPr>
        <w:t>prioritised</w:t>
      </w:r>
      <w:proofErr w:type="spellEnd"/>
      <w:r w:rsidRPr="00D1345F">
        <w:rPr>
          <w:rFonts w:ascii="Arial" w:eastAsia="Arial" w:hAnsi="Arial" w:cs="Arial"/>
          <w:sz w:val="22"/>
          <w:szCs w:val="22"/>
        </w:rPr>
        <w:t xml:space="preserve"> institutional reputation at the cost of patient safety (Lawrence and Conn, 2024).</w:t>
      </w:r>
    </w:p>
    <w:p w14:paraId="4C7BA82E" w14:textId="149432C6" w:rsidR="00E4692B" w:rsidRPr="00D1345F" w:rsidRDefault="00E4692B"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 xml:space="preserve">This case has a tremendous impact way beyond its criminal aspect. It is universally </w:t>
      </w:r>
      <w:proofErr w:type="spellStart"/>
      <w:r w:rsidRPr="00D1345F">
        <w:rPr>
          <w:rFonts w:ascii="Arial" w:eastAsia="Arial" w:hAnsi="Arial" w:cs="Arial"/>
          <w:sz w:val="22"/>
          <w:szCs w:val="22"/>
        </w:rPr>
        <w:t>recognised</w:t>
      </w:r>
      <w:proofErr w:type="spellEnd"/>
      <w:r w:rsidRPr="00D1345F">
        <w:rPr>
          <w:rFonts w:ascii="Arial" w:eastAsia="Arial" w:hAnsi="Arial" w:cs="Arial"/>
          <w:sz w:val="22"/>
          <w:szCs w:val="22"/>
        </w:rPr>
        <w:t xml:space="preserve"> in the patient safety literature that serious harm rarely results from the actions of a single individual in isolation; instead, failure of numerous systemic safeguards operating within an </w:t>
      </w:r>
      <w:proofErr w:type="spellStart"/>
      <w:r w:rsidRPr="00D1345F">
        <w:rPr>
          <w:rFonts w:ascii="Arial" w:eastAsia="Arial" w:hAnsi="Arial" w:cs="Arial"/>
          <w:sz w:val="22"/>
          <w:szCs w:val="22"/>
        </w:rPr>
        <w:t>organisation</w:t>
      </w:r>
      <w:proofErr w:type="spellEnd"/>
      <w:r w:rsidRPr="00D1345F">
        <w:rPr>
          <w:rFonts w:ascii="Arial" w:eastAsia="Arial" w:hAnsi="Arial" w:cs="Arial"/>
          <w:sz w:val="22"/>
          <w:szCs w:val="22"/>
        </w:rPr>
        <w:t xml:space="preserve"> tends to coincide with others and as a result leads to serious harm (Reason, 2000; Kohn, Corrigan and Donaldson, 2000). This has been the focus of improving the quality of healthcare in England. The NHS Patient Safety Strategy clearly states that the NHS aims to develop safer cultures and stronger safety systems by learning, being transparent and improving every day (NHS England and NHS Improvement, 2019), and the NHS Long Term Plan recognizes patient safety as a pillar of sustainable, high-quality care (NHS England, 2019). Although these policies have commitments to quality care, the Care Quality Commission (2023) still lists numerous and widespread safety concerns across the NHS providers, which indicates that systemic weaknesses are still a constant challenge.</w:t>
      </w:r>
    </w:p>
    <w:p w14:paraId="162829FE" w14:textId="60BFF565" w:rsidR="008F5A06" w:rsidRPr="00D1345F" w:rsidRDefault="00E4692B" w:rsidP="00D1345F">
      <w:pPr>
        <w:spacing w:after="160" w:line="360" w:lineRule="auto"/>
        <w:jc w:val="both"/>
        <w:rPr>
          <w:rFonts w:ascii="Arial" w:hAnsi="Arial" w:cs="Arial"/>
          <w:sz w:val="22"/>
          <w:szCs w:val="22"/>
        </w:rPr>
      </w:pPr>
      <w:r w:rsidRPr="00D1345F">
        <w:rPr>
          <w:rFonts w:ascii="Arial" w:eastAsia="Arial" w:hAnsi="Arial" w:cs="Arial"/>
          <w:sz w:val="22"/>
          <w:szCs w:val="22"/>
        </w:rPr>
        <w:t>It is necessary that a critical analytical study be undertaken before understanding how exactly such failures can take place and how they can be avoided. The current report thus deploys a series of ready theoretical frameworks, such as the Donabedian Model of Structure, Process, and Outcome, or the Fishbone Diagram, as well as the 5 Whys method, to critically examine the underlying causes of the quality failure in Countess of Chester Hospital. A SWOT analysis also puts the strategic environment into context in which improvement has to take place. Based on this analysis, the report constructs evidence-based suggestions with quality improvement strategies such as Plan-Do-Study-Act (PDSA), Lean concepts and Six Sigma, and suggests viable and sustainable modifications on how such failures can be prevented in the future.</w:t>
      </w:r>
    </w:p>
    <w:p w14:paraId="162829FF" w14:textId="77777777" w:rsidR="008F5A06" w:rsidRPr="00D1345F" w:rsidRDefault="0076107F" w:rsidP="00D1345F">
      <w:pPr>
        <w:pStyle w:val="Heading1"/>
        <w:jc w:val="both"/>
        <w:rPr>
          <w:sz w:val="22"/>
          <w:szCs w:val="22"/>
        </w:rPr>
      </w:pPr>
      <w:bookmarkStart w:id="1" w:name="_Toc226860675"/>
      <w:r w:rsidRPr="00D1345F">
        <w:rPr>
          <w:sz w:val="22"/>
          <w:szCs w:val="22"/>
        </w:rPr>
        <w:lastRenderedPageBreak/>
        <w:t>2. Main Body</w:t>
      </w:r>
      <w:bookmarkEnd w:id="1"/>
    </w:p>
    <w:p w14:paraId="16282A00" w14:textId="77777777" w:rsidR="008F5A06" w:rsidRPr="00D1345F" w:rsidRDefault="0076107F" w:rsidP="00D1345F">
      <w:pPr>
        <w:pStyle w:val="Heading2"/>
        <w:rPr>
          <w:sz w:val="22"/>
          <w:szCs w:val="22"/>
        </w:rPr>
      </w:pPr>
      <w:bookmarkStart w:id="2" w:name="_Toc226860676"/>
      <w:r w:rsidRPr="00D1345F">
        <w:rPr>
          <w:sz w:val="22"/>
          <w:szCs w:val="22"/>
        </w:rPr>
        <w:t>2.1 Theoretical Framework: The Donabedian Model</w:t>
      </w:r>
      <w:bookmarkEnd w:id="2"/>
    </w:p>
    <w:p w14:paraId="16282A01" w14:textId="724699B6" w:rsidR="008F5A06" w:rsidRPr="00D1345F" w:rsidRDefault="007B5B86" w:rsidP="00D1345F">
      <w:pPr>
        <w:spacing w:after="160" w:line="360" w:lineRule="auto"/>
        <w:jc w:val="both"/>
        <w:rPr>
          <w:rFonts w:ascii="Arial" w:hAnsi="Arial" w:cs="Arial"/>
          <w:sz w:val="22"/>
          <w:szCs w:val="22"/>
        </w:rPr>
      </w:pPr>
      <w:r w:rsidRPr="00D1345F">
        <w:rPr>
          <w:rFonts w:ascii="Arial" w:eastAsia="Arial" w:hAnsi="Arial" w:cs="Arial"/>
          <w:sz w:val="22"/>
          <w:szCs w:val="22"/>
        </w:rPr>
        <w:t>The Donabedian Model is a powerful and well-known model of assessment of healthcare quality based on three interrelated levels, Structure, Process and Outcome (Donabedian, 1988). Its extension to the Countess of Chester Hospital case sheds light on how its shortcomings concurrently in all three aspects spawned the circumstances in which severe and lasting harm became achievable.</w:t>
      </w:r>
    </w:p>
    <w:p w14:paraId="16282A02" w14:textId="0E977708" w:rsidR="008F5A06" w:rsidRPr="00D1345F" w:rsidRDefault="00B63C29" w:rsidP="00D1345F">
      <w:pPr>
        <w:spacing w:after="160" w:line="360" w:lineRule="auto"/>
        <w:jc w:val="both"/>
        <w:rPr>
          <w:rFonts w:ascii="Arial" w:hAnsi="Arial" w:cs="Arial"/>
          <w:sz w:val="22"/>
          <w:szCs w:val="22"/>
        </w:rPr>
      </w:pPr>
      <w:r w:rsidRPr="00D1345F">
        <w:rPr>
          <w:rFonts w:ascii="Arial" w:eastAsia="Arial" w:hAnsi="Arial" w:cs="Arial"/>
          <w:sz w:val="22"/>
          <w:szCs w:val="22"/>
        </w:rPr>
        <w:t xml:space="preserve">At the structural level, the neonatal unit demonstrated severe lapses in governance architecture, capacity, and specialization in clinical observation. Structural quality involves organisations having sufficient human, physical, and </w:t>
      </w:r>
      <w:proofErr w:type="spellStart"/>
      <w:r w:rsidRPr="00D1345F">
        <w:rPr>
          <w:rFonts w:ascii="Arial" w:eastAsia="Arial" w:hAnsi="Arial" w:cs="Arial"/>
          <w:sz w:val="22"/>
          <w:szCs w:val="22"/>
        </w:rPr>
        <w:t>organisational</w:t>
      </w:r>
      <w:proofErr w:type="spellEnd"/>
      <w:r w:rsidRPr="00D1345F">
        <w:rPr>
          <w:rFonts w:ascii="Arial" w:eastAsia="Arial" w:hAnsi="Arial" w:cs="Arial"/>
          <w:sz w:val="22"/>
          <w:szCs w:val="22"/>
        </w:rPr>
        <w:t xml:space="preserve"> resources to provide safe care (Donabedian, 1988). At Countess of Chester, high-dependency babies were accepted to the neonatal unit, lacking the specialist medical infrastructure of an adequate level of clinical complexity (Lawrence and Conn, 2024). The problem of staffing shortage diminished the ability to provide sufficient clinical oversight, and governance structures were deficient in the accountability measures needed to question the trends in unexpected infant deterioration. Mannion and Davies (2018) opine that such structural governance failures do not occur in isolation; they are not only </w:t>
      </w:r>
      <w:proofErr w:type="spellStart"/>
      <w:r w:rsidRPr="00D1345F">
        <w:rPr>
          <w:rFonts w:ascii="Arial" w:eastAsia="Arial" w:hAnsi="Arial" w:cs="Arial"/>
          <w:sz w:val="22"/>
          <w:szCs w:val="22"/>
        </w:rPr>
        <w:t>systematised</w:t>
      </w:r>
      <w:proofErr w:type="spellEnd"/>
      <w:r w:rsidRPr="00D1345F">
        <w:rPr>
          <w:rFonts w:ascii="Arial" w:eastAsia="Arial" w:hAnsi="Arial" w:cs="Arial"/>
          <w:sz w:val="22"/>
          <w:szCs w:val="22"/>
        </w:rPr>
        <w:t xml:space="preserve"> within overall </w:t>
      </w:r>
      <w:proofErr w:type="spellStart"/>
      <w:r w:rsidRPr="00D1345F">
        <w:rPr>
          <w:rFonts w:ascii="Arial" w:eastAsia="Arial" w:hAnsi="Arial" w:cs="Arial"/>
          <w:sz w:val="22"/>
          <w:szCs w:val="22"/>
        </w:rPr>
        <w:t>organisational</w:t>
      </w:r>
      <w:proofErr w:type="spellEnd"/>
      <w:r w:rsidRPr="00D1345F">
        <w:rPr>
          <w:rFonts w:ascii="Arial" w:eastAsia="Arial" w:hAnsi="Arial" w:cs="Arial"/>
          <w:sz w:val="22"/>
          <w:szCs w:val="22"/>
        </w:rPr>
        <w:t xml:space="preserve"> cultures of </w:t>
      </w:r>
      <w:proofErr w:type="spellStart"/>
      <w:r w:rsidRPr="00D1345F">
        <w:rPr>
          <w:rFonts w:ascii="Arial" w:eastAsia="Arial" w:hAnsi="Arial" w:cs="Arial"/>
          <w:sz w:val="22"/>
          <w:szCs w:val="22"/>
        </w:rPr>
        <w:t>underleadership</w:t>
      </w:r>
      <w:proofErr w:type="spellEnd"/>
      <w:r w:rsidRPr="00D1345F">
        <w:rPr>
          <w:rFonts w:ascii="Arial" w:eastAsia="Arial" w:hAnsi="Arial" w:cs="Arial"/>
          <w:sz w:val="22"/>
          <w:szCs w:val="22"/>
        </w:rPr>
        <w:t xml:space="preserve"> accountability but also repressed professional dissent, which was evident in the Countess of Chester.</w:t>
      </w:r>
    </w:p>
    <w:p w14:paraId="16282A04" w14:textId="3498B084" w:rsidR="008F5A06" w:rsidRPr="00D1345F" w:rsidRDefault="00517C81" w:rsidP="00D1345F">
      <w:pPr>
        <w:spacing w:after="160" w:line="360" w:lineRule="auto"/>
        <w:jc w:val="both"/>
        <w:rPr>
          <w:rFonts w:ascii="Arial" w:hAnsi="Arial" w:cs="Arial"/>
          <w:sz w:val="22"/>
          <w:szCs w:val="22"/>
        </w:rPr>
      </w:pPr>
      <w:r w:rsidRPr="00D1345F">
        <w:rPr>
          <w:rFonts w:ascii="Arial" w:eastAsia="Arial" w:hAnsi="Arial" w:cs="Arial"/>
          <w:sz w:val="22"/>
          <w:szCs w:val="22"/>
        </w:rPr>
        <w:t xml:space="preserve">On the process level, the failures were as deep as well. Process quality involves care delivery, communication, escalation, incident reporting, and decision-making activities (Donabedian, 1988). In the neonatal unit, issues formally voiced by consultant </w:t>
      </w:r>
      <w:proofErr w:type="spellStart"/>
      <w:r w:rsidRPr="00D1345F">
        <w:rPr>
          <w:rFonts w:ascii="Arial" w:eastAsia="Arial" w:hAnsi="Arial" w:cs="Arial"/>
          <w:sz w:val="22"/>
          <w:szCs w:val="22"/>
        </w:rPr>
        <w:t>paediatricians</w:t>
      </w:r>
      <w:proofErr w:type="spellEnd"/>
      <w:r w:rsidRPr="00D1345F">
        <w:rPr>
          <w:rFonts w:ascii="Arial" w:eastAsia="Arial" w:hAnsi="Arial" w:cs="Arial"/>
          <w:sz w:val="22"/>
          <w:szCs w:val="22"/>
        </w:rPr>
        <w:t xml:space="preserve"> about the trend in the pattern of unexplained deaths of infants were, over a long period of time, actively ignored by the hospital management. Burke and Conway (2023) show that the mediation of nurses and clinicians with </w:t>
      </w:r>
      <w:proofErr w:type="spellStart"/>
      <w:r w:rsidRPr="00D1345F">
        <w:rPr>
          <w:rFonts w:ascii="Arial" w:eastAsia="Arial" w:hAnsi="Arial" w:cs="Arial"/>
          <w:sz w:val="22"/>
          <w:szCs w:val="22"/>
        </w:rPr>
        <w:t>organisational</w:t>
      </w:r>
      <w:proofErr w:type="spellEnd"/>
      <w:r w:rsidRPr="00D1345F">
        <w:rPr>
          <w:rFonts w:ascii="Arial" w:eastAsia="Arial" w:hAnsi="Arial" w:cs="Arial"/>
          <w:sz w:val="22"/>
          <w:szCs w:val="22"/>
        </w:rPr>
        <w:t xml:space="preserve"> culture, leadership responsiveness, and perceived safety of speaking-up is crucial, and Countess of Chester was deficient in all three areas. There were no strong mechanisms to review incidents, and thus the growing patterns of harm remained undetected and unaddressed, being a basic failure of the process aspect. The outcome level implicated the most severe imaginable set of consequences: Infant mortality that could have been avoided, long-term injury to families, and a disastrous loss of public confidence in the affected institution.</w:t>
      </w:r>
    </w:p>
    <w:p w14:paraId="0B063475" w14:textId="77777777" w:rsidR="00EE4F14" w:rsidRPr="00D1345F" w:rsidRDefault="0076107F" w:rsidP="00D1345F">
      <w:pPr>
        <w:spacing w:line="360" w:lineRule="auto"/>
        <w:jc w:val="center"/>
        <w:rPr>
          <w:rFonts w:ascii="Arial" w:hAnsi="Arial" w:cs="Arial"/>
          <w:sz w:val="22"/>
          <w:szCs w:val="22"/>
        </w:rPr>
      </w:pPr>
      <w:r w:rsidRPr="00D1345F">
        <w:rPr>
          <w:rFonts w:ascii="Arial" w:hAnsi="Arial" w:cs="Arial"/>
          <w:noProof/>
          <w:sz w:val="22"/>
          <w:szCs w:val="22"/>
        </w:rPr>
        <w:lastRenderedPageBreak/>
        <w:drawing>
          <wp:inline distT="0" distB="0" distL="0" distR="0" wp14:anchorId="7C82A2EB" wp14:editId="6639B5D2">
            <wp:extent cx="5530850" cy="1996440"/>
            <wp:effectExtent l="0" t="0" r="0" b="3810"/>
            <wp:docPr id="1" name="Fig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gure1"/>
                    <pic:cNvPicPr/>
                  </pic:nvPicPr>
                  <pic:blipFill rotWithShape="1">
                    <a:blip r:embed="rId8"/>
                    <a:srcRect l="3334" t="10780" r="3569" b="8520"/>
                    <a:stretch>
                      <a:fillRect/>
                    </a:stretch>
                  </pic:blipFill>
                  <pic:spPr bwMode="auto">
                    <a:xfrm>
                      <a:off x="0" y="0"/>
                      <a:ext cx="5533310" cy="1997328"/>
                    </a:xfrm>
                    <a:prstGeom prst="rect">
                      <a:avLst/>
                    </a:prstGeom>
                    <a:ln>
                      <a:noFill/>
                    </a:ln>
                    <a:extLst>
                      <a:ext uri="{53640926-AAD7-44D8-BBD7-CCE9431645EC}">
                        <a14:shadowObscured xmlns:a14="http://schemas.microsoft.com/office/drawing/2010/main"/>
                      </a:ext>
                    </a:extLst>
                  </pic:spPr>
                </pic:pic>
              </a:graphicData>
            </a:graphic>
          </wp:inline>
        </w:drawing>
      </w:r>
    </w:p>
    <w:p w14:paraId="08171618" w14:textId="77777777" w:rsidR="00EE4F14" w:rsidRPr="00D1345F" w:rsidRDefault="0076107F" w:rsidP="00D1345F">
      <w:pPr>
        <w:spacing w:line="360" w:lineRule="auto"/>
        <w:jc w:val="center"/>
        <w:rPr>
          <w:rFonts w:ascii="Arial" w:hAnsi="Arial" w:cs="Arial"/>
          <w:i/>
          <w:sz w:val="22"/>
          <w:szCs w:val="22"/>
        </w:rPr>
      </w:pPr>
      <w:r w:rsidRPr="00D1345F">
        <w:rPr>
          <w:rFonts w:ascii="Arial" w:hAnsi="Arial" w:cs="Arial"/>
          <w:i/>
          <w:sz w:val="22"/>
          <w:szCs w:val="22"/>
        </w:rPr>
        <w:t>Figure 1: Application of the Donabedian Model to the Countess of Chester Hospital Case (adapted from Donabedian, 1988)</w:t>
      </w:r>
    </w:p>
    <w:p w14:paraId="35297EC7" w14:textId="77777777" w:rsidR="00211523" w:rsidRPr="00D1345F" w:rsidRDefault="00211523" w:rsidP="00D1345F">
      <w:pPr>
        <w:spacing w:line="360" w:lineRule="auto"/>
        <w:jc w:val="both"/>
        <w:rPr>
          <w:rFonts w:ascii="Arial" w:hAnsi="Arial" w:cs="Arial"/>
          <w:sz w:val="22"/>
          <w:szCs w:val="22"/>
        </w:rPr>
      </w:pPr>
    </w:p>
    <w:p w14:paraId="16282A05" w14:textId="77777777" w:rsidR="008F5A06" w:rsidRPr="00D1345F" w:rsidRDefault="0076107F" w:rsidP="00D1345F">
      <w:pPr>
        <w:pStyle w:val="Heading2"/>
        <w:rPr>
          <w:sz w:val="22"/>
          <w:szCs w:val="22"/>
        </w:rPr>
      </w:pPr>
      <w:bookmarkStart w:id="3" w:name="_Toc226860677"/>
      <w:r w:rsidRPr="00D1345F">
        <w:rPr>
          <w:sz w:val="22"/>
          <w:szCs w:val="22"/>
        </w:rPr>
        <w:t>2.2 Root Cause Analysis: The Fishbone Diagram</w:t>
      </w:r>
      <w:bookmarkEnd w:id="3"/>
    </w:p>
    <w:p w14:paraId="00B87D88" w14:textId="7C49D4FD" w:rsidR="00765BD5" w:rsidRPr="00D1345F" w:rsidRDefault="007F08A3"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The Fishbone Diagram, originated by Ishikawa (1990), demonstrates the various types of causation of a quality failure within the spheres of people, process, policy, environment, equipment and management. Its treatment of the Countess of Chester case indicates a multi-causal, systemic failure.</w:t>
      </w:r>
    </w:p>
    <w:p w14:paraId="40B46827" w14:textId="6EF0A06B" w:rsidR="00765BD5" w:rsidRPr="00D1345F" w:rsidRDefault="00765BD5"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 xml:space="preserve">In the people aspect, substandard staffing and oversight of </w:t>
      </w:r>
      <w:proofErr w:type="spellStart"/>
      <w:r w:rsidRPr="00D1345F">
        <w:rPr>
          <w:rFonts w:ascii="Arial" w:eastAsia="Arial" w:hAnsi="Arial" w:cs="Arial"/>
          <w:sz w:val="22"/>
          <w:szCs w:val="22"/>
        </w:rPr>
        <w:t>speciality</w:t>
      </w:r>
      <w:proofErr w:type="spellEnd"/>
      <w:r w:rsidRPr="00D1345F">
        <w:rPr>
          <w:rFonts w:ascii="Arial" w:eastAsia="Arial" w:hAnsi="Arial" w:cs="Arial"/>
          <w:sz w:val="22"/>
          <w:szCs w:val="22"/>
        </w:rPr>
        <w:t xml:space="preserve"> physicians reduced the ability to recognize detrimental trends early. In Process, the lack of operating incident escalation routes and the inability to meaningfully undertake serious incident investigations facilitated the continued harm over a prolonged period. The national whistleblowing structures and local escalation policies did not offer sufficient protection or incentive to staff members who voiced concerns in the Policy area; Francis (2013) outlined similar failures in the policy approach in the Mid Staffordshire case, cautioning that a safety culture cannot be sustained in the absence of enforcement of accountability measures. Under Management, leadership at several </w:t>
      </w:r>
      <w:proofErr w:type="spellStart"/>
      <w:r w:rsidRPr="00D1345F">
        <w:rPr>
          <w:rFonts w:ascii="Arial" w:eastAsia="Arial" w:hAnsi="Arial" w:cs="Arial"/>
          <w:sz w:val="22"/>
          <w:szCs w:val="22"/>
        </w:rPr>
        <w:t>organisational</w:t>
      </w:r>
      <w:proofErr w:type="spellEnd"/>
      <w:r w:rsidRPr="00D1345F">
        <w:rPr>
          <w:rFonts w:ascii="Arial" w:eastAsia="Arial" w:hAnsi="Arial" w:cs="Arial"/>
          <w:sz w:val="22"/>
          <w:szCs w:val="22"/>
        </w:rPr>
        <w:t xml:space="preserve"> tiers allowed reputational concerns to take precedence over thorough safety inquiry, a trend Dixon-Woods et al. (2014) recall as reflective of NHS organisations with compliance-based cultures rather than safety-based cultures of truly high safety standards. Structural vulnerability was present in the neonatal unit within the Environment domain, whose physical and operational structure was outside the complexity level commissioned by the unit.</w:t>
      </w:r>
    </w:p>
    <w:p w14:paraId="16282A08" w14:textId="7A45BCD2" w:rsidR="008F5A06" w:rsidRPr="00D1345F" w:rsidRDefault="00765BD5" w:rsidP="00D1345F">
      <w:pPr>
        <w:spacing w:after="160" w:line="360" w:lineRule="auto"/>
        <w:jc w:val="both"/>
        <w:rPr>
          <w:rFonts w:ascii="Arial" w:hAnsi="Arial" w:cs="Arial"/>
          <w:sz w:val="22"/>
          <w:szCs w:val="22"/>
        </w:rPr>
      </w:pPr>
      <w:r w:rsidRPr="00D1345F">
        <w:rPr>
          <w:rFonts w:ascii="Arial" w:eastAsia="Arial" w:hAnsi="Arial" w:cs="Arial"/>
          <w:sz w:val="22"/>
          <w:szCs w:val="22"/>
        </w:rPr>
        <w:t xml:space="preserve">An analysis of the Fishbone approach shows that there are strong and weak aspects. It can also be useful in complicated </w:t>
      </w:r>
      <w:proofErr w:type="spellStart"/>
      <w:r w:rsidRPr="00D1345F">
        <w:rPr>
          <w:rFonts w:ascii="Arial" w:eastAsia="Arial" w:hAnsi="Arial" w:cs="Arial"/>
          <w:sz w:val="22"/>
          <w:szCs w:val="22"/>
        </w:rPr>
        <w:t>organisational</w:t>
      </w:r>
      <w:proofErr w:type="spellEnd"/>
      <w:r w:rsidRPr="00D1345F">
        <w:rPr>
          <w:rFonts w:ascii="Arial" w:eastAsia="Arial" w:hAnsi="Arial" w:cs="Arial"/>
          <w:sz w:val="22"/>
          <w:szCs w:val="22"/>
        </w:rPr>
        <w:t xml:space="preserve"> situations due to its ability to structure causation in many fields (Ishikawa, 1990). It, however, has more of a descriptive nature, in that it determines the points of failure but not the hierarchical nature of the relationships between causes or is able to easily differentiate between root and proximate causes. The given limitation requires the added use of the 5 Whys methodology.</w:t>
      </w:r>
    </w:p>
    <w:p w14:paraId="78B742EC" w14:textId="2E4B3D2F" w:rsidR="00EE4F14" w:rsidRPr="00D1345F" w:rsidRDefault="00091F7A" w:rsidP="00D1345F">
      <w:pPr>
        <w:spacing w:line="360" w:lineRule="auto"/>
        <w:jc w:val="center"/>
        <w:rPr>
          <w:rFonts w:ascii="Arial" w:hAnsi="Arial" w:cs="Arial"/>
          <w:sz w:val="22"/>
          <w:szCs w:val="22"/>
        </w:rPr>
      </w:pPr>
      <w:r w:rsidRPr="00D1345F">
        <w:rPr>
          <w:rFonts w:ascii="Arial" w:hAnsi="Arial" w:cs="Arial"/>
          <w:noProof/>
        </w:rPr>
        <w:lastRenderedPageBreak/>
        <w:drawing>
          <wp:inline distT="0" distB="0" distL="0" distR="0" wp14:anchorId="17AFA714" wp14:editId="1CA1F73D">
            <wp:extent cx="5731510" cy="2884170"/>
            <wp:effectExtent l="0" t="0" r="2540" b="0"/>
            <wp:docPr id="6207114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84170"/>
                    </a:xfrm>
                    <a:prstGeom prst="rect">
                      <a:avLst/>
                    </a:prstGeom>
                    <a:noFill/>
                    <a:ln>
                      <a:noFill/>
                    </a:ln>
                  </pic:spPr>
                </pic:pic>
              </a:graphicData>
            </a:graphic>
          </wp:inline>
        </w:drawing>
      </w:r>
    </w:p>
    <w:p w14:paraId="298F5E62" w14:textId="77777777" w:rsidR="00EE4F14" w:rsidRPr="00D1345F" w:rsidRDefault="0076107F" w:rsidP="00D1345F">
      <w:pPr>
        <w:spacing w:line="360" w:lineRule="auto"/>
        <w:jc w:val="center"/>
        <w:rPr>
          <w:rFonts w:ascii="Arial" w:hAnsi="Arial" w:cs="Arial"/>
          <w:i/>
          <w:sz w:val="22"/>
          <w:szCs w:val="22"/>
        </w:rPr>
      </w:pPr>
      <w:r w:rsidRPr="00D1345F">
        <w:rPr>
          <w:rFonts w:ascii="Arial" w:hAnsi="Arial" w:cs="Arial"/>
          <w:i/>
          <w:sz w:val="22"/>
          <w:szCs w:val="22"/>
        </w:rPr>
        <w:t>Figure 2: Fishbone Diagram of Root Causes at Countess of Chester Hospital (adapted from Ishikawa, 1990)</w:t>
      </w:r>
    </w:p>
    <w:p w14:paraId="77CEC494" w14:textId="77777777" w:rsidR="00211523" w:rsidRPr="00D1345F" w:rsidRDefault="00211523" w:rsidP="00D1345F">
      <w:pPr>
        <w:spacing w:line="360" w:lineRule="auto"/>
        <w:jc w:val="both"/>
        <w:rPr>
          <w:rFonts w:ascii="Arial" w:hAnsi="Arial" w:cs="Arial"/>
          <w:sz w:val="22"/>
          <w:szCs w:val="22"/>
        </w:rPr>
      </w:pPr>
    </w:p>
    <w:p w14:paraId="16282A09" w14:textId="77777777" w:rsidR="008F5A06" w:rsidRPr="00D1345F" w:rsidRDefault="0076107F" w:rsidP="00D1345F">
      <w:pPr>
        <w:pStyle w:val="Heading2"/>
        <w:rPr>
          <w:sz w:val="22"/>
          <w:szCs w:val="22"/>
        </w:rPr>
      </w:pPr>
      <w:bookmarkStart w:id="4" w:name="_Toc226860678"/>
      <w:r w:rsidRPr="00D1345F">
        <w:rPr>
          <w:sz w:val="22"/>
          <w:szCs w:val="22"/>
        </w:rPr>
        <w:t>2.3 Root Cause Analysis: The 5 Whys</w:t>
      </w:r>
      <w:bookmarkEnd w:id="4"/>
    </w:p>
    <w:p w14:paraId="16282A0A" w14:textId="008AC79E" w:rsidR="008F5A06" w:rsidRPr="00D1345F" w:rsidRDefault="00462D9B" w:rsidP="00D1345F">
      <w:pPr>
        <w:spacing w:after="160" w:line="360" w:lineRule="auto"/>
        <w:jc w:val="both"/>
        <w:rPr>
          <w:rFonts w:ascii="Arial" w:hAnsi="Arial" w:cs="Arial"/>
          <w:sz w:val="22"/>
          <w:szCs w:val="22"/>
          <w:highlight w:val="yellow"/>
        </w:rPr>
      </w:pPr>
      <w:r w:rsidRPr="00D1345F">
        <w:rPr>
          <w:rFonts w:ascii="Arial" w:eastAsia="Arial" w:hAnsi="Arial" w:cs="Arial"/>
          <w:sz w:val="22"/>
          <w:szCs w:val="22"/>
        </w:rPr>
        <w:t>The 5 Whys is an iterative method of root cause interrogation that originated in the Toyota Production System (Ohno, 1988) and asks the question why something went wrong until a systemic root cause is found. When applied to the particular failure to prompt escalation of clinical concerns at Countess of Chester, the following causal chain appears:</w:t>
      </w:r>
    </w:p>
    <w:p w14:paraId="16282A0B" w14:textId="1B5243B3" w:rsidR="008F5A06" w:rsidRPr="00D1345F" w:rsidRDefault="00863F85" w:rsidP="00D1345F">
      <w:pPr>
        <w:spacing w:after="160" w:line="360" w:lineRule="auto"/>
        <w:jc w:val="both"/>
        <w:rPr>
          <w:rFonts w:ascii="Arial" w:hAnsi="Arial" w:cs="Arial"/>
          <w:sz w:val="22"/>
          <w:szCs w:val="22"/>
          <w:highlight w:val="yellow"/>
        </w:rPr>
      </w:pPr>
      <w:r w:rsidRPr="00D1345F">
        <w:rPr>
          <w:rFonts w:ascii="Arial" w:eastAsia="Arial" w:hAnsi="Arial" w:cs="Arial"/>
          <w:b/>
          <w:bCs/>
          <w:sz w:val="22"/>
          <w:szCs w:val="22"/>
        </w:rPr>
        <w:t>Why were clinical concerns not effectively escalated?</w:t>
      </w:r>
      <w:r w:rsidRPr="00D1345F">
        <w:rPr>
          <w:rFonts w:ascii="Arial" w:eastAsia="Arial" w:hAnsi="Arial" w:cs="Arial"/>
          <w:sz w:val="22"/>
          <w:szCs w:val="22"/>
        </w:rPr>
        <w:t xml:space="preserve"> Hospital management did not take seriously the concerns raised by consultant </w:t>
      </w:r>
      <w:proofErr w:type="spellStart"/>
      <w:r w:rsidRPr="00D1345F">
        <w:rPr>
          <w:rFonts w:ascii="Arial" w:eastAsia="Arial" w:hAnsi="Arial" w:cs="Arial"/>
          <w:sz w:val="22"/>
          <w:szCs w:val="22"/>
        </w:rPr>
        <w:t>paediatricians</w:t>
      </w:r>
      <w:proofErr w:type="spellEnd"/>
      <w:r w:rsidRPr="00D1345F">
        <w:rPr>
          <w:rFonts w:ascii="Arial" w:eastAsia="Arial" w:hAnsi="Arial" w:cs="Arial"/>
          <w:sz w:val="22"/>
          <w:szCs w:val="22"/>
        </w:rPr>
        <w:t>.</w:t>
      </w:r>
    </w:p>
    <w:p w14:paraId="16282A0C" w14:textId="03210EA1" w:rsidR="008F5A06" w:rsidRPr="00D1345F" w:rsidRDefault="0076107F" w:rsidP="00D1345F">
      <w:pPr>
        <w:spacing w:after="160" w:line="360" w:lineRule="auto"/>
        <w:jc w:val="both"/>
        <w:rPr>
          <w:rFonts w:ascii="Arial" w:hAnsi="Arial" w:cs="Arial"/>
          <w:sz w:val="22"/>
          <w:szCs w:val="22"/>
          <w:highlight w:val="yellow"/>
        </w:rPr>
      </w:pPr>
      <w:r w:rsidRPr="00D1345F">
        <w:rPr>
          <w:rFonts w:ascii="Arial" w:eastAsia="Arial" w:hAnsi="Arial" w:cs="Arial"/>
          <w:b/>
          <w:bCs/>
          <w:sz w:val="22"/>
          <w:szCs w:val="22"/>
        </w:rPr>
        <w:t xml:space="preserve">Why </w:t>
      </w:r>
      <w:r w:rsidRPr="00D1345F">
        <w:rPr>
          <w:rFonts w:ascii="Arial" w:eastAsia="Arial" w:hAnsi="Arial" w:cs="Arial"/>
          <w:sz w:val="22"/>
          <w:szCs w:val="22"/>
        </w:rPr>
        <w:t>did the concerns get rejected? Since the management placed value on institutional reputation and doubted the clinical judgment of the people who expressed the concerns.</w:t>
      </w:r>
    </w:p>
    <w:p w14:paraId="16282A0D" w14:textId="47379941" w:rsidR="008F5A06" w:rsidRPr="00D1345F" w:rsidRDefault="0076107F" w:rsidP="00D1345F">
      <w:pPr>
        <w:spacing w:after="160" w:line="360" w:lineRule="auto"/>
        <w:jc w:val="both"/>
        <w:rPr>
          <w:rFonts w:ascii="Arial" w:hAnsi="Arial" w:cs="Arial"/>
          <w:sz w:val="22"/>
          <w:szCs w:val="22"/>
        </w:rPr>
      </w:pPr>
      <w:r w:rsidRPr="00D1345F">
        <w:rPr>
          <w:rFonts w:ascii="Arial" w:eastAsia="Arial" w:hAnsi="Arial" w:cs="Arial"/>
          <w:b/>
          <w:bCs/>
          <w:sz w:val="22"/>
          <w:szCs w:val="22"/>
        </w:rPr>
        <w:t xml:space="preserve">Why </w:t>
      </w:r>
      <w:r w:rsidRPr="00D1345F">
        <w:rPr>
          <w:rFonts w:ascii="Arial" w:eastAsia="Arial" w:hAnsi="Arial" w:cs="Arial"/>
          <w:sz w:val="22"/>
          <w:szCs w:val="22"/>
        </w:rPr>
        <w:t xml:space="preserve">was reputation </w:t>
      </w:r>
      <w:proofErr w:type="spellStart"/>
      <w:r w:rsidRPr="00D1345F">
        <w:rPr>
          <w:rFonts w:ascii="Arial" w:eastAsia="Arial" w:hAnsi="Arial" w:cs="Arial"/>
          <w:sz w:val="22"/>
          <w:szCs w:val="22"/>
        </w:rPr>
        <w:t>prioritised</w:t>
      </w:r>
      <w:proofErr w:type="spellEnd"/>
      <w:r w:rsidRPr="00D1345F">
        <w:rPr>
          <w:rFonts w:ascii="Arial" w:eastAsia="Arial" w:hAnsi="Arial" w:cs="Arial"/>
          <w:sz w:val="22"/>
          <w:szCs w:val="22"/>
        </w:rPr>
        <w:t xml:space="preserve"> over safety? The absence of independent oversight mechanisms and accountability pathways to question management decisions in governance structures.</w:t>
      </w:r>
    </w:p>
    <w:p w14:paraId="16282A0E" w14:textId="3000584F" w:rsidR="008F5A06" w:rsidRPr="00336425" w:rsidRDefault="0076107F" w:rsidP="00D1345F">
      <w:pPr>
        <w:spacing w:after="160" w:line="360" w:lineRule="auto"/>
        <w:jc w:val="both"/>
        <w:rPr>
          <w:rFonts w:ascii="Arial" w:eastAsia="Arial" w:hAnsi="Arial" w:cs="Arial"/>
          <w:sz w:val="22"/>
          <w:szCs w:val="22"/>
        </w:rPr>
      </w:pPr>
      <w:r w:rsidRPr="00D1345F">
        <w:rPr>
          <w:rFonts w:ascii="Arial" w:eastAsia="Arial" w:hAnsi="Arial" w:cs="Arial"/>
          <w:b/>
          <w:bCs/>
          <w:sz w:val="22"/>
          <w:szCs w:val="22"/>
        </w:rPr>
        <w:t xml:space="preserve">Why </w:t>
      </w:r>
      <w:r w:rsidRPr="00D1345F">
        <w:rPr>
          <w:rFonts w:ascii="Arial" w:eastAsia="Arial" w:hAnsi="Arial" w:cs="Arial"/>
          <w:sz w:val="22"/>
          <w:szCs w:val="22"/>
        </w:rPr>
        <w:t xml:space="preserve">was there no independent control over governance? Due to the lack of </w:t>
      </w:r>
      <w:proofErr w:type="spellStart"/>
      <w:r w:rsidRPr="00D1345F">
        <w:rPr>
          <w:rFonts w:ascii="Arial" w:eastAsia="Arial" w:hAnsi="Arial" w:cs="Arial"/>
          <w:sz w:val="22"/>
          <w:szCs w:val="22"/>
        </w:rPr>
        <w:t>organisational</w:t>
      </w:r>
      <w:proofErr w:type="spellEnd"/>
      <w:r w:rsidRPr="00D1345F">
        <w:rPr>
          <w:rFonts w:ascii="Arial" w:eastAsia="Arial" w:hAnsi="Arial" w:cs="Arial"/>
          <w:sz w:val="22"/>
          <w:szCs w:val="22"/>
        </w:rPr>
        <w:t xml:space="preserve"> culture, which </w:t>
      </w:r>
      <w:proofErr w:type="spellStart"/>
      <w:r w:rsidRPr="00D1345F">
        <w:rPr>
          <w:rFonts w:ascii="Arial" w:eastAsia="Arial" w:hAnsi="Arial" w:cs="Arial"/>
          <w:sz w:val="22"/>
          <w:szCs w:val="22"/>
        </w:rPr>
        <w:t>favoured</w:t>
      </w:r>
      <w:proofErr w:type="spellEnd"/>
      <w:r w:rsidRPr="00D1345F">
        <w:rPr>
          <w:rFonts w:ascii="Arial" w:eastAsia="Arial" w:hAnsi="Arial" w:cs="Arial"/>
          <w:sz w:val="22"/>
          <w:szCs w:val="22"/>
        </w:rPr>
        <w:t xml:space="preserve"> open safety reporting or the authority issue.</w:t>
      </w:r>
    </w:p>
    <w:p w14:paraId="16282A0F" w14:textId="4E4B3589" w:rsidR="008F5A06" w:rsidRPr="00D1345F" w:rsidRDefault="0076107F" w:rsidP="00D1345F">
      <w:pPr>
        <w:spacing w:after="160" w:line="360" w:lineRule="auto"/>
        <w:jc w:val="both"/>
        <w:rPr>
          <w:rFonts w:ascii="Arial" w:hAnsi="Arial" w:cs="Arial"/>
          <w:sz w:val="22"/>
          <w:szCs w:val="22"/>
        </w:rPr>
      </w:pPr>
      <w:r w:rsidRPr="00D1345F">
        <w:rPr>
          <w:rFonts w:ascii="Arial" w:eastAsia="Arial" w:hAnsi="Arial" w:cs="Arial"/>
          <w:b/>
          <w:bCs/>
          <w:sz w:val="22"/>
          <w:szCs w:val="22"/>
        </w:rPr>
        <w:t xml:space="preserve">Why </w:t>
      </w:r>
      <w:r w:rsidRPr="00D1345F">
        <w:rPr>
          <w:rFonts w:ascii="Arial" w:eastAsia="Arial" w:hAnsi="Arial" w:cs="Arial"/>
          <w:sz w:val="22"/>
          <w:szCs w:val="22"/>
        </w:rPr>
        <w:t xml:space="preserve">was there this culture? Due to the lack of leadership able to </w:t>
      </w:r>
      <w:proofErr w:type="spellStart"/>
      <w:r w:rsidRPr="00D1345F">
        <w:rPr>
          <w:rFonts w:ascii="Arial" w:eastAsia="Arial" w:hAnsi="Arial" w:cs="Arial"/>
          <w:sz w:val="22"/>
          <w:szCs w:val="22"/>
        </w:rPr>
        <w:t>instil</w:t>
      </w:r>
      <w:proofErr w:type="spellEnd"/>
      <w:r w:rsidRPr="00D1345F">
        <w:rPr>
          <w:rFonts w:ascii="Arial" w:eastAsia="Arial" w:hAnsi="Arial" w:cs="Arial"/>
          <w:sz w:val="22"/>
          <w:szCs w:val="22"/>
        </w:rPr>
        <w:t xml:space="preserve"> the psychological safety and learning focus required to have a true patient safety culture (Edmondson, 2019; Berwick, 2013).</w:t>
      </w:r>
    </w:p>
    <w:p w14:paraId="16282A10" w14:textId="1BC00317" w:rsidR="008F5A06" w:rsidRPr="00D1345F" w:rsidRDefault="00ED5056" w:rsidP="00D1345F">
      <w:pPr>
        <w:spacing w:after="160" w:line="360" w:lineRule="auto"/>
        <w:jc w:val="both"/>
        <w:rPr>
          <w:rFonts w:ascii="Arial" w:hAnsi="Arial" w:cs="Arial"/>
          <w:sz w:val="22"/>
          <w:szCs w:val="22"/>
          <w:highlight w:val="yellow"/>
        </w:rPr>
      </w:pPr>
      <w:r w:rsidRPr="00D1345F">
        <w:rPr>
          <w:rFonts w:ascii="Arial" w:eastAsia="Arial" w:hAnsi="Arial" w:cs="Arial"/>
          <w:sz w:val="22"/>
          <w:szCs w:val="22"/>
        </w:rPr>
        <w:lastRenderedPageBreak/>
        <w:t xml:space="preserve">Such a stacked configuration of parallel collapse in various </w:t>
      </w:r>
      <w:proofErr w:type="spellStart"/>
      <w:r w:rsidRPr="00D1345F">
        <w:rPr>
          <w:rFonts w:ascii="Arial" w:eastAsia="Arial" w:hAnsi="Arial" w:cs="Arial"/>
          <w:sz w:val="22"/>
          <w:szCs w:val="22"/>
        </w:rPr>
        <w:t>organisational</w:t>
      </w:r>
      <w:proofErr w:type="spellEnd"/>
      <w:r w:rsidRPr="00D1345F">
        <w:rPr>
          <w:rFonts w:ascii="Arial" w:eastAsia="Arial" w:hAnsi="Arial" w:cs="Arial"/>
          <w:sz w:val="22"/>
          <w:szCs w:val="22"/>
        </w:rPr>
        <w:t xml:space="preserve"> safeguards is comparable to the Swiss Cheese Model, which holds that damage ensues when defensive layers - governance, escalation, oversight - coincide in neglect simultaneously (Wiegmann et al., 2022).</w:t>
      </w:r>
    </w:p>
    <w:p w14:paraId="16282A11" w14:textId="52282832" w:rsidR="008F5A06" w:rsidRPr="00D1345F" w:rsidRDefault="008B0FDE" w:rsidP="00D1345F">
      <w:pPr>
        <w:spacing w:after="160" w:line="360" w:lineRule="auto"/>
        <w:jc w:val="both"/>
        <w:rPr>
          <w:rFonts w:ascii="Arial" w:hAnsi="Arial" w:cs="Arial"/>
          <w:sz w:val="22"/>
          <w:szCs w:val="22"/>
        </w:rPr>
      </w:pPr>
      <w:r w:rsidRPr="00D1345F">
        <w:rPr>
          <w:rFonts w:ascii="Arial" w:eastAsia="Arial" w:hAnsi="Arial" w:cs="Arial"/>
          <w:sz w:val="22"/>
          <w:szCs w:val="22"/>
        </w:rPr>
        <w:t>Through this iterative analysis, we find that the ultimate root cause was not that an individual had failed to act but a culture perpetuated by leadership, where fear, hierarchy and reputational worry opposed valid safety concerns. This finding also agrees with the findings by Francis (2013) of Mid Staffordshire and with the Bristol Royal Infirmary enquiry by Kennedy (2001). Both historic investigations found the same dynamics of culture, showing that absent essential leadership or cultural transformation, systematic safety failures will be recreated in a variety of organisations and contexts.</w:t>
      </w:r>
    </w:p>
    <w:p w14:paraId="7C2498CF" w14:textId="11BB2CEB" w:rsidR="00EE4F14" w:rsidRPr="00D1345F" w:rsidRDefault="00091F7A" w:rsidP="00D1345F">
      <w:pPr>
        <w:spacing w:line="360" w:lineRule="auto"/>
        <w:jc w:val="center"/>
        <w:rPr>
          <w:rFonts w:ascii="Arial" w:hAnsi="Arial" w:cs="Arial"/>
          <w:sz w:val="22"/>
          <w:szCs w:val="22"/>
        </w:rPr>
      </w:pPr>
      <w:r w:rsidRPr="00D1345F">
        <w:rPr>
          <w:rFonts w:ascii="Arial" w:hAnsi="Arial" w:cs="Arial"/>
          <w:noProof/>
        </w:rPr>
        <w:drawing>
          <wp:inline distT="0" distB="0" distL="0" distR="0" wp14:anchorId="32889339" wp14:editId="4BBB6D86">
            <wp:extent cx="5731510" cy="5218430"/>
            <wp:effectExtent l="0" t="0" r="2540" b="1270"/>
            <wp:docPr id="18605159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218430"/>
                    </a:xfrm>
                    <a:prstGeom prst="rect">
                      <a:avLst/>
                    </a:prstGeom>
                    <a:noFill/>
                    <a:ln>
                      <a:noFill/>
                    </a:ln>
                  </pic:spPr>
                </pic:pic>
              </a:graphicData>
            </a:graphic>
          </wp:inline>
        </w:drawing>
      </w:r>
    </w:p>
    <w:p w14:paraId="23073AC8" w14:textId="77777777" w:rsidR="00EE4F14" w:rsidRPr="00D1345F" w:rsidRDefault="0076107F" w:rsidP="00D1345F">
      <w:pPr>
        <w:spacing w:line="360" w:lineRule="auto"/>
        <w:jc w:val="center"/>
        <w:rPr>
          <w:rFonts w:ascii="Arial" w:hAnsi="Arial" w:cs="Arial"/>
          <w:i/>
          <w:sz w:val="22"/>
          <w:szCs w:val="22"/>
        </w:rPr>
      </w:pPr>
      <w:r w:rsidRPr="00D1345F">
        <w:rPr>
          <w:rFonts w:ascii="Arial" w:hAnsi="Arial" w:cs="Arial"/>
          <w:i/>
          <w:sz w:val="22"/>
          <w:szCs w:val="22"/>
        </w:rPr>
        <w:t>Figure 3: 5 Whys Analysis Applied to Escalation Failure at Countess of Chester Hospital (adapted from Ohno, 1988)</w:t>
      </w:r>
    </w:p>
    <w:p w14:paraId="4FB55A34" w14:textId="77777777" w:rsidR="00211523" w:rsidRPr="00D1345F" w:rsidRDefault="00211523" w:rsidP="00D1345F">
      <w:pPr>
        <w:spacing w:line="360" w:lineRule="auto"/>
        <w:jc w:val="both"/>
        <w:rPr>
          <w:rFonts w:ascii="Arial" w:hAnsi="Arial" w:cs="Arial"/>
          <w:sz w:val="22"/>
          <w:szCs w:val="22"/>
        </w:rPr>
      </w:pPr>
    </w:p>
    <w:p w14:paraId="16282A12" w14:textId="77777777" w:rsidR="008F5A06" w:rsidRPr="00D1345F" w:rsidRDefault="0076107F" w:rsidP="00D1345F">
      <w:pPr>
        <w:pStyle w:val="Heading2"/>
        <w:rPr>
          <w:sz w:val="22"/>
          <w:szCs w:val="22"/>
        </w:rPr>
      </w:pPr>
      <w:bookmarkStart w:id="5" w:name="_Toc226860679"/>
      <w:r w:rsidRPr="00D1345F">
        <w:rPr>
          <w:sz w:val="22"/>
          <w:szCs w:val="22"/>
        </w:rPr>
        <w:lastRenderedPageBreak/>
        <w:t>2.4 Strategic Analysis: SWOT</w:t>
      </w:r>
      <w:bookmarkEnd w:id="5"/>
    </w:p>
    <w:p w14:paraId="16282A13" w14:textId="2E535517" w:rsidR="008F5A06" w:rsidRPr="00D1345F" w:rsidRDefault="00FD7D83" w:rsidP="00D1345F">
      <w:pPr>
        <w:spacing w:after="160" w:line="360" w:lineRule="auto"/>
        <w:jc w:val="both"/>
        <w:rPr>
          <w:rFonts w:ascii="Arial" w:hAnsi="Arial" w:cs="Arial"/>
          <w:sz w:val="22"/>
          <w:szCs w:val="22"/>
        </w:rPr>
      </w:pPr>
      <w:r w:rsidRPr="00D1345F">
        <w:rPr>
          <w:rFonts w:ascii="Arial" w:eastAsia="Arial" w:hAnsi="Arial" w:cs="Arial"/>
          <w:sz w:val="22"/>
          <w:szCs w:val="22"/>
        </w:rPr>
        <w:t xml:space="preserve">SWOT analysis will put the strategic environment into perspective that quality improvement in Countess of Chester and the entire NHS neonatal services would need to be </w:t>
      </w:r>
      <w:proofErr w:type="spellStart"/>
      <w:r w:rsidRPr="00D1345F">
        <w:rPr>
          <w:rFonts w:ascii="Arial" w:eastAsia="Arial" w:hAnsi="Arial" w:cs="Arial"/>
          <w:sz w:val="22"/>
          <w:szCs w:val="22"/>
        </w:rPr>
        <w:t>endeavoured</w:t>
      </w:r>
      <w:proofErr w:type="spellEnd"/>
      <w:r w:rsidRPr="00D1345F">
        <w:rPr>
          <w:rFonts w:ascii="Arial" w:eastAsia="Arial" w:hAnsi="Arial" w:cs="Arial"/>
          <w:sz w:val="22"/>
          <w:szCs w:val="22"/>
        </w:rPr>
        <w:t>.</w:t>
      </w:r>
    </w:p>
    <w:p w14:paraId="16282A14" w14:textId="00007ED1" w:rsidR="008F5A06" w:rsidRPr="00D1345F" w:rsidRDefault="0076107F" w:rsidP="00D1345F">
      <w:pPr>
        <w:spacing w:after="160" w:line="360" w:lineRule="auto"/>
        <w:jc w:val="both"/>
        <w:rPr>
          <w:rFonts w:ascii="Arial" w:hAnsi="Arial" w:cs="Arial"/>
          <w:sz w:val="22"/>
          <w:szCs w:val="22"/>
        </w:rPr>
      </w:pPr>
      <w:r w:rsidRPr="00D1345F">
        <w:rPr>
          <w:rFonts w:ascii="Arial" w:eastAsia="Arial" w:hAnsi="Arial" w:cs="Arial"/>
          <w:b/>
          <w:bCs/>
          <w:sz w:val="22"/>
          <w:szCs w:val="22"/>
        </w:rPr>
        <w:t xml:space="preserve">Strengths: </w:t>
      </w:r>
      <w:r w:rsidRPr="00D1345F">
        <w:rPr>
          <w:rFonts w:ascii="Arial" w:eastAsia="Arial" w:hAnsi="Arial" w:cs="Arial"/>
          <w:sz w:val="22"/>
          <w:szCs w:val="22"/>
        </w:rPr>
        <w:t xml:space="preserve">The opportunity strengths that are present are the following: regulation schemes with the Care Quality Commission (2023), presence of the NHS Patient Safety Strategy (NHS England and NHS Improvement, 2019), institutional learning created by major inquiries in the past, such as Francis (2013), Kennedy (2001), and </w:t>
      </w:r>
      <w:proofErr w:type="spellStart"/>
      <w:r w:rsidRPr="00D1345F">
        <w:rPr>
          <w:rFonts w:ascii="Arial" w:eastAsia="Arial" w:hAnsi="Arial" w:cs="Arial"/>
          <w:sz w:val="22"/>
          <w:szCs w:val="22"/>
        </w:rPr>
        <w:t>Ockenden</w:t>
      </w:r>
      <w:proofErr w:type="spellEnd"/>
      <w:r w:rsidRPr="00D1345F">
        <w:rPr>
          <w:rFonts w:ascii="Arial" w:eastAsia="Arial" w:hAnsi="Arial" w:cs="Arial"/>
          <w:sz w:val="22"/>
          <w:szCs w:val="22"/>
        </w:rPr>
        <w:t xml:space="preserve"> (2022). These offer a reasonable policy and regulation based on which one can make a significant improvement.</w:t>
      </w:r>
    </w:p>
    <w:p w14:paraId="16282A15" w14:textId="3CAAADE0" w:rsidR="008F5A06" w:rsidRPr="00D1345F" w:rsidRDefault="0076107F" w:rsidP="00D1345F">
      <w:pPr>
        <w:spacing w:after="160" w:line="360" w:lineRule="auto"/>
        <w:jc w:val="both"/>
        <w:rPr>
          <w:rFonts w:ascii="Arial" w:hAnsi="Arial" w:cs="Arial"/>
          <w:sz w:val="22"/>
          <w:szCs w:val="22"/>
        </w:rPr>
      </w:pPr>
      <w:r w:rsidRPr="00D1345F">
        <w:rPr>
          <w:rFonts w:ascii="Arial" w:eastAsia="Arial" w:hAnsi="Arial" w:cs="Arial"/>
          <w:b/>
          <w:bCs/>
          <w:sz w:val="22"/>
          <w:szCs w:val="22"/>
        </w:rPr>
        <w:t xml:space="preserve">Weaknesses: </w:t>
      </w:r>
      <w:r w:rsidRPr="00D1345F">
        <w:rPr>
          <w:rFonts w:ascii="Arial" w:eastAsia="Arial" w:hAnsi="Arial" w:cs="Arial"/>
          <w:sz w:val="22"/>
          <w:szCs w:val="22"/>
        </w:rPr>
        <w:t xml:space="preserve">The persistent structural staffing shortages in neonatal services (NHS England, 2023), the </w:t>
      </w:r>
      <w:proofErr w:type="spellStart"/>
      <w:r w:rsidRPr="00D1345F">
        <w:rPr>
          <w:rFonts w:ascii="Arial" w:eastAsia="Arial" w:hAnsi="Arial" w:cs="Arial"/>
          <w:sz w:val="22"/>
          <w:szCs w:val="22"/>
        </w:rPr>
        <w:t>organisational</w:t>
      </w:r>
      <w:proofErr w:type="spellEnd"/>
      <w:r w:rsidRPr="00D1345F">
        <w:rPr>
          <w:rFonts w:ascii="Arial" w:eastAsia="Arial" w:hAnsi="Arial" w:cs="Arial"/>
          <w:sz w:val="22"/>
          <w:szCs w:val="22"/>
        </w:rPr>
        <w:t xml:space="preserve"> culture in most NHS trusts that still fails to support openly reporting any issues (Mannion and Davies, 2018), and the structures in terms of governance that traditionally focus more on financial and performance outcomes than on patient safety outcomes (Dixon-Woods et al., 2014). Although safer cultures are a national undertaking recognized by the NHS Patient Safety Strategy, the Countess of Chester case shows that the national policy aspiration to forge safer cultures has continued to be unmet with local implementation, implying that regulatory frameworks do not work in the absence of strong local governance accountability frameworks. Moreover, populations at risk, such as premature infants and those who have them, are disproportionately affected by the outcomes of such systemic failures, exacerbating the health inequities (Johnsen et al., 2022).</w:t>
      </w:r>
    </w:p>
    <w:p w14:paraId="16282A16" w14:textId="4E81D310" w:rsidR="008F5A06" w:rsidRPr="00D1345F" w:rsidRDefault="0076107F" w:rsidP="00D1345F">
      <w:pPr>
        <w:spacing w:after="160" w:line="360" w:lineRule="auto"/>
        <w:jc w:val="both"/>
        <w:rPr>
          <w:rFonts w:ascii="Arial" w:hAnsi="Arial" w:cs="Arial"/>
          <w:sz w:val="22"/>
          <w:szCs w:val="22"/>
        </w:rPr>
      </w:pPr>
      <w:r w:rsidRPr="00D1345F">
        <w:rPr>
          <w:rFonts w:ascii="Arial" w:eastAsia="Arial" w:hAnsi="Arial" w:cs="Arial"/>
          <w:b/>
          <w:bCs/>
          <w:sz w:val="22"/>
          <w:szCs w:val="22"/>
        </w:rPr>
        <w:t xml:space="preserve">Opportunities: </w:t>
      </w:r>
      <w:r w:rsidRPr="00D1345F">
        <w:rPr>
          <w:rFonts w:ascii="Arial" w:eastAsia="Arial" w:hAnsi="Arial" w:cs="Arial"/>
          <w:sz w:val="22"/>
          <w:szCs w:val="22"/>
        </w:rPr>
        <w:t>The application of the Patient Safety Incident Response Framework (NHS England, 2022) will place opportunities as a major change: it is a major transition to systemic, learning-based investigation, instead of one that blames. The increasing body of evidence on psychological safety in healthcare organisations (Edmondson, 2019) can also provide evidence-based strategies in terms of which safety cultures can be proactively developed. This opportunity is further enhanced by the national learning that is created due to the independent safety investigations and serves as an evidence-based point to explain the common patterns of systemic failures (Healthcare Safety Investigation Branch, 2023).</w:t>
      </w:r>
    </w:p>
    <w:p w14:paraId="16282A18" w14:textId="1AE1C39B" w:rsidR="008F5A06" w:rsidRPr="00D1345F" w:rsidRDefault="0076107F" w:rsidP="00D1345F">
      <w:pPr>
        <w:spacing w:after="160" w:line="360" w:lineRule="auto"/>
        <w:jc w:val="both"/>
        <w:rPr>
          <w:rFonts w:ascii="Arial" w:hAnsi="Arial" w:cs="Arial"/>
          <w:sz w:val="22"/>
          <w:szCs w:val="22"/>
        </w:rPr>
      </w:pPr>
      <w:r w:rsidRPr="00D1345F">
        <w:rPr>
          <w:rFonts w:ascii="Arial" w:eastAsia="Arial" w:hAnsi="Arial" w:cs="Arial"/>
          <w:b/>
          <w:bCs/>
          <w:sz w:val="22"/>
          <w:szCs w:val="22"/>
        </w:rPr>
        <w:t xml:space="preserve">Threats: </w:t>
      </w:r>
      <w:r w:rsidRPr="00D1345F">
        <w:rPr>
          <w:rFonts w:ascii="Arial" w:eastAsia="Arial" w:hAnsi="Arial" w:cs="Arial"/>
          <w:sz w:val="22"/>
          <w:szCs w:val="22"/>
        </w:rPr>
        <w:t>Sustained resource pressures across NHS trusts, the risk that high-profile criminal cases will cause short-run reactive policy actions as opposed to lasting systemic reform (West et al., 2014), and the ongoing predicament of guaranteeing that national policy promises are changed in a way that is relevant in local working practice are threats. As Hollnagel, Wears and Braithwaite (2015) warn, safety improvement initiatives that purely rely on failure analysis - Safety-I - should be balanced with consideration of the conditions in which care regularly succeeds, an angle that is still underdeveloped in present NHS improvement models.</w:t>
      </w:r>
    </w:p>
    <w:p w14:paraId="6766CE9D" w14:textId="56C78CDB" w:rsidR="00EE4F14" w:rsidRPr="00D1345F" w:rsidRDefault="00455D80" w:rsidP="00D1345F">
      <w:pPr>
        <w:spacing w:line="360" w:lineRule="auto"/>
        <w:jc w:val="center"/>
        <w:rPr>
          <w:rFonts w:ascii="Arial" w:hAnsi="Arial" w:cs="Arial"/>
          <w:sz w:val="22"/>
          <w:szCs w:val="22"/>
        </w:rPr>
      </w:pPr>
      <w:r w:rsidRPr="00D1345F">
        <w:rPr>
          <w:rFonts w:ascii="Arial" w:hAnsi="Arial" w:cs="Arial"/>
          <w:noProof/>
        </w:rPr>
        <w:lastRenderedPageBreak/>
        <w:drawing>
          <wp:inline distT="0" distB="0" distL="0" distR="0" wp14:anchorId="44839F2C" wp14:editId="7C9E9CBD">
            <wp:extent cx="5731510" cy="4639310"/>
            <wp:effectExtent l="0" t="0" r="2540" b="8890"/>
            <wp:docPr id="20769296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639310"/>
                    </a:xfrm>
                    <a:prstGeom prst="rect">
                      <a:avLst/>
                    </a:prstGeom>
                    <a:noFill/>
                    <a:ln>
                      <a:noFill/>
                    </a:ln>
                  </pic:spPr>
                </pic:pic>
              </a:graphicData>
            </a:graphic>
          </wp:inline>
        </w:drawing>
      </w:r>
    </w:p>
    <w:p w14:paraId="6E115392" w14:textId="77777777" w:rsidR="00EE4F14" w:rsidRPr="00D1345F" w:rsidRDefault="0076107F" w:rsidP="00D1345F">
      <w:pPr>
        <w:spacing w:line="360" w:lineRule="auto"/>
        <w:jc w:val="center"/>
        <w:rPr>
          <w:rFonts w:ascii="Arial" w:hAnsi="Arial" w:cs="Arial"/>
          <w:sz w:val="22"/>
          <w:szCs w:val="22"/>
        </w:rPr>
      </w:pPr>
      <w:r w:rsidRPr="00D1345F">
        <w:rPr>
          <w:rFonts w:ascii="Arial" w:hAnsi="Arial" w:cs="Arial"/>
          <w:i/>
          <w:sz w:val="22"/>
          <w:szCs w:val="22"/>
        </w:rPr>
        <w:t>Figure 4: SWOT Analysis of Quality Improvement Context at Countess of Chester Hospital</w:t>
      </w:r>
    </w:p>
    <w:p w14:paraId="6C95E6F6" w14:textId="77777777" w:rsidR="00B266F7" w:rsidRPr="00D1345F" w:rsidRDefault="00B266F7" w:rsidP="00D1345F">
      <w:pPr>
        <w:pStyle w:val="Heading1"/>
        <w:jc w:val="both"/>
        <w:rPr>
          <w:sz w:val="22"/>
          <w:szCs w:val="22"/>
        </w:rPr>
      </w:pPr>
      <w:bookmarkStart w:id="6" w:name="_Toc226860680"/>
      <w:r w:rsidRPr="00D1345F">
        <w:rPr>
          <w:sz w:val="22"/>
          <w:szCs w:val="22"/>
        </w:rPr>
        <w:t>3. RECOMMENDATIONS</w:t>
      </w:r>
      <w:bookmarkEnd w:id="6"/>
    </w:p>
    <w:p w14:paraId="4DCA541E" w14:textId="77777777" w:rsidR="00B266F7" w:rsidRPr="00D1345F" w:rsidRDefault="00B266F7" w:rsidP="00D1345F">
      <w:pPr>
        <w:pStyle w:val="Heading2"/>
        <w:rPr>
          <w:sz w:val="22"/>
          <w:szCs w:val="22"/>
        </w:rPr>
      </w:pPr>
      <w:bookmarkStart w:id="7" w:name="_Toc226860681"/>
      <w:r w:rsidRPr="00D1345F">
        <w:rPr>
          <w:sz w:val="22"/>
          <w:szCs w:val="22"/>
        </w:rPr>
        <w:t>3.1 Strengthening Clinical Governance and Accountability Structures</w:t>
      </w:r>
      <w:bookmarkEnd w:id="7"/>
    </w:p>
    <w:p w14:paraId="6609DA56" w14:textId="56EB5976" w:rsidR="00B266F7" w:rsidRPr="00D1345F" w:rsidRDefault="0025524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 xml:space="preserve">Structural governance failure was found to be one of the causes of the quality breakdown at Countess of Chester Hospital by the root cause analysis. </w:t>
      </w:r>
      <w:r w:rsidR="00450495" w:rsidRPr="00D1345F">
        <w:rPr>
          <w:rFonts w:ascii="Arial" w:eastAsia="Arial" w:hAnsi="Arial" w:cs="Arial"/>
          <w:sz w:val="22"/>
          <w:szCs w:val="22"/>
        </w:rPr>
        <w:t>This recommendation advocates</w:t>
      </w:r>
      <w:r w:rsidRPr="00D1345F">
        <w:rPr>
          <w:rFonts w:ascii="Arial" w:eastAsia="Arial" w:hAnsi="Arial" w:cs="Arial"/>
          <w:sz w:val="22"/>
          <w:szCs w:val="22"/>
        </w:rPr>
        <w:t xml:space="preserve"> the reinforcement of the clinical governance structures in neonatal, as well as broader acute care, hospitals, namely, by introducing independently chaired safety committees tasked with the responsibility to review mortality and morbidity reports, refer unresolved issues to external regulators, and </w:t>
      </w:r>
      <w:r w:rsidR="0060552F" w:rsidRPr="00D1345F">
        <w:rPr>
          <w:rFonts w:ascii="Arial" w:eastAsia="Arial" w:hAnsi="Arial" w:cs="Arial"/>
          <w:sz w:val="22"/>
          <w:szCs w:val="22"/>
        </w:rPr>
        <w:t>mandate timely management responses to clinical alerts</w:t>
      </w:r>
      <w:r w:rsidRPr="00D1345F">
        <w:rPr>
          <w:rFonts w:ascii="Arial" w:eastAsia="Arial" w:hAnsi="Arial" w:cs="Arial"/>
          <w:sz w:val="22"/>
          <w:szCs w:val="22"/>
        </w:rPr>
        <w:t>. West et al. (2014) also underline the idea that the key to the maintenance of high-quality care cultures is collective leadership, where responsibility in terms of safety is truly shared across both clinical and managerial levels.</w:t>
      </w:r>
    </w:p>
    <w:p w14:paraId="54C029C4" w14:textId="658D9901" w:rsidR="00B266F7" w:rsidRPr="00D1345F" w:rsidRDefault="00BC53F6" w:rsidP="00D1345F">
      <w:pPr>
        <w:spacing w:after="160" w:line="360" w:lineRule="auto"/>
        <w:jc w:val="both"/>
        <w:rPr>
          <w:rFonts w:ascii="Arial" w:eastAsia="Arial" w:hAnsi="Arial" w:cs="Arial"/>
          <w:b/>
          <w:bCs/>
          <w:sz w:val="22"/>
          <w:szCs w:val="22"/>
        </w:rPr>
      </w:pPr>
      <w:r w:rsidRPr="00D1345F">
        <w:rPr>
          <w:rFonts w:ascii="Arial" w:eastAsia="Arial" w:hAnsi="Arial" w:cs="Arial"/>
          <w:sz w:val="22"/>
          <w:szCs w:val="22"/>
        </w:rPr>
        <w:t xml:space="preserve">The implementation process must be designed in the form of a Plan-Do-Study-Act (PDSA) cycle (Langley et al., 2009). The Plan phase entails the analysis of governance gaps in comparison with the Care Quality Commission (2023) and the Patient Safety Incident </w:t>
      </w:r>
      <w:r w:rsidRPr="00D1345F">
        <w:rPr>
          <w:rFonts w:ascii="Arial" w:eastAsia="Arial" w:hAnsi="Arial" w:cs="Arial"/>
          <w:sz w:val="22"/>
          <w:szCs w:val="22"/>
        </w:rPr>
        <w:lastRenderedPageBreak/>
        <w:t>Response Framework standards (NHS England, 2022). The Do phase pilots independently chaired safety review committees within neonatal units. The Study phase is a determination of how issues are always listened to, documented and implemented within a specified period of time. The Act step instils effective structures at the trust-wide level. It must be noted that PDSA cycles are often abandoned even before the Act phase because of resource pressures; their continued commitment by senior leaders is thus a key success factor (Langley et al., 2009).</w:t>
      </w:r>
    </w:p>
    <w:p w14:paraId="43546EF3" w14:textId="564F3017" w:rsidR="00EE4F14" w:rsidRPr="00D1345F" w:rsidRDefault="00455D80" w:rsidP="00D1345F">
      <w:pPr>
        <w:spacing w:line="360" w:lineRule="auto"/>
        <w:jc w:val="center"/>
        <w:rPr>
          <w:rFonts w:ascii="Arial" w:hAnsi="Arial" w:cs="Arial"/>
          <w:i/>
          <w:sz w:val="22"/>
          <w:szCs w:val="22"/>
        </w:rPr>
      </w:pPr>
      <w:r w:rsidRPr="00D1345F">
        <w:rPr>
          <w:rFonts w:ascii="Arial" w:hAnsi="Arial" w:cs="Arial"/>
          <w:noProof/>
        </w:rPr>
        <w:drawing>
          <wp:inline distT="0" distB="0" distL="0" distR="0" wp14:anchorId="66BCC2F8" wp14:editId="66C6E52F">
            <wp:extent cx="5731510" cy="2754630"/>
            <wp:effectExtent l="0" t="0" r="2540" b="7620"/>
            <wp:docPr id="5640607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754630"/>
                    </a:xfrm>
                    <a:prstGeom prst="rect">
                      <a:avLst/>
                    </a:prstGeom>
                    <a:noFill/>
                    <a:ln>
                      <a:noFill/>
                    </a:ln>
                  </pic:spPr>
                </pic:pic>
              </a:graphicData>
            </a:graphic>
          </wp:inline>
        </w:drawing>
      </w:r>
      <w:r w:rsidR="0076107F" w:rsidRPr="00D1345F">
        <w:rPr>
          <w:rFonts w:ascii="Arial" w:hAnsi="Arial" w:cs="Arial"/>
          <w:i/>
          <w:sz w:val="22"/>
          <w:szCs w:val="22"/>
        </w:rPr>
        <w:t>Figure 5: PDSA Cycle Applied to Clinical Governance Reform (adapted from Langley et al., 2009)</w:t>
      </w:r>
    </w:p>
    <w:p w14:paraId="03F50CAB" w14:textId="77777777" w:rsidR="00211523" w:rsidRPr="00D1345F" w:rsidRDefault="00211523" w:rsidP="00D1345F">
      <w:pPr>
        <w:spacing w:line="360" w:lineRule="auto"/>
        <w:jc w:val="both"/>
        <w:rPr>
          <w:rFonts w:ascii="Arial" w:hAnsi="Arial" w:cs="Arial"/>
          <w:sz w:val="22"/>
          <w:szCs w:val="22"/>
        </w:rPr>
      </w:pPr>
    </w:p>
    <w:p w14:paraId="6B0F2CCD" w14:textId="77777777" w:rsidR="00B266F7" w:rsidRPr="00D1345F" w:rsidRDefault="00B266F7" w:rsidP="00D1345F">
      <w:pPr>
        <w:pStyle w:val="Heading2"/>
        <w:rPr>
          <w:sz w:val="22"/>
          <w:szCs w:val="22"/>
        </w:rPr>
      </w:pPr>
      <w:bookmarkStart w:id="8" w:name="_Toc226860682"/>
      <w:r w:rsidRPr="00D1345F">
        <w:rPr>
          <w:sz w:val="22"/>
          <w:szCs w:val="22"/>
        </w:rPr>
        <w:t>3.2 Improving Escalation Pathways and Safety Reporting Culture</w:t>
      </w:r>
      <w:bookmarkEnd w:id="8"/>
    </w:p>
    <w:p w14:paraId="4036A431" w14:textId="2EF12160" w:rsidR="00B266F7" w:rsidRPr="00D1345F" w:rsidRDefault="00701EAA"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 xml:space="preserve">The 5 Whys analysis demonstrated Countess of Chester had a root cause, deepest in the failure of its leadership to create the right culture </w:t>
      </w:r>
      <w:r w:rsidR="00754176" w:rsidRPr="00D1345F">
        <w:rPr>
          <w:rFonts w:ascii="Arial" w:eastAsia="Arial" w:hAnsi="Arial" w:cs="Arial"/>
          <w:sz w:val="22"/>
          <w:szCs w:val="22"/>
        </w:rPr>
        <w:t>in which legitimate clinical concerns were systematically suppressed</w:t>
      </w:r>
      <w:r w:rsidRPr="00D1345F">
        <w:rPr>
          <w:rFonts w:ascii="Arial" w:eastAsia="Arial" w:hAnsi="Arial" w:cs="Arial"/>
          <w:sz w:val="22"/>
          <w:szCs w:val="22"/>
        </w:rPr>
        <w:t>. To overcome this, it is necessary to invest in psychological safety over the long term - according to Edmondson (2019), it means the acceptance of the notion that it is safe to say something and that it is actually valued in the team context.</w:t>
      </w:r>
    </w:p>
    <w:p w14:paraId="0DBF01A2" w14:textId="5B50F7AA" w:rsidR="00B266F7" w:rsidRPr="00D1345F" w:rsidRDefault="00334BE2" w:rsidP="00D1345F">
      <w:pPr>
        <w:spacing w:after="160" w:line="360" w:lineRule="auto"/>
        <w:jc w:val="both"/>
        <w:rPr>
          <w:rFonts w:ascii="Arial" w:eastAsia="Arial" w:hAnsi="Arial" w:cs="Arial"/>
          <w:b/>
          <w:bCs/>
          <w:sz w:val="22"/>
          <w:szCs w:val="22"/>
        </w:rPr>
      </w:pPr>
      <w:r w:rsidRPr="00D1345F">
        <w:rPr>
          <w:rFonts w:ascii="Arial" w:eastAsia="Arial" w:hAnsi="Arial" w:cs="Arial"/>
          <w:sz w:val="22"/>
          <w:szCs w:val="22"/>
        </w:rPr>
        <w:t>This recommendation advocates applying Lean methodology to the escalation process itself</w:t>
      </w:r>
      <w:r w:rsidR="005B580C" w:rsidRPr="00D1345F">
        <w:rPr>
          <w:rFonts w:ascii="Arial" w:eastAsia="Arial" w:hAnsi="Arial" w:cs="Arial"/>
          <w:sz w:val="22"/>
          <w:szCs w:val="22"/>
        </w:rPr>
        <w:t xml:space="preserve"> (Womack and Jones, 2003). The lean principles are aimed at determining and removing procedural, cultural, and hierarchical barriers that hinder the delivery of safety-based information to decision-makers. Francis (2013) determined that efficient escalation infrastructure needs structural mechanisms in place, as well as a cultural environment that is actually supportive of its application; both needs to be tackled simultaneously. Indicators that are measurable must be incident reporting rates, the scores of staff surveys on the speaking-up culture, and the responsiveness of management to formally raised clinical concerns. One </w:t>
      </w:r>
      <w:r w:rsidR="005B580C" w:rsidRPr="00D1345F">
        <w:rPr>
          <w:rFonts w:ascii="Arial" w:eastAsia="Arial" w:hAnsi="Arial" w:cs="Arial"/>
          <w:sz w:val="22"/>
          <w:szCs w:val="22"/>
        </w:rPr>
        <w:lastRenderedPageBreak/>
        <w:t>of the accepted weaknesses of Lean is that the manufacturing roots of Lean can oversimplify the complexity of clinical environments; implementation should not thus be a blank sheet of paper but should be implemented in response to the neonatal care environment, not as a universal template (Womack and Jones, 2003).</w:t>
      </w:r>
    </w:p>
    <w:p w14:paraId="73AE6842" w14:textId="77777777" w:rsidR="00B266F7" w:rsidRPr="00D1345F" w:rsidRDefault="00B266F7" w:rsidP="00D1345F">
      <w:pPr>
        <w:pStyle w:val="Heading2"/>
        <w:rPr>
          <w:sz w:val="22"/>
          <w:szCs w:val="22"/>
        </w:rPr>
      </w:pPr>
      <w:bookmarkStart w:id="9" w:name="_Toc226860683"/>
      <w:r w:rsidRPr="00D1345F">
        <w:rPr>
          <w:sz w:val="22"/>
          <w:szCs w:val="22"/>
        </w:rPr>
        <w:t>3.3 Addressing Workforce and Staffing Standards</w:t>
      </w:r>
      <w:bookmarkEnd w:id="9"/>
    </w:p>
    <w:p w14:paraId="06059D1F" w14:textId="5A7E7D19" w:rsidR="00B266F7" w:rsidRPr="00D1345F" w:rsidRDefault="00CB68A0"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 xml:space="preserve">This Fishbone analysis established staffing insufficiency as a major contribution to the quality failure in the People category. It is repeatedly proven that safe neonatal care hinges on the level of staffing, their skill mix, and their supervision by specialists (Kain and Mannix, 2022; NHS England, 2023). This recommendation advocates the DMAIC framework of Six Sigma: Define, Measure, </w:t>
      </w:r>
      <w:proofErr w:type="spellStart"/>
      <w:r w:rsidRPr="00D1345F">
        <w:rPr>
          <w:rFonts w:ascii="Arial" w:eastAsia="Arial" w:hAnsi="Arial" w:cs="Arial"/>
          <w:sz w:val="22"/>
          <w:szCs w:val="22"/>
        </w:rPr>
        <w:t>Analyse</w:t>
      </w:r>
      <w:proofErr w:type="spellEnd"/>
      <w:r w:rsidRPr="00D1345F">
        <w:rPr>
          <w:rFonts w:ascii="Arial" w:eastAsia="Arial" w:hAnsi="Arial" w:cs="Arial"/>
          <w:sz w:val="22"/>
          <w:szCs w:val="22"/>
        </w:rPr>
        <w:t xml:space="preserve">, Improve, Control, to </w:t>
      </w:r>
      <w:proofErr w:type="spellStart"/>
      <w:r w:rsidRPr="00D1345F">
        <w:rPr>
          <w:rFonts w:ascii="Arial" w:eastAsia="Arial" w:hAnsi="Arial" w:cs="Arial"/>
          <w:sz w:val="22"/>
          <w:szCs w:val="22"/>
        </w:rPr>
        <w:t>minimise</w:t>
      </w:r>
      <w:proofErr w:type="spellEnd"/>
      <w:r w:rsidRPr="00D1345F">
        <w:rPr>
          <w:rFonts w:ascii="Arial" w:eastAsia="Arial" w:hAnsi="Arial" w:cs="Arial"/>
          <w:sz w:val="22"/>
          <w:szCs w:val="22"/>
        </w:rPr>
        <w:t xml:space="preserve"> unacceptable variation in the deployment of neonatal staffing (Montgomery, 2020). Trusts establish minimum staffing levels, compare actual provision to these levels, improve through targeted recruitment, retention initiatives, and </w:t>
      </w:r>
      <w:r w:rsidR="00450495" w:rsidRPr="00D1345F">
        <w:rPr>
          <w:rFonts w:ascii="Arial" w:eastAsia="Arial" w:hAnsi="Arial" w:cs="Arial"/>
          <w:sz w:val="22"/>
          <w:szCs w:val="22"/>
        </w:rPr>
        <w:t>skill-mix adjustments, and manage them</w:t>
      </w:r>
      <w:r w:rsidRPr="00D1345F">
        <w:rPr>
          <w:rFonts w:ascii="Arial" w:eastAsia="Arial" w:hAnsi="Arial" w:cs="Arial"/>
          <w:sz w:val="22"/>
          <w:szCs w:val="22"/>
        </w:rPr>
        <w:t xml:space="preserve"> through workforce dashboards to make standards operational, as opposed to aspirational (NHS England, 2020). An important drawback of Six Sigma is that it assumes significant data infrastructure, which many NHS trusts do not have at the moment; it should also be implemented in stages and accompanied by a specific workforce analytics resource (Montgomery, 2020).</w:t>
      </w:r>
    </w:p>
    <w:p w14:paraId="19312B82" w14:textId="65C04B8F" w:rsidR="00EE4F14" w:rsidRPr="00D1345F" w:rsidRDefault="00455D80" w:rsidP="00D1345F">
      <w:pPr>
        <w:spacing w:line="360" w:lineRule="auto"/>
        <w:jc w:val="center"/>
        <w:rPr>
          <w:rFonts w:ascii="Arial" w:hAnsi="Arial" w:cs="Arial"/>
          <w:sz w:val="22"/>
          <w:szCs w:val="22"/>
        </w:rPr>
      </w:pPr>
      <w:r w:rsidRPr="00D1345F">
        <w:rPr>
          <w:rFonts w:ascii="Arial" w:hAnsi="Arial" w:cs="Arial"/>
          <w:noProof/>
        </w:rPr>
        <w:drawing>
          <wp:inline distT="0" distB="0" distL="0" distR="0" wp14:anchorId="52558ED5" wp14:editId="6FF70AB9">
            <wp:extent cx="5731510" cy="2430145"/>
            <wp:effectExtent l="0" t="0" r="2540" b="8255"/>
            <wp:docPr id="1855589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430145"/>
                    </a:xfrm>
                    <a:prstGeom prst="rect">
                      <a:avLst/>
                    </a:prstGeom>
                    <a:noFill/>
                    <a:ln>
                      <a:noFill/>
                    </a:ln>
                  </pic:spPr>
                </pic:pic>
              </a:graphicData>
            </a:graphic>
          </wp:inline>
        </w:drawing>
      </w:r>
    </w:p>
    <w:p w14:paraId="0E5EDBCB" w14:textId="77777777" w:rsidR="00EE4F14" w:rsidRPr="00D1345F" w:rsidRDefault="0076107F" w:rsidP="00D1345F">
      <w:pPr>
        <w:spacing w:line="360" w:lineRule="auto"/>
        <w:jc w:val="center"/>
        <w:rPr>
          <w:rFonts w:ascii="Arial" w:hAnsi="Arial" w:cs="Arial"/>
          <w:i/>
          <w:sz w:val="22"/>
          <w:szCs w:val="22"/>
        </w:rPr>
      </w:pPr>
      <w:r w:rsidRPr="00D1345F">
        <w:rPr>
          <w:rFonts w:ascii="Arial" w:hAnsi="Arial" w:cs="Arial"/>
          <w:i/>
          <w:sz w:val="22"/>
          <w:szCs w:val="22"/>
        </w:rPr>
        <w:t>Figure 6: Six Sigma DMAIC Framework Applied to Neonatal Staffing Standards (adapted from Montgomery, 2020)</w:t>
      </w:r>
    </w:p>
    <w:p w14:paraId="3AE287ED" w14:textId="77777777" w:rsidR="00211523" w:rsidRPr="00D1345F" w:rsidRDefault="00211523" w:rsidP="00D1345F">
      <w:pPr>
        <w:spacing w:line="360" w:lineRule="auto"/>
        <w:jc w:val="both"/>
        <w:rPr>
          <w:rFonts w:ascii="Arial" w:hAnsi="Arial" w:cs="Arial"/>
          <w:sz w:val="22"/>
          <w:szCs w:val="22"/>
        </w:rPr>
      </w:pPr>
    </w:p>
    <w:p w14:paraId="20695E11" w14:textId="77777777" w:rsidR="00B266F7" w:rsidRPr="00D1345F" w:rsidRDefault="00B266F7" w:rsidP="00D1345F">
      <w:pPr>
        <w:pStyle w:val="Heading2"/>
        <w:rPr>
          <w:sz w:val="22"/>
          <w:szCs w:val="22"/>
        </w:rPr>
      </w:pPr>
      <w:bookmarkStart w:id="10" w:name="_Toc226860684"/>
      <w:r w:rsidRPr="00D1345F">
        <w:rPr>
          <w:sz w:val="22"/>
          <w:szCs w:val="22"/>
        </w:rPr>
        <w:t>3.4 Embedding Safety Culture Through Leadership Accountability</w:t>
      </w:r>
      <w:bookmarkEnd w:id="10"/>
    </w:p>
    <w:p w14:paraId="16282A2A" w14:textId="5F0EEBD6" w:rsidR="008F5A06" w:rsidRPr="00D1345F" w:rsidRDefault="00620731"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Sustained improvement depends upon</w:t>
      </w:r>
      <w:r w:rsidR="00762876" w:rsidRPr="00D1345F">
        <w:rPr>
          <w:rFonts w:ascii="Arial" w:eastAsia="Arial" w:hAnsi="Arial" w:cs="Arial"/>
          <w:sz w:val="22"/>
          <w:szCs w:val="22"/>
        </w:rPr>
        <w:t xml:space="preserve"> the fact that safety culture is proactively developed by visible and accountable leadership at all </w:t>
      </w:r>
      <w:proofErr w:type="spellStart"/>
      <w:r w:rsidR="00762876" w:rsidRPr="00D1345F">
        <w:rPr>
          <w:rFonts w:ascii="Arial" w:eastAsia="Arial" w:hAnsi="Arial" w:cs="Arial"/>
          <w:sz w:val="22"/>
          <w:szCs w:val="22"/>
        </w:rPr>
        <w:t>organisational</w:t>
      </w:r>
      <w:proofErr w:type="spellEnd"/>
      <w:r w:rsidR="00762876" w:rsidRPr="00D1345F">
        <w:rPr>
          <w:rFonts w:ascii="Arial" w:eastAsia="Arial" w:hAnsi="Arial" w:cs="Arial"/>
          <w:sz w:val="22"/>
          <w:szCs w:val="22"/>
        </w:rPr>
        <w:t xml:space="preserve"> levels (Berwick, 2013; Dixon-Woods et al., 2014). The Plan-Do-Check-Act (PDCA) cycle is another continuous cultural monitoring process recommended here (Deming, 1986). </w:t>
      </w:r>
      <w:r w:rsidR="006926B6" w:rsidRPr="00D1345F">
        <w:rPr>
          <w:rFonts w:ascii="Arial" w:eastAsia="Arial" w:hAnsi="Arial" w:cs="Arial"/>
          <w:sz w:val="22"/>
          <w:szCs w:val="22"/>
        </w:rPr>
        <w:t>The Plan phase outlines quantifiable indicators</w:t>
      </w:r>
      <w:r w:rsidR="00762876" w:rsidRPr="00D1345F">
        <w:rPr>
          <w:rFonts w:ascii="Arial" w:eastAsia="Arial" w:hAnsi="Arial" w:cs="Arial"/>
          <w:sz w:val="22"/>
          <w:szCs w:val="22"/>
        </w:rPr>
        <w:t xml:space="preserve"> </w:t>
      </w:r>
      <w:r w:rsidR="00762876" w:rsidRPr="00D1345F">
        <w:rPr>
          <w:rFonts w:ascii="Arial" w:eastAsia="Arial" w:hAnsi="Arial" w:cs="Arial"/>
          <w:sz w:val="22"/>
          <w:szCs w:val="22"/>
        </w:rPr>
        <w:lastRenderedPageBreak/>
        <w:t xml:space="preserve">of safety culture, such as staff survey findings, incidence rates, and near-miss reporting rates. </w:t>
      </w:r>
      <w:r w:rsidR="00334BE2" w:rsidRPr="00D1345F">
        <w:rPr>
          <w:rFonts w:ascii="Arial" w:eastAsia="Arial" w:hAnsi="Arial" w:cs="Arial"/>
          <w:sz w:val="22"/>
          <w:szCs w:val="22"/>
        </w:rPr>
        <w:t>The Do phase implements leadership development programmes</w:t>
      </w:r>
      <w:r w:rsidR="00762876" w:rsidRPr="00D1345F">
        <w:rPr>
          <w:rFonts w:ascii="Arial" w:eastAsia="Arial" w:hAnsi="Arial" w:cs="Arial"/>
          <w:sz w:val="22"/>
          <w:szCs w:val="22"/>
        </w:rPr>
        <w:t xml:space="preserve"> and reflective practice forums to strengthen safety values both within clinical and managerial teams. </w:t>
      </w:r>
      <w:r w:rsidR="005777E4" w:rsidRPr="00D1345F">
        <w:rPr>
          <w:rFonts w:ascii="Arial" w:eastAsia="Arial" w:hAnsi="Arial" w:cs="Arial"/>
          <w:sz w:val="22"/>
          <w:szCs w:val="22"/>
        </w:rPr>
        <w:t>The Check phase reviews whether cultural indicators</w:t>
      </w:r>
      <w:r w:rsidR="00762876" w:rsidRPr="00D1345F">
        <w:rPr>
          <w:rFonts w:ascii="Arial" w:eastAsia="Arial" w:hAnsi="Arial" w:cs="Arial"/>
          <w:sz w:val="22"/>
          <w:szCs w:val="22"/>
        </w:rPr>
        <w:t xml:space="preserve"> are showing successful improvements on baseline measures. The Act step modifies interventions in response to new evidence (Deming, 1986). Mannion and Davies (2018) warn that cultural change requires long-term executive and clinical leadership commitment and needs to be a sincere investment as opposed to performance compliance. Another weakness of PDCA is that there is a risk of the Check phase becoming self-referential without external control; thus, CQC inspection should be added as an additional accountability system (Care Quality Commission, 2023).</w:t>
      </w:r>
    </w:p>
    <w:p w14:paraId="16282A2B" w14:textId="77777777" w:rsidR="008F5A06" w:rsidRPr="00D1345F" w:rsidRDefault="0076107F" w:rsidP="00D1345F">
      <w:pPr>
        <w:pStyle w:val="Heading1"/>
        <w:jc w:val="both"/>
        <w:rPr>
          <w:sz w:val="22"/>
          <w:szCs w:val="22"/>
        </w:rPr>
      </w:pPr>
      <w:bookmarkStart w:id="11" w:name="_Toc226860685"/>
      <w:r w:rsidRPr="00D1345F">
        <w:rPr>
          <w:sz w:val="22"/>
          <w:szCs w:val="22"/>
        </w:rPr>
        <w:t>4. Conclusion</w:t>
      </w:r>
      <w:bookmarkEnd w:id="11"/>
    </w:p>
    <w:p w14:paraId="72271C69" w14:textId="44AB56E9" w:rsidR="003E12C4" w:rsidRPr="00D1345F" w:rsidRDefault="003E12C4"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 xml:space="preserve">The episode with Lucy Letby and the overall failure of the Countess of Chester Hospital system is one of the utmost breaches of quality assurance that has occurred within the NHS in recent history. This report has illustrated, using the critical Donabedian Model, the Fishbone Diagram, the 5 Whys methodological tool, and SWOT analysis, that the harm that occurred was not the result of the work of a single individual alone, but rather the result of the interplay of structural, procedural, and cultural failures across the </w:t>
      </w:r>
      <w:proofErr w:type="spellStart"/>
      <w:r w:rsidRPr="00D1345F">
        <w:rPr>
          <w:rFonts w:ascii="Arial" w:eastAsia="Arial" w:hAnsi="Arial" w:cs="Arial"/>
          <w:sz w:val="22"/>
          <w:szCs w:val="22"/>
        </w:rPr>
        <w:t>organisation</w:t>
      </w:r>
      <w:proofErr w:type="spellEnd"/>
      <w:r w:rsidRPr="00D1345F">
        <w:rPr>
          <w:rFonts w:ascii="Arial" w:eastAsia="Arial" w:hAnsi="Arial" w:cs="Arial"/>
          <w:sz w:val="22"/>
          <w:szCs w:val="22"/>
        </w:rPr>
        <w:t>.</w:t>
      </w:r>
    </w:p>
    <w:p w14:paraId="6179E7E5" w14:textId="3A804E56" w:rsidR="003E12C4" w:rsidRPr="00D1345F" w:rsidRDefault="003E12C4"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 xml:space="preserve">The Donabedian analysis showed severe flaws in all three dimensions of quality: Structure, Process and Outcome and multi-causal failures were found in staffing, escalation, policy, management and governance in the Fishbone Diagram. These failures were ultimately resolved to the root cause by the 5 Whys interrogation as they were driven by an </w:t>
      </w:r>
      <w:proofErr w:type="spellStart"/>
      <w:r w:rsidRPr="00D1345F">
        <w:rPr>
          <w:rFonts w:ascii="Arial" w:eastAsia="Arial" w:hAnsi="Arial" w:cs="Arial"/>
          <w:sz w:val="22"/>
          <w:szCs w:val="22"/>
        </w:rPr>
        <w:t>organisational</w:t>
      </w:r>
      <w:proofErr w:type="spellEnd"/>
      <w:r w:rsidRPr="00D1345F">
        <w:rPr>
          <w:rFonts w:ascii="Arial" w:eastAsia="Arial" w:hAnsi="Arial" w:cs="Arial"/>
          <w:sz w:val="22"/>
          <w:szCs w:val="22"/>
        </w:rPr>
        <w:t xml:space="preserve"> culture of leadership where psychological safety was not upheld, professional dissent was repressed, and the institutional reputation was valued more than the patients. The SWOT analysis also placed in context the major strategic issues that have to be </w:t>
      </w:r>
      <w:proofErr w:type="spellStart"/>
      <w:r w:rsidRPr="00D1345F">
        <w:rPr>
          <w:rFonts w:ascii="Arial" w:eastAsia="Arial" w:hAnsi="Arial" w:cs="Arial"/>
          <w:sz w:val="22"/>
          <w:szCs w:val="22"/>
        </w:rPr>
        <w:t>manoeuvred</w:t>
      </w:r>
      <w:proofErr w:type="spellEnd"/>
      <w:r w:rsidRPr="00D1345F">
        <w:rPr>
          <w:rFonts w:ascii="Arial" w:eastAsia="Arial" w:hAnsi="Arial" w:cs="Arial"/>
          <w:sz w:val="22"/>
          <w:szCs w:val="22"/>
        </w:rPr>
        <w:t xml:space="preserve"> in case long-term change is to be </w:t>
      </w:r>
      <w:proofErr w:type="spellStart"/>
      <w:r w:rsidRPr="00D1345F">
        <w:rPr>
          <w:rFonts w:ascii="Arial" w:eastAsia="Arial" w:hAnsi="Arial" w:cs="Arial"/>
          <w:sz w:val="22"/>
          <w:szCs w:val="22"/>
        </w:rPr>
        <w:t>realised</w:t>
      </w:r>
      <w:proofErr w:type="spellEnd"/>
      <w:r w:rsidRPr="00D1345F">
        <w:rPr>
          <w:rFonts w:ascii="Arial" w:eastAsia="Arial" w:hAnsi="Arial" w:cs="Arial"/>
          <w:sz w:val="22"/>
          <w:szCs w:val="22"/>
        </w:rPr>
        <w:t xml:space="preserve"> throughout NHS neonatal services.</w:t>
      </w:r>
    </w:p>
    <w:p w14:paraId="1CC230DB" w14:textId="2EC70469" w:rsidR="003E12C4" w:rsidRPr="00D1345F" w:rsidRDefault="003E12C4"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 xml:space="preserve">The four recommendations that are provided (enhancing clinical governance with PDSA, reforming the escalation culture with Lean, countering staffing variation with Six Sigma, and instilling the safety culture with PDCA) are a consistent and evidence-based approach to meaningful and sustainable service improvement. Importantly, to properly implement them, it will need more than just structural </w:t>
      </w:r>
      <w:proofErr w:type="spellStart"/>
      <w:r w:rsidRPr="00D1345F">
        <w:rPr>
          <w:rFonts w:ascii="Arial" w:eastAsia="Arial" w:hAnsi="Arial" w:cs="Arial"/>
          <w:sz w:val="22"/>
          <w:szCs w:val="22"/>
        </w:rPr>
        <w:t>reorganisation</w:t>
      </w:r>
      <w:proofErr w:type="spellEnd"/>
      <w:r w:rsidRPr="00D1345F">
        <w:rPr>
          <w:rFonts w:ascii="Arial" w:eastAsia="Arial" w:hAnsi="Arial" w:cs="Arial"/>
          <w:sz w:val="22"/>
          <w:szCs w:val="22"/>
        </w:rPr>
        <w:t xml:space="preserve"> but an actual cultural change and the way NHS organisations </w:t>
      </w:r>
      <w:proofErr w:type="spellStart"/>
      <w:r w:rsidRPr="00D1345F">
        <w:rPr>
          <w:rFonts w:ascii="Arial" w:eastAsia="Arial" w:hAnsi="Arial" w:cs="Arial"/>
          <w:sz w:val="22"/>
          <w:szCs w:val="22"/>
        </w:rPr>
        <w:t>conceptualise</w:t>
      </w:r>
      <w:proofErr w:type="spellEnd"/>
      <w:r w:rsidRPr="00D1345F">
        <w:rPr>
          <w:rFonts w:ascii="Arial" w:eastAsia="Arial" w:hAnsi="Arial" w:cs="Arial"/>
          <w:sz w:val="22"/>
          <w:szCs w:val="22"/>
        </w:rPr>
        <w:t xml:space="preserve"> leadership accountability, staff wellbeing, and patient safety (Berwick, 2013; Mannion and Davies, 2018).</w:t>
      </w:r>
    </w:p>
    <w:p w14:paraId="16282A2F" w14:textId="0BE95D90" w:rsidR="008F5A06" w:rsidRPr="00D1345F" w:rsidRDefault="00AC3A7F" w:rsidP="00D1345F">
      <w:pPr>
        <w:spacing w:after="160" w:line="360" w:lineRule="auto"/>
        <w:jc w:val="both"/>
        <w:rPr>
          <w:rFonts w:ascii="Arial" w:hAnsi="Arial" w:cs="Arial"/>
          <w:sz w:val="22"/>
          <w:szCs w:val="22"/>
        </w:rPr>
      </w:pPr>
      <w:r w:rsidRPr="00D1345F">
        <w:rPr>
          <w:rFonts w:ascii="Arial" w:eastAsia="Arial" w:hAnsi="Arial" w:cs="Arial"/>
          <w:sz w:val="22"/>
          <w:szCs w:val="22"/>
        </w:rPr>
        <w:lastRenderedPageBreak/>
        <w:t>The lessons of the Countess of Chester must not remain confined to a single institution. They have pressing implications regarding the practice of quality assurance in the whole spectrum of health and social care.</w:t>
      </w:r>
    </w:p>
    <w:p w14:paraId="16282A30" w14:textId="77777777" w:rsidR="008F5A06" w:rsidRPr="00D1345F" w:rsidRDefault="0076107F" w:rsidP="00D1345F">
      <w:pPr>
        <w:spacing w:line="360" w:lineRule="auto"/>
        <w:jc w:val="both"/>
        <w:rPr>
          <w:rFonts w:ascii="Arial" w:hAnsi="Arial" w:cs="Arial"/>
          <w:sz w:val="22"/>
          <w:szCs w:val="22"/>
        </w:rPr>
      </w:pPr>
      <w:r w:rsidRPr="00D1345F">
        <w:rPr>
          <w:rFonts w:ascii="Arial" w:hAnsi="Arial" w:cs="Arial"/>
          <w:sz w:val="22"/>
          <w:szCs w:val="22"/>
        </w:rPr>
        <w:br w:type="page"/>
      </w:r>
    </w:p>
    <w:p w14:paraId="16282A31" w14:textId="77777777" w:rsidR="008F5A06" w:rsidRPr="00D1345F" w:rsidRDefault="0076107F" w:rsidP="00D1345F">
      <w:pPr>
        <w:pStyle w:val="Heading1"/>
        <w:jc w:val="both"/>
        <w:rPr>
          <w:sz w:val="22"/>
          <w:szCs w:val="22"/>
        </w:rPr>
      </w:pPr>
      <w:bookmarkStart w:id="12" w:name="_Toc226860686"/>
      <w:r w:rsidRPr="00D1345F">
        <w:rPr>
          <w:sz w:val="22"/>
          <w:szCs w:val="22"/>
        </w:rPr>
        <w:lastRenderedPageBreak/>
        <w:t>References</w:t>
      </w:r>
      <w:bookmarkEnd w:id="12"/>
    </w:p>
    <w:p w14:paraId="1538C636" w14:textId="77777777"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Berwick, D. (2013) </w:t>
      </w:r>
      <w:r w:rsidRPr="00D1345F">
        <w:rPr>
          <w:rFonts w:ascii="Arial" w:eastAsia="Arial" w:hAnsi="Arial" w:cs="Arial"/>
          <w:i/>
          <w:iCs/>
          <w:sz w:val="22"/>
          <w:szCs w:val="22"/>
        </w:rPr>
        <w:t>A Promise to Learn — A Commitment to Act: Improving the Safety of Patients in England</w:t>
      </w:r>
      <w:r w:rsidRPr="00D1345F">
        <w:rPr>
          <w:rFonts w:ascii="Arial" w:eastAsia="Arial" w:hAnsi="Arial" w:cs="Arial"/>
          <w:sz w:val="22"/>
          <w:szCs w:val="22"/>
        </w:rPr>
        <w:t>. London: National Advisory Group on the Safety of Patients in England, Department of Health.</w:t>
      </w:r>
    </w:p>
    <w:p w14:paraId="3E18C130" w14:textId="3E02EC63"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Burke, C. and Conway, Y. (2023) 'Factors that influence hospital nurses' escalation of patient care in response to their early warning score: a qualitative evidence synthesis', </w:t>
      </w:r>
      <w:r w:rsidRPr="00D1345F">
        <w:rPr>
          <w:rFonts w:ascii="Arial" w:eastAsia="Arial" w:hAnsi="Arial" w:cs="Arial"/>
          <w:i/>
          <w:iCs/>
          <w:sz w:val="22"/>
          <w:szCs w:val="22"/>
        </w:rPr>
        <w:t>Journal of Clinical Nursing</w:t>
      </w:r>
      <w:r w:rsidRPr="00D1345F">
        <w:rPr>
          <w:rFonts w:ascii="Arial" w:eastAsia="Arial" w:hAnsi="Arial" w:cs="Arial"/>
          <w:sz w:val="22"/>
          <w:szCs w:val="22"/>
        </w:rPr>
        <w:t xml:space="preserve">, 32(9-10), pp. 1885-1934. </w:t>
      </w:r>
    </w:p>
    <w:p w14:paraId="56B8116C" w14:textId="77777777"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Care Quality Commission (2023) </w:t>
      </w:r>
      <w:r w:rsidRPr="00D1345F">
        <w:rPr>
          <w:rFonts w:ascii="Arial" w:eastAsia="Arial" w:hAnsi="Arial" w:cs="Arial"/>
          <w:i/>
          <w:iCs/>
          <w:sz w:val="22"/>
          <w:szCs w:val="22"/>
        </w:rPr>
        <w:t>State of Care 2022/23</w:t>
      </w:r>
      <w:r w:rsidRPr="00D1345F">
        <w:rPr>
          <w:rFonts w:ascii="Arial" w:eastAsia="Arial" w:hAnsi="Arial" w:cs="Arial"/>
          <w:sz w:val="22"/>
          <w:szCs w:val="22"/>
        </w:rPr>
        <w:t>. London: CQC.</w:t>
      </w:r>
    </w:p>
    <w:p w14:paraId="6E8144E8" w14:textId="77777777"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Deming, W.E. (1986) </w:t>
      </w:r>
      <w:r w:rsidRPr="00D1345F">
        <w:rPr>
          <w:rFonts w:ascii="Arial" w:eastAsia="Arial" w:hAnsi="Arial" w:cs="Arial"/>
          <w:i/>
          <w:iCs/>
          <w:sz w:val="22"/>
          <w:szCs w:val="22"/>
        </w:rPr>
        <w:t>Out of the Crisis</w:t>
      </w:r>
      <w:r w:rsidRPr="00D1345F">
        <w:rPr>
          <w:rFonts w:ascii="Arial" w:eastAsia="Arial" w:hAnsi="Arial" w:cs="Arial"/>
          <w:sz w:val="22"/>
          <w:szCs w:val="22"/>
        </w:rPr>
        <w:t>. Cambridge, MA: MIT Press.</w:t>
      </w:r>
    </w:p>
    <w:p w14:paraId="703D6EF7" w14:textId="113363F1"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 xml:space="preserve">Dixon-Woods, M., Baker, R., Charles, K., Dawson, J., </w:t>
      </w:r>
      <w:proofErr w:type="spellStart"/>
      <w:r w:rsidRPr="00D1345F">
        <w:rPr>
          <w:rFonts w:ascii="Arial" w:eastAsia="Arial" w:hAnsi="Arial" w:cs="Arial"/>
          <w:sz w:val="22"/>
          <w:szCs w:val="22"/>
        </w:rPr>
        <w:t>Jerzembek</w:t>
      </w:r>
      <w:proofErr w:type="spellEnd"/>
      <w:r w:rsidRPr="00D1345F">
        <w:rPr>
          <w:rFonts w:ascii="Arial" w:eastAsia="Arial" w:hAnsi="Arial" w:cs="Arial"/>
          <w:sz w:val="22"/>
          <w:szCs w:val="22"/>
        </w:rPr>
        <w:t xml:space="preserve">, G., Martin, G., McCarthy, I., McKee, L., Minion, J., </w:t>
      </w:r>
      <w:proofErr w:type="spellStart"/>
      <w:r w:rsidRPr="00D1345F">
        <w:rPr>
          <w:rFonts w:ascii="Arial" w:eastAsia="Arial" w:hAnsi="Arial" w:cs="Arial"/>
          <w:sz w:val="22"/>
          <w:szCs w:val="22"/>
        </w:rPr>
        <w:t>Ozieranski</w:t>
      </w:r>
      <w:proofErr w:type="spellEnd"/>
      <w:r w:rsidRPr="00D1345F">
        <w:rPr>
          <w:rFonts w:ascii="Arial" w:eastAsia="Arial" w:hAnsi="Arial" w:cs="Arial"/>
          <w:sz w:val="22"/>
          <w:szCs w:val="22"/>
        </w:rPr>
        <w:t>, P., Willars, J., Wilkie, P. and West, M. (2014) 'Culture and behaviour in the English National Health Service: overview of lessons from a large multimethod study', </w:t>
      </w:r>
      <w:r w:rsidRPr="00D1345F">
        <w:rPr>
          <w:rFonts w:ascii="Arial" w:eastAsia="Arial" w:hAnsi="Arial" w:cs="Arial"/>
          <w:i/>
          <w:iCs/>
          <w:sz w:val="22"/>
          <w:szCs w:val="22"/>
        </w:rPr>
        <w:t>BMJ Quality and Safety</w:t>
      </w:r>
      <w:r w:rsidRPr="00D1345F">
        <w:rPr>
          <w:rFonts w:ascii="Arial" w:eastAsia="Arial" w:hAnsi="Arial" w:cs="Arial"/>
          <w:sz w:val="22"/>
          <w:szCs w:val="22"/>
        </w:rPr>
        <w:t xml:space="preserve">, 23(2), pp. 106-115. </w:t>
      </w:r>
    </w:p>
    <w:p w14:paraId="7FD6EF24" w14:textId="21365FB8"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Donabedian, A. (1988) 'The quality of care: how can it be assessed?', </w:t>
      </w:r>
      <w:r w:rsidRPr="00D1345F">
        <w:rPr>
          <w:rFonts w:ascii="Arial" w:eastAsia="Arial" w:hAnsi="Arial" w:cs="Arial"/>
          <w:i/>
          <w:iCs/>
          <w:sz w:val="22"/>
          <w:szCs w:val="22"/>
        </w:rPr>
        <w:t>JAMA</w:t>
      </w:r>
      <w:r w:rsidRPr="00D1345F">
        <w:rPr>
          <w:rFonts w:ascii="Arial" w:eastAsia="Arial" w:hAnsi="Arial" w:cs="Arial"/>
          <w:sz w:val="22"/>
          <w:szCs w:val="22"/>
        </w:rPr>
        <w:t>, 260(12), pp. 1743-1748.</w:t>
      </w:r>
    </w:p>
    <w:p w14:paraId="73A12A31" w14:textId="77777777"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Edmondson, A.C. (2019) </w:t>
      </w:r>
      <w:r w:rsidRPr="00D1345F">
        <w:rPr>
          <w:rFonts w:ascii="Arial" w:eastAsia="Arial" w:hAnsi="Arial" w:cs="Arial"/>
          <w:i/>
          <w:iCs/>
          <w:sz w:val="22"/>
          <w:szCs w:val="22"/>
        </w:rPr>
        <w:t xml:space="preserve">The Fearless </w:t>
      </w:r>
      <w:proofErr w:type="spellStart"/>
      <w:r w:rsidRPr="00D1345F">
        <w:rPr>
          <w:rFonts w:ascii="Arial" w:eastAsia="Arial" w:hAnsi="Arial" w:cs="Arial"/>
          <w:i/>
          <w:iCs/>
          <w:sz w:val="22"/>
          <w:szCs w:val="22"/>
        </w:rPr>
        <w:t>Organisation</w:t>
      </w:r>
      <w:proofErr w:type="spellEnd"/>
      <w:r w:rsidRPr="00D1345F">
        <w:rPr>
          <w:rFonts w:ascii="Arial" w:eastAsia="Arial" w:hAnsi="Arial" w:cs="Arial"/>
          <w:i/>
          <w:iCs/>
          <w:sz w:val="22"/>
          <w:szCs w:val="22"/>
        </w:rPr>
        <w:t>: Creating Psychological Safety in the Workplace for Learning, Innovation, and Growth</w:t>
      </w:r>
      <w:r w:rsidRPr="00D1345F">
        <w:rPr>
          <w:rFonts w:ascii="Arial" w:eastAsia="Arial" w:hAnsi="Arial" w:cs="Arial"/>
          <w:sz w:val="22"/>
          <w:szCs w:val="22"/>
        </w:rPr>
        <w:t>. Hoboken: John Wiley and Sons.</w:t>
      </w:r>
    </w:p>
    <w:p w14:paraId="08DC8C38" w14:textId="77777777"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Francis, R. (2013) </w:t>
      </w:r>
      <w:r w:rsidRPr="00D1345F">
        <w:rPr>
          <w:rFonts w:ascii="Arial" w:eastAsia="Arial" w:hAnsi="Arial" w:cs="Arial"/>
          <w:i/>
          <w:iCs/>
          <w:sz w:val="22"/>
          <w:szCs w:val="22"/>
        </w:rPr>
        <w:t>Report of the Mid Staffordshire NHS Foundation Trust Public Inquiry</w:t>
      </w:r>
      <w:r w:rsidRPr="00D1345F">
        <w:rPr>
          <w:rFonts w:ascii="Arial" w:eastAsia="Arial" w:hAnsi="Arial" w:cs="Arial"/>
          <w:sz w:val="22"/>
          <w:szCs w:val="22"/>
        </w:rPr>
        <w:t>. London: The Stationery Office.</w:t>
      </w:r>
    </w:p>
    <w:p w14:paraId="0FFC01E9" w14:textId="77777777"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Healthcare Safety Investigation Branch (2023) </w:t>
      </w:r>
      <w:r w:rsidRPr="00D1345F">
        <w:rPr>
          <w:rFonts w:ascii="Arial" w:eastAsia="Arial" w:hAnsi="Arial" w:cs="Arial"/>
          <w:i/>
          <w:iCs/>
          <w:sz w:val="22"/>
          <w:szCs w:val="22"/>
        </w:rPr>
        <w:t>HSIB Annual Review 2022/23</w:t>
      </w:r>
      <w:r w:rsidRPr="00D1345F">
        <w:rPr>
          <w:rFonts w:ascii="Arial" w:eastAsia="Arial" w:hAnsi="Arial" w:cs="Arial"/>
          <w:sz w:val="22"/>
          <w:szCs w:val="22"/>
        </w:rPr>
        <w:t>. Farnborough: HSIB.</w:t>
      </w:r>
    </w:p>
    <w:p w14:paraId="51E1F8A6" w14:textId="77777777"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Hollnagel, E., Wears, R.L. and Braithwaite, J. (2015) </w:t>
      </w:r>
      <w:r w:rsidRPr="00D1345F">
        <w:rPr>
          <w:rFonts w:ascii="Arial" w:eastAsia="Arial" w:hAnsi="Arial" w:cs="Arial"/>
          <w:i/>
          <w:iCs/>
          <w:sz w:val="22"/>
          <w:szCs w:val="22"/>
        </w:rPr>
        <w:t>From Safety-I to Safety-II: A White Paper</w:t>
      </w:r>
      <w:r w:rsidRPr="00D1345F">
        <w:rPr>
          <w:rFonts w:ascii="Arial" w:eastAsia="Arial" w:hAnsi="Arial" w:cs="Arial"/>
          <w:sz w:val="22"/>
          <w:szCs w:val="22"/>
        </w:rPr>
        <w:t>. Odense: University of Southern Denmark.</w:t>
      </w:r>
    </w:p>
    <w:p w14:paraId="650CCA33" w14:textId="77777777"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Ishikawa, K. (1990) </w:t>
      </w:r>
      <w:r w:rsidRPr="00D1345F">
        <w:rPr>
          <w:rFonts w:ascii="Arial" w:eastAsia="Arial" w:hAnsi="Arial" w:cs="Arial"/>
          <w:i/>
          <w:iCs/>
          <w:sz w:val="22"/>
          <w:szCs w:val="22"/>
        </w:rPr>
        <w:t>Introduction to Quality Control</w:t>
      </w:r>
      <w:r w:rsidRPr="00D1345F">
        <w:rPr>
          <w:rFonts w:ascii="Arial" w:eastAsia="Arial" w:hAnsi="Arial" w:cs="Arial"/>
          <w:sz w:val="22"/>
          <w:szCs w:val="22"/>
        </w:rPr>
        <w:t>. Translated by J.H. Loftus. Tokyo: 3A Corporation.</w:t>
      </w:r>
    </w:p>
    <w:p w14:paraId="36B5F4D3" w14:textId="49B78A03"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Johnsen, A.T., Flink, C.E., Winther, K.P., Markussen, A.L.R., Lund, L., Pedersen, I., Rix, B.A. and Kehlet, K.H. (2022) 'Promoting health equity in the health-care system: how can we identify potentially vulnerable patients?', </w:t>
      </w:r>
      <w:r w:rsidRPr="00D1345F">
        <w:rPr>
          <w:rFonts w:ascii="Arial" w:eastAsia="Arial" w:hAnsi="Arial" w:cs="Arial"/>
          <w:i/>
          <w:iCs/>
          <w:sz w:val="22"/>
          <w:szCs w:val="22"/>
        </w:rPr>
        <w:t>Scandinavian Journal of Public Health</w:t>
      </w:r>
      <w:r w:rsidRPr="00D1345F">
        <w:rPr>
          <w:rFonts w:ascii="Arial" w:eastAsia="Arial" w:hAnsi="Arial" w:cs="Arial"/>
          <w:sz w:val="22"/>
          <w:szCs w:val="22"/>
        </w:rPr>
        <w:t>, 50(7), pp. 903-907.</w:t>
      </w:r>
    </w:p>
    <w:p w14:paraId="7D7E0483" w14:textId="77777777"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Kain, V. and Mannix, T. (eds) (2022) </w:t>
      </w:r>
      <w:r w:rsidRPr="00D1345F">
        <w:rPr>
          <w:rFonts w:ascii="Arial" w:eastAsia="Arial" w:hAnsi="Arial" w:cs="Arial"/>
          <w:i/>
          <w:iCs/>
          <w:sz w:val="22"/>
          <w:szCs w:val="22"/>
        </w:rPr>
        <w:t>Neonatal Care for Nurses and Midwives: Principles for Practice</w:t>
      </w:r>
      <w:r w:rsidRPr="00D1345F">
        <w:rPr>
          <w:rFonts w:ascii="Arial" w:eastAsia="Arial" w:hAnsi="Arial" w:cs="Arial"/>
          <w:sz w:val="22"/>
          <w:szCs w:val="22"/>
        </w:rPr>
        <w:t>. 2nd edn. Chatswood: Elsevier Australia.</w:t>
      </w:r>
    </w:p>
    <w:p w14:paraId="668008D4" w14:textId="77777777"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lastRenderedPageBreak/>
        <w:t>Kennedy, I. (2001) </w:t>
      </w:r>
      <w:r w:rsidRPr="00D1345F">
        <w:rPr>
          <w:rFonts w:ascii="Arial" w:eastAsia="Arial" w:hAnsi="Arial" w:cs="Arial"/>
          <w:i/>
          <w:iCs/>
          <w:sz w:val="22"/>
          <w:szCs w:val="22"/>
        </w:rPr>
        <w:t>Learning from Bristol: The Report of the Public Inquiry into Children's Heart Surgery at the Bristol Royal Infirmary 1984-1995</w:t>
      </w:r>
      <w:r w:rsidRPr="00D1345F">
        <w:rPr>
          <w:rFonts w:ascii="Arial" w:eastAsia="Arial" w:hAnsi="Arial" w:cs="Arial"/>
          <w:sz w:val="22"/>
          <w:szCs w:val="22"/>
        </w:rPr>
        <w:t>. London: The Stationery Office.</w:t>
      </w:r>
    </w:p>
    <w:p w14:paraId="58DF94F1" w14:textId="7B8DBD15"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Kohn, L.T., Corrigan, J.M. and Donaldson, M.S. (eds) (2000) </w:t>
      </w:r>
      <w:r w:rsidRPr="00D1345F">
        <w:rPr>
          <w:rFonts w:ascii="Arial" w:eastAsia="Arial" w:hAnsi="Arial" w:cs="Arial"/>
          <w:i/>
          <w:iCs/>
          <w:sz w:val="22"/>
          <w:szCs w:val="22"/>
        </w:rPr>
        <w:t>To Err is Human: Building a Safer Health System</w:t>
      </w:r>
      <w:r w:rsidRPr="00D1345F">
        <w:rPr>
          <w:rFonts w:ascii="Arial" w:eastAsia="Arial" w:hAnsi="Arial" w:cs="Arial"/>
          <w:sz w:val="22"/>
          <w:szCs w:val="22"/>
        </w:rPr>
        <w:t xml:space="preserve">. Washington, DC: National Academies Press. </w:t>
      </w:r>
    </w:p>
    <w:p w14:paraId="1461B8EC" w14:textId="77777777"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Langley, G.J., Moen, R.D., Nolan, K.M., Nolan, T.W., Norman, C.L. and Provost, L.P. (2009) </w:t>
      </w:r>
      <w:r w:rsidRPr="00D1345F">
        <w:rPr>
          <w:rFonts w:ascii="Arial" w:eastAsia="Arial" w:hAnsi="Arial" w:cs="Arial"/>
          <w:i/>
          <w:iCs/>
          <w:sz w:val="22"/>
          <w:szCs w:val="22"/>
        </w:rPr>
        <w:t>The Improvement Guide: A Practical Approach to Enhancing Organizational Performance</w:t>
      </w:r>
      <w:r w:rsidRPr="00D1345F">
        <w:rPr>
          <w:rFonts w:ascii="Arial" w:eastAsia="Arial" w:hAnsi="Arial" w:cs="Arial"/>
          <w:sz w:val="22"/>
          <w:szCs w:val="22"/>
        </w:rPr>
        <w:t>. 2nd edn. San Francisco: Jossey-Bass.</w:t>
      </w:r>
    </w:p>
    <w:p w14:paraId="03FFE146" w14:textId="1D2F7496"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Lawrence, F. and Conn, D. (2024) 'A superbug, doctor shortages and a neonatal unit out of its depth: failures at Lucy Letby hospital revealed', </w:t>
      </w:r>
      <w:r w:rsidRPr="00D1345F">
        <w:rPr>
          <w:rFonts w:ascii="Arial" w:eastAsia="Arial" w:hAnsi="Arial" w:cs="Arial"/>
          <w:i/>
          <w:iCs/>
          <w:sz w:val="22"/>
          <w:szCs w:val="22"/>
        </w:rPr>
        <w:t>The Guardian</w:t>
      </w:r>
      <w:r w:rsidRPr="00D1345F">
        <w:rPr>
          <w:rFonts w:ascii="Arial" w:eastAsia="Arial" w:hAnsi="Arial" w:cs="Arial"/>
          <w:sz w:val="22"/>
          <w:szCs w:val="22"/>
        </w:rPr>
        <w:t xml:space="preserve">, 8 September. </w:t>
      </w:r>
    </w:p>
    <w:p w14:paraId="0A71DC00" w14:textId="079BD91A"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 xml:space="preserve">Mannion, R. and Davies, H. (2018) 'Understanding </w:t>
      </w:r>
      <w:proofErr w:type="spellStart"/>
      <w:r w:rsidRPr="00D1345F">
        <w:rPr>
          <w:rFonts w:ascii="Arial" w:eastAsia="Arial" w:hAnsi="Arial" w:cs="Arial"/>
          <w:sz w:val="22"/>
          <w:szCs w:val="22"/>
        </w:rPr>
        <w:t>organisational</w:t>
      </w:r>
      <w:proofErr w:type="spellEnd"/>
      <w:r w:rsidRPr="00D1345F">
        <w:rPr>
          <w:rFonts w:ascii="Arial" w:eastAsia="Arial" w:hAnsi="Arial" w:cs="Arial"/>
          <w:sz w:val="22"/>
          <w:szCs w:val="22"/>
        </w:rPr>
        <w:t xml:space="preserve"> culture for healthcare quality improvement', </w:t>
      </w:r>
      <w:r w:rsidRPr="00D1345F">
        <w:rPr>
          <w:rFonts w:ascii="Arial" w:eastAsia="Arial" w:hAnsi="Arial" w:cs="Arial"/>
          <w:i/>
          <w:iCs/>
          <w:sz w:val="22"/>
          <w:szCs w:val="22"/>
        </w:rPr>
        <w:t>BMJ</w:t>
      </w:r>
      <w:r w:rsidRPr="00D1345F">
        <w:rPr>
          <w:rFonts w:ascii="Arial" w:eastAsia="Arial" w:hAnsi="Arial" w:cs="Arial"/>
          <w:sz w:val="22"/>
          <w:szCs w:val="22"/>
        </w:rPr>
        <w:t xml:space="preserve">, 363, k4907. </w:t>
      </w:r>
    </w:p>
    <w:p w14:paraId="4D11ADDD" w14:textId="77777777"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Montgomery, D.C. (2020) </w:t>
      </w:r>
      <w:r w:rsidRPr="00D1345F">
        <w:rPr>
          <w:rFonts w:ascii="Arial" w:eastAsia="Arial" w:hAnsi="Arial" w:cs="Arial"/>
          <w:i/>
          <w:iCs/>
          <w:sz w:val="22"/>
          <w:szCs w:val="22"/>
        </w:rPr>
        <w:t>Introduction to Statistical Quality Control</w:t>
      </w:r>
      <w:r w:rsidRPr="00D1345F">
        <w:rPr>
          <w:rFonts w:ascii="Arial" w:eastAsia="Arial" w:hAnsi="Arial" w:cs="Arial"/>
          <w:sz w:val="22"/>
          <w:szCs w:val="22"/>
        </w:rPr>
        <w:t>. 8th edn. Hoboken: Wiley.</w:t>
      </w:r>
    </w:p>
    <w:p w14:paraId="3A47C42A" w14:textId="77777777"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NHS England (2019) </w:t>
      </w:r>
      <w:r w:rsidRPr="00D1345F">
        <w:rPr>
          <w:rFonts w:ascii="Arial" w:eastAsia="Arial" w:hAnsi="Arial" w:cs="Arial"/>
          <w:i/>
          <w:iCs/>
          <w:sz w:val="22"/>
          <w:szCs w:val="22"/>
        </w:rPr>
        <w:t>The NHS Long Term Plan</w:t>
      </w:r>
      <w:r w:rsidRPr="00D1345F">
        <w:rPr>
          <w:rFonts w:ascii="Arial" w:eastAsia="Arial" w:hAnsi="Arial" w:cs="Arial"/>
          <w:sz w:val="22"/>
          <w:szCs w:val="22"/>
        </w:rPr>
        <w:t>. London: NHS England.</w:t>
      </w:r>
    </w:p>
    <w:p w14:paraId="6E3D40AB" w14:textId="77777777"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NHS England (2020) </w:t>
      </w:r>
      <w:r w:rsidRPr="00D1345F">
        <w:rPr>
          <w:rFonts w:ascii="Arial" w:eastAsia="Arial" w:hAnsi="Arial" w:cs="Arial"/>
          <w:i/>
          <w:iCs/>
          <w:sz w:val="22"/>
          <w:szCs w:val="22"/>
        </w:rPr>
        <w:t>We Are the NHS: People Plan 2020/21 — Action for Us All</w:t>
      </w:r>
      <w:r w:rsidRPr="00D1345F">
        <w:rPr>
          <w:rFonts w:ascii="Arial" w:eastAsia="Arial" w:hAnsi="Arial" w:cs="Arial"/>
          <w:sz w:val="22"/>
          <w:szCs w:val="22"/>
        </w:rPr>
        <w:t>. London: NHS England.</w:t>
      </w:r>
    </w:p>
    <w:p w14:paraId="3EE6CFEA" w14:textId="77777777"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NHS England (2022) </w:t>
      </w:r>
      <w:r w:rsidRPr="00D1345F">
        <w:rPr>
          <w:rFonts w:ascii="Arial" w:eastAsia="Arial" w:hAnsi="Arial" w:cs="Arial"/>
          <w:i/>
          <w:iCs/>
          <w:sz w:val="22"/>
          <w:szCs w:val="22"/>
        </w:rPr>
        <w:t>Patient Safety Incident Response Framework</w:t>
      </w:r>
      <w:r w:rsidRPr="00D1345F">
        <w:rPr>
          <w:rFonts w:ascii="Arial" w:eastAsia="Arial" w:hAnsi="Arial" w:cs="Arial"/>
          <w:sz w:val="22"/>
          <w:szCs w:val="22"/>
        </w:rPr>
        <w:t>. London: NHS England.</w:t>
      </w:r>
    </w:p>
    <w:p w14:paraId="37C31E26" w14:textId="77777777"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NHS England (2023) </w:t>
      </w:r>
      <w:r w:rsidRPr="00D1345F">
        <w:rPr>
          <w:rFonts w:ascii="Arial" w:eastAsia="Arial" w:hAnsi="Arial" w:cs="Arial"/>
          <w:i/>
          <w:iCs/>
          <w:sz w:val="22"/>
          <w:szCs w:val="22"/>
        </w:rPr>
        <w:t>NHS Workforce Statistics</w:t>
      </w:r>
      <w:r w:rsidRPr="00D1345F">
        <w:rPr>
          <w:rFonts w:ascii="Arial" w:eastAsia="Arial" w:hAnsi="Arial" w:cs="Arial"/>
          <w:sz w:val="22"/>
          <w:szCs w:val="22"/>
        </w:rPr>
        <w:t>. London: NHS England.</w:t>
      </w:r>
    </w:p>
    <w:p w14:paraId="53685EFC" w14:textId="77777777"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NHS England and NHS Improvement (2019) </w:t>
      </w:r>
      <w:r w:rsidRPr="00D1345F">
        <w:rPr>
          <w:rFonts w:ascii="Arial" w:eastAsia="Arial" w:hAnsi="Arial" w:cs="Arial"/>
          <w:i/>
          <w:iCs/>
          <w:sz w:val="22"/>
          <w:szCs w:val="22"/>
        </w:rPr>
        <w:t>The NHS Patient Safety Strategy: Safer Culture, Safer Systems, Safer Patients</w:t>
      </w:r>
      <w:r w:rsidRPr="00D1345F">
        <w:rPr>
          <w:rFonts w:ascii="Arial" w:eastAsia="Arial" w:hAnsi="Arial" w:cs="Arial"/>
          <w:sz w:val="22"/>
          <w:szCs w:val="22"/>
        </w:rPr>
        <w:t>. London: NHS England.</w:t>
      </w:r>
    </w:p>
    <w:p w14:paraId="024A4BCA" w14:textId="72874516" w:rsidR="007B4359" w:rsidRPr="00D1345F" w:rsidRDefault="007B4359" w:rsidP="00D1345F">
      <w:pPr>
        <w:spacing w:after="160" w:line="360" w:lineRule="auto"/>
        <w:jc w:val="both"/>
        <w:rPr>
          <w:rFonts w:ascii="Arial" w:eastAsia="Arial" w:hAnsi="Arial" w:cs="Arial"/>
          <w:sz w:val="22"/>
          <w:szCs w:val="22"/>
        </w:rPr>
      </w:pPr>
      <w:r w:rsidRPr="00336425">
        <w:rPr>
          <w:rFonts w:ascii="Arial" w:eastAsia="Arial" w:hAnsi="Arial" w:cs="Arial"/>
          <w:sz w:val="22"/>
          <w:szCs w:val="22"/>
        </w:rPr>
        <w:t>Ockenden, D. (2022) </w:t>
      </w:r>
      <w:proofErr w:type="spellStart"/>
      <w:r w:rsidRPr="00336425">
        <w:rPr>
          <w:rFonts w:ascii="Arial" w:eastAsia="Arial" w:hAnsi="Arial" w:cs="Arial"/>
          <w:i/>
          <w:iCs/>
          <w:sz w:val="22"/>
          <w:szCs w:val="22"/>
        </w:rPr>
        <w:t>Ockenden</w:t>
      </w:r>
      <w:proofErr w:type="spellEnd"/>
      <w:r w:rsidRPr="00336425">
        <w:rPr>
          <w:rFonts w:ascii="Arial" w:eastAsia="Arial" w:hAnsi="Arial" w:cs="Arial"/>
          <w:i/>
          <w:iCs/>
          <w:sz w:val="22"/>
          <w:szCs w:val="22"/>
        </w:rPr>
        <w:t xml:space="preserve"> Report – Final: findings, conclusions and essential actions from the Independent Review of Maternity Services at The Shrewsbury and Telford Hospital NHS Trust</w:t>
      </w:r>
      <w:r w:rsidRPr="00336425">
        <w:rPr>
          <w:rFonts w:ascii="Arial" w:eastAsia="Arial" w:hAnsi="Arial" w:cs="Arial"/>
          <w:sz w:val="22"/>
          <w:szCs w:val="22"/>
        </w:rPr>
        <w:t>. (HC 1219). London: The Stationery Office.</w:t>
      </w:r>
    </w:p>
    <w:p w14:paraId="2F5A99A7" w14:textId="77777777"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Ohno, T. (1988) </w:t>
      </w:r>
      <w:r w:rsidRPr="00D1345F">
        <w:rPr>
          <w:rFonts w:ascii="Arial" w:eastAsia="Arial" w:hAnsi="Arial" w:cs="Arial"/>
          <w:i/>
          <w:iCs/>
          <w:sz w:val="22"/>
          <w:szCs w:val="22"/>
        </w:rPr>
        <w:t>Toyota Production System: Beyond Large-Scale Production</w:t>
      </w:r>
      <w:r w:rsidRPr="00D1345F">
        <w:rPr>
          <w:rFonts w:ascii="Arial" w:eastAsia="Arial" w:hAnsi="Arial" w:cs="Arial"/>
          <w:sz w:val="22"/>
          <w:szCs w:val="22"/>
        </w:rPr>
        <w:t>. Cambridge, MA: Productivity Press.</w:t>
      </w:r>
    </w:p>
    <w:p w14:paraId="41C55956" w14:textId="00E46156"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Reason, J. (2000) 'Human error: models and management', </w:t>
      </w:r>
      <w:r w:rsidRPr="00D1345F">
        <w:rPr>
          <w:rFonts w:ascii="Arial" w:eastAsia="Arial" w:hAnsi="Arial" w:cs="Arial"/>
          <w:i/>
          <w:iCs/>
          <w:sz w:val="22"/>
          <w:szCs w:val="22"/>
        </w:rPr>
        <w:t>BMJ</w:t>
      </w:r>
      <w:r w:rsidRPr="00D1345F">
        <w:rPr>
          <w:rFonts w:ascii="Arial" w:eastAsia="Arial" w:hAnsi="Arial" w:cs="Arial"/>
          <w:sz w:val="22"/>
          <w:szCs w:val="22"/>
        </w:rPr>
        <w:t xml:space="preserve">, 320(7237), pp. 768-770. </w:t>
      </w:r>
    </w:p>
    <w:p w14:paraId="4B00FE86" w14:textId="77777777"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West, M., Eckert, R., Steward, K. and Pasmore, B. (2014) </w:t>
      </w:r>
      <w:r w:rsidRPr="00D1345F">
        <w:rPr>
          <w:rFonts w:ascii="Arial" w:eastAsia="Arial" w:hAnsi="Arial" w:cs="Arial"/>
          <w:i/>
          <w:iCs/>
          <w:sz w:val="22"/>
          <w:szCs w:val="22"/>
        </w:rPr>
        <w:t>Developing Collective Leadership for Health Care</w:t>
      </w:r>
      <w:r w:rsidRPr="00D1345F">
        <w:rPr>
          <w:rFonts w:ascii="Arial" w:eastAsia="Arial" w:hAnsi="Arial" w:cs="Arial"/>
          <w:sz w:val="22"/>
          <w:szCs w:val="22"/>
        </w:rPr>
        <w:t>. London: The King's Fund.</w:t>
      </w:r>
    </w:p>
    <w:p w14:paraId="0031430F" w14:textId="5476DE22" w:rsidR="00B63C29"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t>Wiegmann, D.A., Wood, L.J., Cohen, T.N. and Shappell, S.A. (2022) 'Understanding the Swiss Cheese Model and its application to patient safety', </w:t>
      </w:r>
      <w:r w:rsidRPr="00D1345F">
        <w:rPr>
          <w:rFonts w:ascii="Arial" w:eastAsia="Arial" w:hAnsi="Arial" w:cs="Arial"/>
          <w:i/>
          <w:iCs/>
          <w:sz w:val="22"/>
          <w:szCs w:val="22"/>
        </w:rPr>
        <w:t>Journal of Patient Safety</w:t>
      </w:r>
      <w:r w:rsidRPr="00D1345F">
        <w:rPr>
          <w:rFonts w:ascii="Arial" w:eastAsia="Arial" w:hAnsi="Arial" w:cs="Arial"/>
          <w:sz w:val="22"/>
          <w:szCs w:val="22"/>
        </w:rPr>
        <w:t xml:space="preserve">, 18(2), pp. 119-123. </w:t>
      </w:r>
    </w:p>
    <w:p w14:paraId="16282A4F" w14:textId="05C0DD51" w:rsidR="008F5A06" w:rsidRPr="00D1345F" w:rsidRDefault="00B63C29" w:rsidP="00D1345F">
      <w:pPr>
        <w:spacing w:after="160" w:line="360" w:lineRule="auto"/>
        <w:jc w:val="both"/>
        <w:rPr>
          <w:rFonts w:ascii="Arial" w:eastAsia="Arial" w:hAnsi="Arial" w:cs="Arial"/>
          <w:sz w:val="22"/>
          <w:szCs w:val="22"/>
        </w:rPr>
      </w:pPr>
      <w:r w:rsidRPr="00D1345F">
        <w:rPr>
          <w:rFonts w:ascii="Arial" w:eastAsia="Arial" w:hAnsi="Arial" w:cs="Arial"/>
          <w:sz w:val="22"/>
          <w:szCs w:val="22"/>
        </w:rPr>
        <w:lastRenderedPageBreak/>
        <w:t>Womack, J.P. and Jones, D.T. (2003) </w:t>
      </w:r>
      <w:r w:rsidRPr="00D1345F">
        <w:rPr>
          <w:rFonts w:ascii="Arial" w:eastAsia="Arial" w:hAnsi="Arial" w:cs="Arial"/>
          <w:i/>
          <w:iCs/>
          <w:sz w:val="22"/>
          <w:szCs w:val="22"/>
        </w:rPr>
        <w:t>Lean Thinking: Banish Waste and Create Wealth in Your Corporation</w:t>
      </w:r>
      <w:r w:rsidRPr="00D1345F">
        <w:rPr>
          <w:rFonts w:ascii="Arial" w:eastAsia="Arial" w:hAnsi="Arial" w:cs="Arial"/>
          <w:sz w:val="22"/>
          <w:szCs w:val="22"/>
        </w:rPr>
        <w:t>. 2nd edn. New York: Free Press.</w:t>
      </w:r>
    </w:p>
    <w:sectPr w:rsidR="008F5A06" w:rsidRPr="00D1345F">
      <w:footerReference w:type="default" r:id="rId14"/>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2EFE9C" w14:textId="77777777" w:rsidR="000F25E6" w:rsidRDefault="000F25E6" w:rsidP="00714CDD">
      <w:r>
        <w:separator/>
      </w:r>
    </w:p>
  </w:endnote>
  <w:endnote w:type="continuationSeparator" w:id="0">
    <w:p w14:paraId="28D221EF" w14:textId="77777777" w:rsidR="000F25E6" w:rsidRDefault="000F25E6" w:rsidP="00714C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7353830"/>
      <w:docPartObj>
        <w:docPartGallery w:val="Page Numbers (Bottom of Page)"/>
        <w:docPartUnique/>
      </w:docPartObj>
    </w:sdtPr>
    <w:sdtEndPr>
      <w:rPr>
        <w:noProof/>
      </w:rPr>
    </w:sdtEndPr>
    <w:sdtContent>
      <w:p w14:paraId="03D2C1D0" w14:textId="4B8FB553" w:rsidR="00714CDD" w:rsidRDefault="00714C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FF3C2C" w14:textId="77777777" w:rsidR="00714CDD" w:rsidRDefault="00714C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FD6839" w14:textId="77777777" w:rsidR="000F25E6" w:rsidRDefault="000F25E6" w:rsidP="00714CDD">
      <w:r>
        <w:separator/>
      </w:r>
    </w:p>
  </w:footnote>
  <w:footnote w:type="continuationSeparator" w:id="0">
    <w:p w14:paraId="6613C456" w14:textId="77777777" w:rsidR="000F25E6" w:rsidRDefault="000F25E6" w:rsidP="00714C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DA74BC"/>
    <w:multiLevelType w:val="hybridMultilevel"/>
    <w:tmpl w:val="9D86A0C2"/>
    <w:lvl w:ilvl="0" w:tplc="B476A306">
      <w:start w:val="1"/>
      <w:numFmt w:val="bullet"/>
      <w:lvlText w:val="●"/>
      <w:lvlJc w:val="left"/>
      <w:pPr>
        <w:ind w:left="720" w:hanging="360"/>
      </w:pPr>
    </w:lvl>
    <w:lvl w:ilvl="1" w:tplc="A92803BA">
      <w:start w:val="1"/>
      <w:numFmt w:val="bullet"/>
      <w:lvlText w:val="○"/>
      <w:lvlJc w:val="left"/>
      <w:pPr>
        <w:ind w:left="1440" w:hanging="360"/>
      </w:pPr>
    </w:lvl>
    <w:lvl w:ilvl="2" w:tplc="765E7240">
      <w:start w:val="1"/>
      <w:numFmt w:val="bullet"/>
      <w:lvlText w:val="■"/>
      <w:lvlJc w:val="left"/>
      <w:pPr>
        <w:ind w:left="2160" w:hanging="360"/>
      </w:pPr>
    </w:lvl>
    <w:lvl w:ilvl="3" w:tplc="9B688882">
      <w:start w:val="1"/>
      <w:numFmt w:val="bullet"/>
      <w:lvlText w:val="●"/>
      <w:lvlJc w:val="left"/>
      <w:pPr>
        <w:ind w:left="2880" w:hanging="360"/>
      </w:pPr>
    </w:lvl>
    <w:lvl w:ilvl="4" w:tplc="7EF4C8FE">
      <w:start w:val="1"/>
      <w:numFmt w:val="bullet"/>
      <w:lvlText w:val="○"/>
      <w:lvlJc w:val="left"/>
      <w:pPr>
        <w:ind w:left="3600" w:hanging="360"/>
      </w:pPr>
    </w:lvl>
    <w:lvl w:ilvl="5" w:tplc="4F1096C8">
      <w:start w:val="1"/>
      <w:numFmt w:val="bullet"/>
      <w:lvlText w:val="■"/>
      <w:lvlJc w:val="left"/>
      <w:pPr>
        <w:ind w:left="4320" w:hanging="360"/>
      </w:pPr>
    </w:lvl>
    <w:lvl w:ilvl="6" w:tplc="25D24C28">
      <w:start w:val="1"/>
      <w:numFmt w:val="bullet"/>
      <w:lvlText w:val="●"/>
      <w:lvlJc w:val="left"/>
      <w:pPr>
        <w:ind w:left="5040" w:hanging="360"/>
      </w:pPr>
    </w:lvl>
    <w:lvl w:ilvl="7" w:tplc="107EEF66">
      <w:start w:val="1"/>
      <w:numFmt w:val="bullet"/>
      <w:lvlText w:val="●"/>
      <w:lvlJc w:val="left"/>
      <w:pPr>
        <w:ind w:left="5760" w:hanging="360"/>
      </w:pPr>
    </w:lvl>
    <w:lvl w:ilvl="8" w:tplc="AAFAC3C8">
      <w:start w:val="1"/>
      <w:numFmt w:val="bullet"/>
      <w:lvlText w:val="●"/>
      <w:lvlJc w:val="left"/>
      <w:pPr>
        <w:ind w:left="6480" w:hanging="360"/>
      </w:pPr>
    </w:lvl>
  </w:abstractNum>
  <w:abstractNum w:abstractNumId="1" w15:restartNumberingAfterBreak="0">
    <w:nsid w:val="36093842"/>
    <w:multiLevelType w:val="hybridMultilevel"/>
    <w:tmpl w:val="E01AEE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686077">
    <w:abstractNumId w:val="0"/>
    <w:lvlOverride w:ilvl="0">
      <w:startOverride w:val="1"/>
    </w:lvlOverride>
  </w:num>
  <w:num w:numId="2" w16cid:durableId="16150125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5A06"/>
    <w:rsid w:val="00030D34"/>
    <w:rsid w:val="00030D4E"/>
    <w:rsid w:val="000342EC"/>
    <w:rsid w:val="00091F7A"/>
    <w:rsid w:val="000B14AF"/>
    <w:rsid w:val="000C7D61"/>
    <w:rsid w:val="000D60A9"/>
    <w:rsid w:val="000F25E6"/>
    <w:rsid w:val="001148E0"/>
    <w:rsid w:val="0012696B"/>
    <w:rsid w:val="0013064F"/>
    <w:rsid w:val="00164F50"/>
    <w:rsid w:val="00180FD5"/>
    <w:rsid w:val="00185A60"/>
    <w:rsid w:val="001A7715"/>
    <w:rsid w:val="001C443E"/>
    <w:rsid w:val="00211523"/>
    <w:rsid w:val="00216752"/>
    <w:rsid w:val="00255249"/>
    <w:rsid w:val="00260DAB"/>
    <w:rsid w:val="00294CD2"/>
    <w:rsid w:val="002A65FA"/>
    <w:rsid w:val="00302D8C"/>
    <w:rsid w:val="00317302"/>
    <w:rsid w:val="00334BE2"/>
    <w:rsid w:val="003358F7"/>
    <w:rsid w:val="00336425"/>
    <w:rsid w:val="00371F27"/>
    <w:rsid w:val="003810CF"/>
    <w:rsid w:val="003C3899"/>
    <w:rsid w:val="003E090F"/>
    <w:rsid w:val="003E12C4"/>
    <w:rsid w:val="00403FC8"/>
    <w:rsid w:val="004201B1"/>
    <w:rsid w:val="0043150B"/>
    <w:rsid w:val="00441210"/>
    <w:rsid w:val="00450495"/>
    <w:rsid w:val="00451667"/>
    <w:rsid w:val="00455D80"/>
    <w:rsid w:val="00462D9B"/>
    <w:rsid w:val="00476279"/>
    <w:rsid w:val="0048670A"/>
    <w:rsid w:val="004C27C2"/>
    <w:rsid w:val="004D38AD"/>
    <w:rsid w:val="00505D86"/>
    <w:rsid w:val="00517C81"/>
    <w:rsid w:val="0054770E"/>
    <w:rsid w:val="0055476A"/>
    <w:rsid w:val="00564849"/>
    <w:rsid w:val="00567EC2"/>
    <w:rsid w:val="00577576"/>
    <w:rsid w:val="005777E4"/>
    <w:rsid w:val="005A26B0"/>
    <w:rsid w:val="005B580C"/>
    <w:rsid w:val="005C3B05"/>
    <w:rsid w:val="005D2C61"/>
    <w:rsid w:val="0060552F"/>
    <w:rsid w:val="00617B46"/>
    <w:rsid w:val="00620731"/>
    <w:rsid w:val="006665AE"/>
    <w:rsid w:val="006926B6"/>
    <w:rsid w:val="006A2113"/>
    <w:rsid w:val="006D09DF"/>
    <w:rsid w:val="006F449C"/>
    <w:rsid w:val="00701EAA"/>
    <w:rsid w:val="00705429"/>
    <w:rsid w:val="007106D5"/>
    <w:rsid w:val="00714CDD"/>
    <w:rsid w:val="0072472D"/>
    <w:rsid w:val="00735C15"/>
    <w:rsid w:val="00737B3D"/>
    <w:rsid w:val="00754176"/>
    <w:rsid w:val="00754DAA"/>
    <w:rsid w:val="0076107F"/>
    <w:rsid w:val="00762876"/>
    <w:rsid w:val="00765BD5"/>
    <w:rsid w:val="00782D69"/>
    <w:rsid w:val="007967AD"/>
    <w:rsid w:val="007B4359"/>
    <w:rsid w:val="007B5B86"/>
    <w:rsid w:val="007C45C2"/>
    <w:rsid w:val="007D5F88"/>
    <w:rsid w:val="007F08A3"/>
    <w:rsid w:val="00801C24"/>
    <w:rsid w:val="00806C62"/>
    <w:rsid w:val="008220E2"/>
    <w:rsid w:val="00827F03"/>
    <w:rsid w:val="00863F85"/>
    <w:rsid w:val="008B0FDE"/>
    <w:rsid w:val="008D022F"/>
    <w:rsid w:val="008E6CE9"/>
    <w:rsid w:val="008F5A06"/>
    <w:rsid w:val="00917476"/>
    <w:rsid w:val="00924264"/>
    <w:rsid w:val="00941CEF"/>
    <w:rsid w:val="0094747E"/>
    <w:rsid w:val="00956231"/>
    <w:rsid w:val="009759D0"/>
    <w:rsid w:val="00977F07"/>
    <w:rsid w:val="00980F02"/>
    <w:rsid w:val="00981AF7"/>
    <w:rsid w:val="00995FD4"/>
    <w:rsid w:val="009E1B44"/>
    <w:rsid w:val="00A02CC0"/>
    <w:rsid w:val="00A417AB"/>
    <w:rsid w:val="00A4224A"/>
    <w:rsid w:val="00A72AAB"/>
    <w:rsid w:val="00AA6AFE"/>
    <w:rsid w:val="00AB11E0"/>
    <w:rsid w:val="00AC3A7F"/>
    <w:rsid w:val="00AC4AF8"/>
    <w:rsid w:val="00AC54A6"/>
    <w:rsid w:val="00AE1EB9"/>
    <w:rsid w:val="00B03723"/>
    <w:rsid w:val="00B266F7"/>
    <w:rsid w:val="00B34F66"/>
    <w:rsid w:val="00B637FD"/>
    <w:rsid w:val="00B63C29"/>
    <w:rsid w:val="00B90831"/>
    <w:rsid w:val="00BB6257"/>
    <w:rsid w:val="00BC2C75"/>
    <w:rsid w:val="00BC53F6"/>
    <w:rsid w:val="00C63067"/>
    <w:rsid w:val="00C67B81"/>
    <w:rsid w:val="00C7490F"/>
    <w:rsid w:val="00C77B03"/>
    <w:rsid w:val="00CB3058"/>
    <w:rsid w:val="00CB68A0"/>
    <w:rsid w:val="00CE671B"/>
    <w:rsid w:val="00CF43B1"/>
    <w:rsid w:val="00CF69E4"/>
    <w:rsid w:val="00D1317B"/>
    <w:rsid w:val="00D1345F"/>
    <w:rsid w:val="00D478EF"/>
    <w:rsid w:val="00D64A23"/>
    <w:rsid w:val="00D909AC"/>
    <w:rsid w:val="00DD0918"/>
    <w:rsid w:val="00E1215C"/>
    <w:rsid w:val="00E27979"/>
    <w:rsid w:val="00E4692B"/>
    <w:rsid w:val="00EB5F78"/>
    <w:rsid w:val="00ED5056"/>
    <w:rsid w:val="00EE1B7D"/>
    <w:rsid w:val="00EE4F14"/>
    <w:rsid w:val="00EE5D43"/>
    <w:rsid w:val="00EF3FA3"/>
    <w:rsid w:val="00F230F5"/>
    <w:rsid w:val="00F32582"/>
    <w:rsid w:val="00F347BF"/>
    <w:rsid w:val="00F60368"/>
    <w:rsid w:val="00F63F56"/>
    <w:rsid w:val="00F94280"/>
    <w:rsid w:val="00FC745C"/>
    <w:rsid w:val="00FD13D7"/>
    <w:rsid w:val="00FD7D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282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uiPriority w:val="9"/>
    <w:qFormat/>
    <w:rsid w:val="002A65FA"/>
    <w:pPr>
      <w:spacing w:before="320" w:after="160" w:line="360" w:lineRule="auto"/>
      <w:outlineLvl w:val="0"/>
    </w:pPr>
    <w:rPr>
      <w:rFonts w:ascii="Arial" w:eastAsia="Arial" w:hAnsi="Arial" w:cs="Arial"/>
      <w:b/>
      <w:bCs/>
      <w:sz w:val="24"/>
      <w:szCs w:val="24"/>
    </w:rPr>
  </w:style>
  <w:style w:type="paragraph" w:styleId="Heading2">
    <w:name w:val="heading 2"/>
    <w:basedOn w:val="Normal"/>
    <w:uiPriority w:val="9"/>
    <w:unhideWhenUsed/>
    <w:qFormat/>
    <w:rsid w:val="002A65FA"/>
    <w:pPr>
      <w:spacing w:after="160" w:line="360" w:lineRule="auto"/>
      <w:jc w:val="both"/>
      <w:outlineLvl w:val="1"/>
    </w:pPr>
    <w:rPr>
      <w:rFonts w:ascii="Arial" w:eastAsia="Arial" w:hAnsi="Arial" w:cs="Arial"/>
      <w:b/>
      <w:bCs/>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317302"/>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TOC1">
    <w:name w:val="toc 1"/>
    <w:basedOn w:val="Normal"/>
    <w:next w:val="Normal"/>
    <w:autoRedefine/>
    <w:uiPriority w:val="39"/>
    <w:unhideWhenUsed/>
    <w:rsid w:val="00317302"/>
    <w:pPr>
      <w:spacing w:after="100"/>
    </w:pPr>
  </w:style>
  <w:style w:type="paragraph" w:styleId="TOC2">
    <w:name w:val="toc 2"/>
    <w:basedOn w:val="Normal"/>
    <w:next w:val="Normal"/>
    <w:autoRedefine/>
    <w:uiPriority w:val="39"/>
    <w:unhideWhenUsed/>
    <w:rsid w:val="00317302"/>
    <w:pPr>
      <w:spacing w:after="100"/>
      <w:ind w:left="200"/>
    </w:pPr>
  </w:style>
  <w:style w:type="paragraph" w:styleId="Header">
    <w:name w:val="header"/>
    <w:basedOn w:val="Normal"/>
    <w:link w:val="HeaderChar"/>
    <w:uiPriority w:val="99"/>
    <w:unhideWhenUsed/>
    <w:rsid w:val="00714CDD"/>
    <w:pPr>
      <w:tabs>
        <w:tab w:val="center" w:pos="4680"/>
        <w:tab w:val="right" w:pos="9360"/>
      </w:tabs>
    </w:pPr>
  </w:style>
  <w:style w:type="character" w:customStyle="1" w:styleId="HeaderChar">
    <w:name w:val="Header Char"/>
    <w:basedOn w:val="DefaultParagraphFont"/>
    <w:link w:val="Header"/>
    <w:uiPriority w:val="99"/>
    <w:rsid w:val="00714CDD"/>
  </w:style>
  <w:style w:type="paragraph" w:styleId="Footer">
    <w:name w:val="footer"/>
    <w:basedOn w:val="Normal"/>
    <w:link w:val="FooterChar"/>
    <w:uiPriority w:val="99"/>
    <w:unhideWhenUsed/>
    <w:rsid w:val="00714CDD"/>
    <w:pPr>
      <w:tabs>
        <w:tab w:val="center" w:pos="4680"/>
        <w:tab w:val="right" w:pos="9360"/>
      </w:tabs>
    </w:pPr>
  </w:style>
  <w:style w:type="character" w:customStyle="1" w:styleId="FooterChar">
    <w:name w:val="Footer Char"/>
    <w:basedOn w:val="DefaultParagraphFont"/>
    <w:link w:val="Footer"/>
    <w:uiPriority w:val="99"/>
    <w:rsid w:val="00714C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313BBE-6D41-4316-85F0-256D588BFB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4057</Words>
  <Characters>23131</Characters>
  <Application>Microsoft Office Word</Application>
  <DocSecurity>0</DocSecurity>
  <Lines>192</Lines>
  <Paragraphs>54</Paragraphs>
  <ScaleCrop>false</ScaleCrop>
  <Company/>
  <LinksUpToDate>false</LinksUpToDate>
  <CharactersWithSpaces>27134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2026-04-12T21:48:00Z</dcterms:created>
  <dcterms:modified xsi:type="dcterms:W3CDTF">2026-04-12T21:48:00Z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6c64025e-553f-4cdc-ae04-be560cdc5365</vt:lpwstr>
  </property>
</Properties>
</file>