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B7239" w:rsidRDefault="000B7239">
      <w:pPr>
        <w:widowControl w:val="0"/>
        <w:pBdr>
          <w:top w:val="nil"/>
          <w:left w:val="nil"/>
          <w:bottom w:val="nil"/>
          <w:right w:val="nil"/>
          <w:between w:val="nil"/>
        </w:pBdr>
        <w:spacing w:after="0"/>
        <w:ind w:left="220"/>
        <w:jc w:val="both"/>
        <w:rPr>
          <w:color w:val="000000"/>
        </w:rPr>
      </w:pPr>
    </w:p>
    <w:p w:rsidR="000B7239" w:rsidRDefault="0063661A">
      <w:pPr>
        <w:widowControl w:val="0"/>
        <w:pBdr>
          <w:top w:val="nil"/>
          <w:left w:val="nil"/>
          <w:bottom w:val="nil"/>
          <w:right w:val="nil"/>
          <w:between w:val="nil"/>
        </w:pBdr>
        <w:spacing w:after="0"/>
        <w:ind w:left="220"/>
        <w:jc w:val="both"/>
        <w:rPr>
          <w:color w:val="000000"/>
        </w:rPr>
      </w:pPr>
      <w:r>
        <w:rPr>
          <w:noProof/>
          <w:color w:val="000000"/>
          <w:lang w:val="en-GB"/>
        </w:rPr>
        <w:drawing>
          <wp:inline distT="0" distB="0" distL="0" distR="0">
            <wp:extent cx="2967947" cy="1292732"/>
            <wp:effectExtent l="0" t="0" r="0" b="0"/>
            <wp:docPr id="1" name="image1.png" descr="UWTSD new Logo"/>
            <wp:cNvGraphicFramePr/>
            <a:graphic xmlns:a="http://schemas.openxmlformats.org/drawingml/2006/main">
              <a:graphicData uri="http://schemas.openxmlformats.org/drawingml/2006/picture">
                <pic:pic xmlns:pic="http://schemas.openxmlformats.org/drawingml/2006/picture">
                  <pic:nvPicPr>
                    <pic:cNvPr id="0" name="image1.png" descr="UWTSD new Logo"/>
                    <pic:cNvPicPr preferRelativeResize="0"/>
                  </pic:nvPicPr>
                  <pic:blipFill>
                    <a:blip r:embed="rId4"/>
                    <a:srcRect/>
                    <a:stretch>
                      <a:fillRect/>
                    </a:stretch>
                  </pic:blipFill>
                  <pic:spPr>
                    <a:xfrm>
                      <a:off x="0" y="0"/>
                      <a:ext cx="2967947" cy="1292732"/>
                    </a:xfrm>
                    <a:prstGeom prst="rect">
                      <a:avLst/>
                    </a:prstGeom>
                    <a:ln/>
                  </pic:spPr>
                </pic:pic>
              </a:graphicData>
            </a:graphic>
          </wp:inline>
        </w:drawing>
      </w:r>
    </w:p>
    <w:p w:rsidR="000B7239" w:rsidRDefault="000B7239">
      <w:pPr>
        <w:widowControl w:val="0"/>
        <w:pBdr>
          <w:top w:val="nil"/>
          <w:left w:val="nil"/>
          <w:bottom w:val="nil"/>
          <w:right w:val="nil"/>
          <w:between w:val="nil"/>
        </w:pBdr>
        <w:spacing w:after="0"/>
        <w:jc w:val="both"/>
        <w:rPr>
          <w:color w:val="000000"/>
        </w:rPr>
      </w:pPr>
    </w:p>
    <w:p w:rsidR="000B7239" w:rsidRDefault="000B7239">
      <w:pPr>
        <w:widowControl w:val="0"/>
        <w:pBdr>
          <w:top w:val="nil"/>
          <w:left w:val="nil"/>
          <w:bottom w:val="nil"/>
          <w:right w:val="nil"/>
          <w:between w:val="nil"/>
        </w:pBdr>
        <w:spacing w:after="0"/>
        <w:jc w:val="both"/>
        <w:rPr>
          <w:color w:val="000000"/>
        </w:rPr>
      </w:pPr>
    </w:p>
    <w:p w:rsidR="000B7239" w:rsidRDefault="000B7239">
      <w:pPr>
        <w:widowControl w:val="0"/>
        <w:pBdr>
          <w:top w:val="nil"/>
          <w:left w:val="nil"/>
          <w:bottom w:val="nil"/>
          <w:right w:val="nil"/>
          <w:between w:val="nil"/>
        </w:pBdr>
        <w:spacing w:before="4" w:after="0"/>
        <w:jc w:val="both"/>
        <w:rPr>
          <w:color w:val="000000"/>
        </w:rPr>
      </w:pPr>
    </w:p>
    <w:p w:rsidR="000B7239" w:rsidRDefault="000B7239">
      <w:pPr>
        <w:widowControl w:val="0"/>
        <w:pBdr>
          <w:top w:val="nil"/>
          <w:left w:val="nil"/>
          <w:bottom w:val="nil"/>
          <w:right w:val="nil"/>
          <w:between w:val="nil"/>
        </w:pBdr>
        <w:spacing w:after="0"/>
        <w:ind w:right="630"/>
        <w:jc w:val="both"/>
        <w:rPr>
          <w:b/>
          <w:color w:val="000000"/>
        </w:rPr>
      </w:pPr>
    </w:p>
    <w:p w:rsidR="000B7239" w:rsidRDefault="0063661A">
      <w:pPr>
        <w:spacing w:before="288"/>
        <w:ind w:right="630"/>
        <w:jc w:val="both"/>
        <w:rPr>
          <w:b/>
        </w:rPr>
      </w:pPr>
      <w:r>
        <w:rPr>
          <w:b/>
        </w:rPr>
        <w:t>BMIH5007</w:t>
      </w:r>
    </w:p>
    <w:p w:rsidR="000B7239" w:rsidRDefault="0063661A">
      <w:pPr>
        <w:spacing w:before="288"/>
        <w:ind w:right="630"/>
        <w:jc w:val="both"/>
        <w:rPr>
          <w:b/>
        </w:rPr>
      </w:pPr>
      <w:r>
        <w:rPr>
          <w:b/>
        </w:rPr>
        <w:t>Financial Management for the Hotel Industry</w:t>
      </w:r>
    </w:p>
    <w:p w:rsidR="000B7239" w:rsidRDefault="000B7239">
      <w:pPr>
        <w:spacing w:before="288"/>
        <w:ind w:right="630"/>
        <w:jc w:val="both"/>
        <w:rPr>
          <w:b/>
        </w:rPr>
      </w:pPr>
    </w:p>
    <w:p w:rsidR="000B7239" w:rsidRDefault="000B7239">
      <w:pPr>
        <w:spacing w:before="288"/>
        <w:ind w:right="630"/>
        <w:jc w:val="both"/>
        <w:rPr>
          <w:b/>
        </w:rPr>
      </w:pPr>
    </w:p>
    <w:p w:rsidR="000B7239" w:rsidRDefault="000B7239">
      <w:pPr>
        <w:spacing w:before="288"/>
        <w:ind w:right="630"/>
        <w:jc w:val="both"/>
        <w:rPr>
          <w:b/>
        </w:rPr>
      </w:pPr>
    </w:p>
    <w:p w:rsidR="000B7239" w:rsidRDefault="000B7239">
      <w:pPr>
        <w:spacing w:before="288"/>
        <w:ind w:right="630"/>
        <w:jc w:val="both"/>
        <w:rPr>
          <w:b/>
        </w:rPr>
      </w:pPr>
    </w:p>
    <w:p w:rsidR="000B7239" w:rsidRDefault="0063661A">
      <w:pPr>
        <w:spacing w:before="288"/>
        <w:ind w:right="630"/>
        <w:jc w:val="both"/>
        <w:rPr>
          <w:b/>
        </w:rPr>
      </w:pPr>
      <w:r>
        <w:rPr>
          <w:b/>
        </w:rPr>
        <w:t xml:space="preserve">STUDENT </w:t>
      </w:r>
      <w:r>
        <w:rPr>
          <w:b/>
        </w:rPr>
        <w:t xml:space="preserve">NAME: Alina </w:t>
      </w:r>
      <w:proofErr w:type="spellStart"/>
      <w:r>
        <w:rPr>
          <w:b/>
        </w:rPr>
        <w:t>Neagu</w:t>
      </w:r>
      <w:proofErr w:type="spellEnd"/>
    </w:p>
    <w:p w:rsidR="000B7239" w:rsidRDefault="0063661A">
      <w:pPr>
        <w:spacing w:before="288"/>
        <w:ind w:right="630"/>
        <w:jc w:val="both"/>
        <w:rPr>
          <w:b/>
        </w:rPr>
      </w:pPr>
      <w:r>
        <w:rPr>
          <w:b/>
        </w:rPr>
        <w:t xml:space="preserve">STUDENT </w:t>
      </w:r>
      <w:bookmarkStart w:id="0" w:name="_GoBack"/>
      <w:bookmarkEnd w:id="0"/>
      <w:r>
        <w:rPr>
          <w:b/>
        </w:rPr>
        <w:t>ID: 2121368</w:t>
      </w:r>
    </w:p>
    <w:p w:rsidR="000B7239" w:rsidRDefault="0063661A">
      <w:pPr>
        <w:jc w:val="both"/>
        <w:rPr>
          <w:b/>
          <w:color w:val="2F5496"/>
        </w:rPr>
      </w:pPr>
      <w:r>
        <w:br w:type="page"/>
      </w:r>
    </w:p>
    <w:p w:rsidR="000B7239" w:rsidRDefault="000B7239">
      <w:pPr>
        <w:jc w:val="both"/>
        <w:rPr>
          <w:b/>
          <w:color w:val="2F5496"/>
        </w:rPr>
      </w:pPr>
    </w:p>
    <w:p w:rsidR="000B7239" w:rsidRDefault="0063661A">
      <w:pPr>
        <w:pStyle w:val="Heading1"/>
      </w:pPr>
      <w:r>
        <w:t xml:space="preserve">Introduction </w:t>
      </w:r>
    </w:p>
    <w:p w:rsidR="000B7239" w:rsidRDefault="0063661A">
      <w:pPr>
        <w:jc w:val="both"/>
      </w:pPr>
      <w:r>
        <w:t>A successful business significantly depends on the financial management. Same in case of hotel sector, to become successful in the competitive market, financial management is very crucial to manage the whole system in a profitability manner. The main objec</w:t>
      </w:r>
      <w:r>
        <w:t>tive of this report is to compare the two leading and competitive hotel brands, Marriott and Hilton (</w:t>
      </w:r>
      <w:proofErr w:type="spellStart"/>
      <w:r>
        <w:t>Sampaio</w:t>
      </w:r>
      <w:proofErr w:type="spellEnd"/>
      <w:r>
        <w:t xml:space="preserve"> and </w:t>
      </w:r>
      <w:proofErr w:type="spellStart"/>
      <w:r>
        <w:t>Regio</w:t>
      </w:r>
      <w:proofErr w:type="spellEnd"/>
      <w:r>
        <w:t>, 2022). Marriott International franchises, operates and licenses hotel, residential, hotel, and other lodging properties across the world</w:t>
      </w:r>
      <w:r>
        <w:t>. The company has numerous operational units in the US, Canada, and other international segments. It has operational properties in 138 countries under different 30 brands globally. The company was established in 1927 and based in Bethesda, Maryland (Financ</w:t>
      </w:r>
      <w:r>
        <w:t xml:space="preserve">e, </w:t>
      </w:r>
      <w:proofErr w:type="spellStart"/>
      <w:r>
        <w:t>n.a</w:t>
      </w:r>
      <w:proofErr w:type="spellEnd"/>
      <w:r>
        <w:t xml:space="preserve">). </w:t>
      </w:r>
    </w:p>
    <w:p w:rsidR="000B7239" w:rsidRDefault="0063661A">
      <w:pPr>
        <w:jc w:val="both"/>
        <w:rPr>
          <w:color w:val="0563C1"/>
          <w:u w:val="single"/>
        </w:rPr>
      </w:pPr>
      <w:r>
        <w:t xml:space="preserve">Hilton Worldwide Holdings </w:t>
      </w:r>
      <w:proofErr w:type="spellStart"/>
      <w:r>
        <w:t>Inc</w:t>
      </w:r>
      <w:proofErr w:type="spellEnd"/>
      <w:r>
        <w:t xml:space="preserve"> is a hospitality company to engage in franchising, owing, managing, and leasing the resorts and hotels. Different sectors of management and franchises is the main sectors of its operation and revenue generation. It o</w:t>
      </w:r>
      <w:r>
        <w:t xml:space="preserve">perates in lifestyle hotels, service hotels, all suite-hotels, premium economy hotels, and luxury hotels globally. It was established in 1919 and is based in McLean, Virginia (finance, </w:t>
      </w:r>
      <w:proofErr w:type="spellStart"/>
      <w:r>
        <w:t>n.a</w:t>
      </w:r>
      <w:proofErr w:type="spellEnd"/>
      <w:r>
        <w:t xml:space="preserve">,). </w:t>
      </w:r>
    </w:p>
    <w:p w:rsidR="000B7239" w:rsidRDefault="0063661A">
      <w:pPr>
        <w:pStyle w:val="Heading1"/>
      </w:pPr>
      <w:r>
        <w:t>Total Revenue</w:t>
      </w:r>
    </w:p>
    <w:tbl>
      <w:tblPr>
        <w:tblStyle w:val="a"/>
        <w:tblW w:w="11226" w:type="dxa"/>
        <w:tblInd w:w="-99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276"/>
        <w:gridCol w:w="1064"/>
        <w:gridCol w:w="1064"/>
        <w:gridCol w:w="1060"/>
        <w:gridCol w:w="1212"/>
        <w:gridCol w:w="1060"/>
        <w:gridCol w:w="1215"/>
        <w:gridCol w:w="1060"/>
        <w:gridCol w:w="1215"/>
      </w:tblGrid>
      <w:tr w:rsidR="000B7239">
        <w:trPr>
          <w:trHeight w:val="317"/>
        </w:trPr>
        <w:tc>
          <w:tcPr>
            <w:tcW w:w="11226" w:type="dxa"/>
            <w:gridSpan w:val="9"/>
          </w:tcPr>
          <w:p w:rsidR="000B7239" w:rsidRDefault="0063661A">
            <w:pPr>
              <w:jc w:val="both"/>
            </w:pPr>
            <w:r>
              <w:t>Amount (in $ Millions)</w:t>
            </w:r>
          </w:p>
        </w:tc>
      </w:tr>
      <w:tr w:rsidR="000B7239">
        <w:trPr>
          <w:trHeight w:val="303"/>
        </w:trPr>
        <w:tc>
          <w:tcPr>
            <w:tcW w:w="2276" w:type="dxa"/>
            <w:vMerge w:val="restart"/>
          </w:tcPr>
          <w:p w:rsidR="000B7239" w:rsidRDefault="0063661A">
            <w:pPr>
              <w:jc w:val="both"/>
            </w:pPr>
            <w:r>
              <w:t>Revenue Growth</w:t>
            </w:r>
          </w:p>
        </w:tc>
        <w:tc>
          <w:tcPr>
            <w:tcW w:w="4400" w:type="dxa"/>
            <w:gridSpan w:val="4"/>
          </w:tcPr>
          <w:p w:rsidR="000B7239" w:rsidRDefault="0063661A">
            <w:pPr>
              <w:jc w:val="both"/>
            </w:pPr>
            <w:r>
              <w:t>Marriott</w:t>
            </w:r>
          </w:p>
        </w:tc>
        <w:tc>
          <w:tcPr>
            <w:tcW w:w="4550" w:type="dxa"/>
            <w:gridSpan w:val="4"/>
          </w:tcPr>
          <w:p w:rsidR="000B7239" w:rsidRDefault="0063661A">
            <w:pPr>
              <w:jc w:val="both"/>
            </w:pPr>
            <w:r>
              <w:t>Hilton</w:t>
            </w:r>
          </w:p>
        </w:tc>
      </w:tr>
      <w:tr w:rsidR="000B7239">
        <w:trPr>
          <w:trHeight w:val="303"/>
        </w:trPr>
        <w:tc>
          <w:tcPr>
            <w:tcW w:w="2276" w:type="dxa"/>
            <w:vMerge/>
          </w:tcPr>
          <w:p w:rsidR="000B7239" w:rsidRDefault="000B7239">
            <w:pPr>
              <w:widowControl w:val="0"/>
              <w:pBdr>
                <w:top w:val="nil"/>
                <w:left w:val="nil"/>
                <w:bottom w:val="nil"/>
                <w:right w:val="nil"/>
                <w:between w:val="nil"/>
              </w:pBdr>
              <w:spacing w:line="276" w:lineRule="auto"/>
            </w:pPr>
          </w:p>
        </w:tc>
        <w:tc>
          <w:tcPr>
            <w:tcW w:w="1064" w:type="dxa"/>
          </w:tcPr>
          <w:p w:rsidR="000B7239" w:rsidRDefault="0063661A">
            <w:pPr>
              <w:jc w:val="both"/>
            </w:pPr>
            <w:r>
              <w:t>FY 19</w:t>
            </w:r>
          </w:p>
        </w:tc>
        <w:tc>
          <w:tcPr>
            <w:tcW w:w="1064" w:type="dxa"/>
          </w:tcPr>
          <w:p w:rsidR="000B7239" w:rsidRDefault="0063661A">
            <w:pPr>
              <w:jc w:val="both"/>
            </w:pPr>
            <w:r>
              <w:t>FY 20</w:t>
            </w:r>
          </w:p>
        </w:tc>
        <w:tc>
          <w:tcPr>
            <w:tcW w:w="1060" w:type="dxa"/>
          </w:tcPr>
          <w:p w:rsidR="000B7239" w:rsidRDefault="0063661A">
            <w:pPr>
              <w:jc w:val="both"/>
            </w:pPr>
            <w:r>
              <w:t>FY 21</w:t>
            </w:r>
          </w:p>
        </w:tc>
        <w:tc>
          <w:tcPr>
            <w:tcW w:w="1212" w:type="dxa"/>
          </w:tcPr>
          <w:p w:rsidR="000B7239" w:rsidRDefault="0063661A">
            <w:pPr>
              <w:jc w:val="both"/>
            </w:pPr>
            <w:r>
              <w:t>FY 22</w:t>
            </w:r>
          </w:p>
        </w:tc>
        <w:tc>
          <w:tcPr>
            <w:tcW w:w="1060" w:type="dxa"/>
          </w:tcPr>
          <w:p w:rsidR="000B7239" w:rsidRDefault="0063661A">
            <w:pPr>
              <w:jc w:val="both"/>
            </w:pPr>
            <w:r>
              <w:t>FY 19</w:t>
            </w:r>
          </w:p>
        </w:tc>
        <w:tc>
          <w:tcPr>
            <w:tcW w:w="1215" w:type="dxa"/>
          </w:tcPr>
          <w:p w:rsidR="000B7239" w:rsidRDefault="0063661A">
            <w:pPr>
              <w:jc w:val="both"/>
            </w:pPr>
            <w:r>
              <w:t>FY 20</w:t>
            </w:r>
          </w:p>
        </w:tc>
        <w:tc>
          <w:tcPr>
            <w:tcW w:w="1060" w:type="dxa"/>
          </w:tcPr>
          <w:p w:rsidR="000B7239" w:rsidRDefault="0063661A">
            <w:pPr>
              <w:jc w:val="both"/>
            </w:pPr>
            <w:r>
              <w:t>FY 21</w:t>
            </w:r>
          </w:p>
        </w:tc>
        <w:tc>
          <w:tcPr>
            <w:tcW w:w="1215" w:type="dxa"/>
          </w:tcPr>
          <w:p w:rsidR="000B7239" w:rsidRDefault="0063661A">
            <w:pPr>
              <w:jc w:val="both"/>
            </w:pPr>
            <w:r>
              <w:t>FY 22</w:t>
            </w:r>
          </w:p>
        </w:tc>
      </w:tr>
      <w:tr w:rsidR="000B7239">
        <w:trPr>
          <w:trHeight w:val="303"/>
        </w:trPr>
        <w:tc>
          <w:tcPr>
            <w:tcW w:w="2276" w:type="dxa"/>
          </w:tcPr>
          <w:p w:rsidR="000B7239" w:rsidRDefault="0063661A">
            <w:pPr>
              <w:jc w:val="both"/>
            </w:pPr>
            <w:r>
              <w:t>Revenue</w:t>
            </w:r>
          </w:p>
        </w:tc>
        <w:tc>
          <w:tcPr>
            <w:tcW w:w="1064" w:type="dxa"/>
          </w:tcPr>
          <w:p w:rsidR="000B7239" w:rsidRDefault="0063661A">
            <w:pPr>
              <w:jc w:val="both"/>
            </w:pPr>
            <w:r>
              <w:t>20,972</w:t>
            </w:r>
          </w:p>
        </w:tc>
        <w:tc>
          <w:tcPr>
            <w:tcW w:w="1064" w:type="dxa"/>
          </w:tcPr>
          <w:p w:rsidR="000B7239" w:rsidRDefault="0063661A">
            <w:pPr>
              <w:jc w:val="both"/>
            </w:pPr>
            <w:r>
              <w:t xml:space="preserve">10,571 </w:t>
            </w:r>
          </w:p>
        </w:tc>
        <w:tc>
          <w:tcPr>
            <w:tcW w:w="1060" w:type="dxa"/>
          </w:tcPr>
          <w:p w:rsidR="000B7239" w:rsidRDefault="0063661A">
            <w:pPr>
              <w:jc w:val="both"/>
            </w:pPr>
            <w:r>
              <w:t xml:space="preserve"> 13,857 </w:t>
            </w:r>
          </w:p>
        </w:tc>
        <w:tc>
          <w:tcPr>
            <w:tcW w:w="1212" w:type="dxa"/>
          </w:tcPr>
          <w:p w:rsidR="000B7239" w:rsidRDefault="0063661A">
            <w:pPr>
              <w:jc w:val="both"/>
            </w:pPr>
            <w:r>
              <w:t xml:space="preserve">20,773 </w:t>
            </w:r>
          </w:p>
        </w:tc>
        <w:tc>
          <w:tcPr>
            <w:tcW w:w="1060" w:type="dxa"/>
          </w:tcPr>
          <w:p w:rsidR="000B7239" w:rsidRDefault="0063661A">
            <w:pPr>
              <w:jc w:val="both"/>
            </w:pPr>
            <w:r>
              <w:t>9,452</w:t>
            </w:r>
          </w:p>
        </w:tc>
        <w:tc>
          <w:tcPr>
            <w:tcW w:w="1215" w:type="dxa"/>
          </w:tcPr>
          <w:p w:rsidR="000B7239" w:rsidRDefault="0063661A">
            <w:pPr>
              <w:jc w:val="both"/>
            </w:pPr>
            <w:r>
              <w:t xml:space="preserve">4,307 </w:t>
            </w:r>
          </w:p>
        </w:tc>
        <w:tc>
          <w:tcPr>
            <w:tcW w:w="1060" w:type="dxa"/>
          </w:tcPr>
          <w:p w:rsidR="000B7239" w:rsidRDefault="0063661A">
            <w:pPr>
              <w:jc w:val="both"/>
            </w:pPr>
            <w:r>
              <w:t xml:space="preserve">5,788 </w:t>
            </w:r>
          </w:p>
        </w:tc>
        <w:tc>
          <w:tcPr>
            <w:tcW w:w="1215" w:type="dxa"/>
          </w:tcPr>
          <w:p w:rsidR="000B7239" w:rsidRDefault="0063661A">
            <w:pPr>
              <w:jc w:val="both"/>
            </w:pPr>
            <w:r>
              <w:t xml:space="preserve">8,773 </w:t>
            </w:r>
          </w:p>
        </w:tc>
      </w:tr>
      <w:tr w:rsidR="000B7239">
        <w:trPr>
          <w:trHeight w:val="422"/>
        </w:trPr>
        <w:tc>
          <w:tcPr>
            <w:tcW w:w="2276" w:type="dxa"/>
          </w:tcPr>
          <w:p w:rsidR="000B7239" w:rsidRDefault="0063661A">
            <w:pPr>
              <w:jc w:val="both"/>
            </w:pPr>
            <w:r>
              <w:t>Growth in Revenue (%)</w:t>
            </w:r>
          </w:p>
        </w:tc>
        <w:tc>
          <w:tcPr>
            <w:tcW w:w="1064" w:type="dxa"/>
          </w:tcPr>
          <w:p w:rsidR="000B7239" w:rsidRDefault="0063661A">
            <w:pPr>
              <w:jc w:val="both"/>
            </w:pPr>
            <w:r>
              <w:t> </w:t>
            </w:r>
          </w:p>
        </w:tc>
        <w:tc>
          <w:tcPr>
            <w:tcW w:w="1064" w:type="dxa"/>
          </w:tcPr>
          <w:p w:rsidR="000B7239" w:rsidRDefault="0063661A">
            <w:pPr>
              <w:jc w:val="both"/>
            </w:pPr>
            <w:r>
              <w:t>-49.6%</w:t>
            </w:r>
          </w:p>
        </w:tc>
        <w:tc>
          <w:tcPr>
            <w:tcW w:w="1060" w:type="dxa"/>
          </w:tcPr>
          <w:p w:rsidR="000B7239" w:rsidRDefault="0063661A">
            <w:pPr>
              <w:jc w:val="both"/>
            </w:pPr>
            <w:r>
              <w:t>31.1%</w:t>
            </w:r>
          </w:p>
        </w:tc>
        <w:tc>
          <w:tcPr>
            <w:tcW w:w="1212" w:type="dxa"/>
          </w:tcPr>
          <w:p w:rsidR="000B7239" w:rsidRDefault="0063661A">
            <w:pPr>
              <w:jc w:val="both"/>
            </w:pPr>
            <w:r>
              <w:t>49.9%</w:t>
            </w:r>
          </w:p>
        </w:tc>
        <w:tc>
          <w:tcPr>
            <w:tcW w:w="1060" w:type="dxa"/>
          </w:tcPr>
          <w:p w:rsidR="000B7239" w:rsidRDefault="0063661A">
            <w:pPr>
              <w:jc w:val="both"/>
            </w:pPr>
            <w:r>
              <w:t> </w:t>
            </w:r>
          </w:p>
        </w:tc>
        <w:tc>
          <w:tcPr>
            <w:tcW w:w="1215" w:type="dxa"/>
          </w:tcPr>
          <w:p w:rsidR="000B7239" w:rsidRDefault="0063661A">
            <w:pPr>
              <w:jc w:val="both"/>
            </w:pPr>
            <w:r>
              <w:t>-54.4%</w:t>
            </w:r>
          </w:p>
        </w:tc>
        <w:tc>
          <w:tcPr>
            <w:tcW w:w="1060" w:type="dxa"/>
          </w:tcPr>
          <w:p w:rsidR="000B7239" w:rsidRDefault="0063661A">
            <w:pPr>
              <w:jc w:val="both"/>
            </w:pPr>
            <w:r>
              <w:t>34.4%</w:t>
            </w:r>
          </w:p>
        </w:tc>
        <w:tc>
          <w:tcPr>
            <w:tcW w:w="1215" w:type="dxa"/>
          </w:tcPr>
          <w:p w:rsidR="000B7239" w:rsidRDefault="0063661A">
            <w:pPr>
              <w:jc w:val="both"/>
            </w:pPr>
            <w:r>
              <w:t>51.6%</w:t>
            </w:r>
          </w:p>
        </w:tc>
      </w:tr>
    </w:tbl>
    <w:p w:rsidR="000B7239" w:rsidRDefault="000B7239">
      <w:pPr>
        <w:jc w:val="both"/>
      </w:pPr>
    </w:p>
    <w:p w:rsidR="000B7239" w:rsidRDefault="0063661A">
      <w:pPr>
        <w:jc w:val="both"/>
        <w:rPr>
          <w:highlight w:val="white"/>
        </w:rPr>
      </w:pPr>
      <w:r>
        <w:rPr>
          <w:highlight w:val="white"/>
        </w:rPr>
        <w:t>Hilton Worldwide Holdings Inx approximately generated 8.77B $ in revenue in the year 2022 with pan increase of 5.79B $ from the previous year. The total reduction in revenue was due to the Coronavirus pandemic and it also forced many of the Hilton Worldwid</w:t>
      </w:r>
      <w:r>
        <w:rPr>
          <w:highlight w:val="white"/>
        </w:rPr>
        <w:t>e Holdings globally to shut down in order to control the spread of the corona virus infection (</w:t>
      </w:r>
      <w:proofErr w:type="spellStart"/>
      <w:r>
        <w:rPr>
          <w:highlight w:val="white"/>
        </w:rPr>
        <w:t>statista</w:t>
      </w:r>
      <w:proofErr w:type="spellEnd"/>
      <w:r>
        <w:rPr>
          <w:highlight w:val="white"/>
        </w:rPr>
        <w:t>, 2023)</w:t>
      </w:r>
    </w:p>
    <w:p w:rsidR="000B7239" w:rsidRDefault="0063661A">
      <w:pPr>
        <w:jc w:val="both"/>
      </w:pPr>
      <w:r>
        <w:t>Hilton once again opened 108 new hotels in the fourth quarter of 2022, accommodated more than 17,700 hotel rooms to the Hilton’s system to achiev</w:t>
      </w:r>
      <w:r>
        <w:t xml:space="preserve">e the expected unit growth of 15,100 rooms. </w:t>
      </w:r>
      <w:r>
        <w:lastRenderedPageBreak/>
        <w:t xml:space="preserve">The Hilton Holding also opened new 355 hotels with approximately 58,200 rooms and generated 48,300 unit growth of rooms (Brown </w:t>
      </w:r>
      <w:r>
        <w:rPr>
          <w:i/>
        </w:rPr>
        <w:t>et al</w:t>
      </w:r>
      <w:r>
        <w:t>., 2021). During the fourth quarter, Hilton also achieved its unit growth with o</w:t>
      </w:r>
      <w:r>
        <w:t>pening of 60,000</w:t>
      </w:r>
      <w:r>
        <w:rPr>
          <w:vertAlign w:val="superscript"/>
        </w:rPr>
        <w:t>th</w:t>
      </w:r>
      <w:r>
        <w:t xml:space="preserve"> room in Home2 Suites and 150,000</w:t>
      </w:r>
      <w:r>
        <w:rPr>
          <w:vertAlign w:val="superscript"/>
        </w:rPr>
        <w:t>th</w:t>
      </w:r>
      <w:r>
        <w:t xml:space="preserve"> room under the project of </w:t>
      </w:r>
      <w:proofErr w:type="spellStart"/>
      <w:r>
        <w:t>DoubleTree</w:t>
      </w:r>
      <w:proofErr w:type="spellEnd"/>
      <w:r>
        <w:t xml:space="preserve"> by Hilton Brand. During fourth quarter, the company of Hilton also opened Waldorf Astoria Cancun and establishing its 200</w:t>
      </w:r>
      <w:r>
        <w:rPr>
          <w:vertAlign w:val="superscript"/>
        </w:rPr>
        <w:t>th</w:t>
      </w:r>
      <w:r>
        <w:t xml:space="preserve"> hotel in the Latin American and Caribbean</w:t>
      </w:r>
      <w:r>
        <w:t xml:space="preserve"> region (</w:t>
      </w:r>
      <w:proofErr w:type="spellStart"/>
      <w:r>
        <w:t>businesswire</w:t>
      </w:r>
      <w:proofErr w:type="spellEnd"/>
      <w:r>
        <w:t>, 2023).</w:t>
      </w:r>
    </w:p>
    <w:p w:rsidR="000B7239" w:rsidRDefault="0063661A">
      <w:pPr>
        <w:jc w:val="both"/>
      </w:pPr>
      <w:r>
        <w:t xml:space="preserve">Marriott International generated 20.77B $ in 2022, 13.86B$ from the previous year. In 2020, the company revenue dropped by half in 2020 in advent of coronavirus pandemic. Marriott International in 2021 was the leading company </w:t>
      </w:r>
      <w:r>
        <w:t>of hotel worldwide as ranking ahead of the other competitive hotel chains such as MGM Resorts International, Hilton, and Caesars Entertainment etc. Marriott international holdings also accounted for over seven and half thousand hotels across the world in 2</w:t>
      </w:r>
      <w:r>
        <w:t>021 (</w:t>
      </w:r>
      <w:proofErr w:type="spellStart"/>
      <w:r>
        <w:t>statista</w:t>
      </w:r>
      <w:proofErr w:type="spellEnd"/>
      <w:r>
        <w:t>, 2023a).</w:t>
      </w:r>
    </w:p>
    <w:p w:rsidR="000B7239" w:rsidRDefault="0063661A">
      <w:pPr>
        <w:jc w:val="both"/>
      </w:pPr>
      <w:r>
        <w:t>In the fourth quarter of 2022, the company of Hilton International Holding accommodated 145 properties of 22,589 rooms to its globally oriented 6900 converted rooms and 16,700 rooms in international market. 4,484 rooms were exited as</w:t>
      </w:r>
      <w:r>
        <w:t xml:space="preserve"> eighteen properties were recreated in the fourth quarter of 2022 to generate more annual revenue at the last of the year. Marriott lodging system has a total of 8300 properties and 1,525,000 rooms in the Marriott Hotel </w:t>
      </w:r>
      <w:proofErr w:type="spellStart"/>
      <w:r>
        <w:t>Inc</w:t>
      </w:r>
      <w:proofErr w:type="spellEnd"/>
      <w:r>
        <w:t xml:space="preserve"> globally (</w:t>
      </w:r>
      <w:proofErr w:type="spellStart"/>
      <w:r>
        <w:t>prnewswire</w:t>
      </w:r>
      <w:proofErr w:type="spellEnd"/>
      <w:r>
        <w:t>, 2023).</w:t>
      </w:r>
    </w:p>
    <w:p w:rsidR="000B7239" w:rsidRDefault="0063661A">
      <w:pPr>
        <w:pStyle w:val="Heading1"/>
      </w:pPr>
      <w:r>
        <w:t>Mar</w:t>
      </w:r>
      <w:r>
        <w:t xml:space="preserve">ket position </w:t>
      </w:r>
    </w:p>
    <w:tbl>
      <w:tblPr>
        <w:tblStyle w:val="a0"/>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681"/>
        <w:gridCol w:w="1417"/>
        <w:gridCol w:w="1417"/>
        <w:gridCol w:w="1277"/>
        <w:gridCol w:w="1558"/>
      </w:tblGrid>
      <w:tr w:rsidR="000B7239">
        <w:trPr>
          <w:trHeight w:val="509"/>
        </w:trPr>
        <w:tc>
          <w:tcPr>
            <w:tcW w:w="3681" w:type="dxa"/>
          </w:tcPr>
          <w:p w:rsidR="000B7239" w:rsidRDefault="0063661A">
            <w:pPr>
              <w:jc w:val="both"/>
              <w:rPr>
                <w:b/>
              </w:rPr>
            </w:pPr>
            <w:r>
              <w:rPr>
                <w:b/>
              </w:rPr>
              <w:t>EPS %</w:t>
            </w:r>
          </w:p>
        </w:tc>
        <w:tc>
          <w:tcPr>
            <w:tcW w:w="2834" w:type="dxa"/>
            <w:gridSpan w:val="2"/>
          </w:tcPr>
          <w:p w:rsidR="000B7239" w:rsidRDefault="0063661A">
            <w:pPr>
              <w:jc w:val="both"/>
              <w:rPr>
                <w:b/>
              </w:rPr>
            </w:pPr>
            <w:r>
              <w:rPr>
                <w:b/>
              </w:rPr>
              <w:t>Hilton</w:t>
            </w:r>
          </w:p>
        </w:tc>
        <w:tc>
          <w:tcPr>
            <w:tcW w:w="2835" w:type="dxa"/>
            <w:gridSpan w:val="2"/>
          </w:tcPr>
          <w:p w:rsidR="000B7239" w:rsidRDefault="0063661A">
            <w:pPr>
              <w:jc w:val="both"/>
              <w:rPr>
                <w:b/>
              </w:rPr>
            </w:pPr>
            <w:r>
              <w:rPr>
                <w:b/>
              </w:rPr>
              <w:t>Marriott</w:t>
            </w:r>
          </w:p>
        </w:tc>
      </w:tr>
      <w:tr w:rsidR="000B7239">
        <w:trPr>
          <w:trHeight w:val="509"/>
        </w:trPr>
        <w:tc>
          <w:tcPr>
            <w:tcW w:w="3681" w:type="dxa"/>
          </w:tcPr>
          <w:p w:rsidR="000B7239" w:rsidRDefault="000B7239">
            <w:pPr>
              <w:jc w:val="both"/>
            </w:pPr>
          </w:p>
        </w:tc>
        <w:tc>
          <w:tcPr>
            <w:tcW w:w="1417" w:type="dxa"/>
          </w:tcPr>
          <w:p w:rsidR="000B7239" w:rsidRDefault="0063661A">
            <w:pPr>
              <w:jc w:val="both"/>
            </w:pPr>
            <w:r>
              <w:t>2021-12</w:t>
            </w:r>
          </w:p>
        </w:tc>
        <w:tc>
          <w:tcPr>
            <w:tcW w:w="1417" w:type="dxa"/>
          </w:tcPr>
          <w:p w:rsidR="000B7239" w:rsidRDefault="0063661A">
            <w:pPr>
              <w:jc w:val="both"/>
            </w:pPr>
            <w:r>
              <w:t>2022-12</w:t>
            </w:r>
          </w:p>
        </w:tc>
        <w:tc>
          <w:tcPr>
            <w:tcW w:w="1277" w:type="dxa"/>
          </w:tcPr>
          <w:p w:rsidR="000B7239" w:rsidRDefault="0063661A">
            <w:pPr>
              <w:jc w:val="both"/>
            </w:pPr>
            <w:r>
              <w:t>2021-12</w:t>
            </w:r>
          </w:p>
        </w:tc>
        <w:tc>
          <w:tcPr>
            <w:tcW w:w="1558" w:type="dxa"/>
          </w:tcPr>
          <w:p w:rsidR="000B7239" w:rsidRDefault="0063661A">
            <w:pPr>
              <w:jc w:val="both"/>
            </w:pPr>
            <w:r>
              <w:t>2022-12</w:t>
            </w:r>
          </w:p>
        </w:tc>
      </w:tr>
      <w:tr w:rsidR="000B7239">
        <w:trPr>
          <w:trHeight w:val="254"/>
        </w:trPr>
        <w:tc>
          <w:tcPr>
            <w:tcW w:w="3681" w:type="dxa"/>
          </w:tcPr>
          <w:p w:rsidR="000B7239" w:rsidRDefault="0063661A">
            <w:pPr>
              <w:jc w:val="both"/>
            </w:pPr>
            <w:r>
              <w:t>Year Over Year</w:t>
            </w:r>
          </w:p>
        </w:tc>
        <w:tc>
          <w:tcPr>
            <w:tcW w:w="1417" w:type="dxa"/>
          </w:tcPr>
          <w:p w:rsidR="000B7239" w:rsidRDefault="0063661A">
            <w:pPr>
              <w:jc w:val="both"/>
            </w:pPr>
            <w:r>
              <w:t>—</w:t>
            </w:r>
          </w:p>
        </w:tc>
        <w:tc>
          <w:tcPr>
            <w:tcW w:w="1417" w:type="dxa"/>
          </w:tcPr>
          <w:p w:rsidR="000B7239" w:rsidRDefault="0063661A">
            <w:pPr>
              <w:jc w:val="both"/>
            </w:pPr>
            <w:r>
              <w:t>210.27</w:t>
            </w:r>
          </w:p>
        </w:tc>
        <w:tc>
          <w:tcPr>
            <w:tcW w:w="1277" w:type="dxa"/>
          </w:tcPr>
          <w:p w:rsidR="000B7239" w:rsidRDefault="0063661A">
            <w:pPr>
              <w:jc w:val="both"/>
            </w:pPr>
            <w:r>
              <w:t>—</w:t>
            </w:r>
          </w:p>
        </w:tc>
        <w:tc>
          <w:tcPr>
            <w:tcW w:w="1558" w:type="dxa"/>
          </w:tcPr>
          <w:p w:rsidR="000B7239" w:rsidRDefault="0063661A">
            <w:pPr>
              <w:jc w:val="both"/>
            </w:pPr>
            <w:r>
              <w:t>116.77</w:t>
            </w:r>
          </w:p>
        </w:tc>
      </w:tr>
      <w:tr w:rsidR="000B7239">
        <w:trPr>
          <w:trHeight w:val="270"/>
        </w:trPr>
        <w:tc>
          <w:tcPr>
            <w:tcW w:w="3681" w:type="dxa"/>
          </w:tcPr>
          <w:p w:rsidR="000B7239" w:rsidRDefault="0063661A">
            <w:pPr>
              <w:jc w:val="both"/>
            </w:pPr>
            <w:r>
              <w:t>3-Year Average</w:t>
            </w:r>
          </w:p>
        </w:tc>
        <w:tc>
          <w:tcPr>
            <w:tcW w:w="1417" w:type="dxa"/>
          </w:tcPr>
          <w:p w:rsidR="000B7239" w:rsidRDefault="0063661A">
            <w:pPr>
              <w:jc w:val="both"/>
            </w:pPr>
            <w:r>
              <w:t>-16.41</w:t>
            </w:r>
          </w:p>
        </w:tc>
        <w:tc>
          <w:tcPr>
            <w:tcW w:w="1417" w:type="dxa"/>
          </w:tcPr>
          <w:p w:rsidR="000B7239" w:rsidRDefault="0063661A">
            <w:pPr>
              <w:jc w:val="both"/>
            </w:pPr>
            <w:r>
              <w:t>14.22</w:t>
            </w:r>
          </w:p>
        </w:tc>
        <w:tc>
          <w:tcPr>
            <w:tcW w:w="1277" w:type="dxa"/>
          </w:tcPr>
          <w:p w:rsidR="000B7239" w:rsidRDefault="0063661A">
            <w:pPr>
              <w:jc w:val="both"/>
            </w:pPr>
            <w:r>
              <w:t>-14.69</w:t>
            </w:r>
          </w:p>
        </w:tc>
        <w:tc>
          <w:tcPr>
            <w:tcW w:w="1558" w:type="dxa"/>
          </w:tcPr>
          <w:p w:rsidR="000B7239" w:rsidRDefault="0063661A">
            <w:pPr>
              <w:jc w:val="both"/>
            </w:pPr>
            <w:r>
              <w:t>23.97</w:t>
            </w:r>
          </w:p>
        </w:tc>
      </w:tr>
      <w:tr w:rsidR="000B7239">
        <w:trPr>
          <w:trHeight w:val="270"/>
        </w:trPr>
        <w:tc>
          <w:tcPr>
            <w:tcW w:w="3681" w:type="dxa"/>
          </w:tcPr>
          <w:p w:rsidR="000B7239" w:rsidRDefault="0063661A">
            <w:pPr>
              <w:jc w:val="both"/>
            </w:pPr>
            <w:r>
              <w:t>5-Year Average</w:t>
            </w:r>
          </w:p>
        </w:tc>
        <w:tc>
          <w:tcPr>
            <w:tcW w:w="1417" w:type="dxa"/>
          </w:tcPr>
          <w:p w:rsidR="000B7239" w:rsidRDefault="0063661A">
            <w:pPr>
              <w:jc w:val="both"/>
            </w:pPr>
            <w:r>
              <w:t>6.82</w:t>
            </w:r>
          </w:p>
        </w:tc>
        <w:tc>
          <w:tcPr>
            <w:tcW w:w="1417" w:type="dxa"/>
          </w:tcPr>
          <w:p w:rsidR="000B7239" w:rsidRDefault="0063661A">
            <w:pPr>
              <w:jc w:val="both"/>
            </w:pPr>
            <w:r>
              <w:t>3.31</w:t>
            </w:r>
          </w:p>
        </w:tc>
        <w:tc>
          <w:tcPr>
            <w:tcW w:w="1277" w:type="dxa"/>
          </w:tcPr>
          <w:p w:rsidR="000B7239" w:rsidRDefault="0063661A">
            <w:pPr>
              <w:jc w:val="both"/>
            </w:pPr>
            <w:r>
              <w:t>4.82</w:t>
            </w:r>
          </w:p>
        </w:tc>
        <w:tc>
          <w:tcPr>
            <w:tcW w:w="1558" w:type="dxa"/>
          </w:tcPr>
          <w:p w:rsidR="000B7239" w:rsidRDefault="0063661A">
            <w:pPr>
              <w:jc w:val="both"/>
            </w:pPr>
            <w:r>
              <w:t>14.93</w:t>
            </w:r>
          </w:p>
        </w:tc>
      </w:tr>
      <w:tr w:rsidR="000B7239">
        <w:trPr>
          <w:trHeight w:val="254"/>
        </w:trPr>
        <w:tc>
          <w:tcPr>
            <w:tcW w:w="3681" w:type="dxa"/>
          </w:tcPr>
          <w:p w:rsidR="000B7239" w:rsidRDefault="0063661A">
            <w:pPr>
              <w:jc w:val="both"/>
            </w:pPr>
            <w:r>
              <w:t>10-Year Average</w:t>
            </w:r>
          </w:p>
        </w:tc>
        <w:tc>
          <w:tcPr>
            <w:tcW w:w="1417" w:type="dxa"/>
          </w:tcPr>
          <w:p w:rsidR="000B7239" w:rsidRDefault="0063661A">
            <w:pPr>
              <w:jc w:val="both"/>
            </w:pPr>
            <w:r>
              <w:t>6.07</w:t>
            </w:r>
          </w:p>
        </w:tc>
        <w:tc>
          <w:tcPr>
            <w:tcW w:w="1417" w:type="dxa"/>
          </w:tcPr>
          <w:p w:rsidR="000B7239" w:rsidRDefault="0063661A">
            <w:pPr>
              <w:jc w:val="both"/>
            </w:pPr>
            <w:r>
              <w:t>17.9</w:t>
            </w:r>
          </w:p>
        </w:tc>
        <w:tc>
          <w:tcPr>
            <w:tcW w:w="1277" w:type="dxa"/>
          </w:tcPr>
          <w:p w:rsidR="000B7239" w:rsidRDefault="0063661A">
            <w:pPr>
              <w:jc w:val="both"/>
            </w:pPr>
            <w:r>
              <w:t>19.77</w:t>
            </w:r>
          </w:p>
        </w:tc>
        <w:tc>
          <w:tcPr>
            <w:tcW w:w="1558" w:type="dxa"/>
          </w:tcPr>
          <w:p w:rsidR="000B7239" w:rsidRDefault="0063661A">
            <w:pPr>
              <w:jc w:val="both"/>
            </w:pPr>
            <w:r>
              <w:t>15.46</w:t>
            </w:r>
          </w:p>
        </w:tc>
      </w:tr>
    </w:tbl>
    <w:p w:rsidR="000B7239" w:rsidRDefault="0063661A">
      <w:pPr>
        <w:jc w:val="both"/>
      </w:pPr>
      <w:r>
        <w:t>In terms of compaction of the two companies mentioned in the above table it could be identified with the results that market position of Hilton on year over year basis is standing at 210.27 while on other hand the market position of Marriott is standing at</w:t>
      </w:r>
      <w:r>
        <w:t xml:space="preserve"> 116.77. In perspective of 3-Year Average, the results in above table are showing that in 2021, the result was negative -16.41 in case of Hilton but in 2022 it was reached to positive average of 14.22 but in comparison to it, in case </w:t>
      </w:r>
      <w:r>
        <w:lastRenderedPageBreak/>
        <w:t>of Marriott it can see</w:t>
      </w:r>
      <w:r>
        <w:t xml:space="preserve"> that the result was negative with -14.69 in 2021 but in 2022 it was reached to positive average of 23.97. In perspective of 5-Year Average, the results in above table are showing that in 2021, the result was 6.82 in case of Hilton but in 2022 it was decli</w:t>
      </w:r>
      <w:r>
        <w:t>ned to average of 3.31 but in comparison to it, in case of Marriott it can see that the result was 4.82 in 2021 but in 2022 it was increased to average of 14.93. In perspective of 10-Year Average, the results in above table are showing that in 2021, the re</w:t>
      </w:r>
      <w:r>
        <w:t>sult was 6.07 in case of Hilton but in 2022 it was increased to average of 17.9 but in comparison to it, in case of Marriott it can see that the result was 19.77 in 2021 but in 2022 it was declined to average of 15.46.</w:t>
      </w:r>
    </w:p>
    <w:p w:rsidR="000B7239" w:rsidRDefault="0063661A">
      <w:pPr>
        <w:jc w:val="both"/>
      </w:pPr>
      <w:r>
        <w:t>Marriott International resumes to rob</w:t>
      </w:r>
      <w:r>
        <w:t>ust market position as of 2022 than Hilton Hotel with the larger global market share and vast portfolio market share of 8.2% as compared to the 4.9% of the Hilton Hotel. In February 2022, according to STR, the hotel Marriott International Holdings had a la</w:t>
      </w:r>
      <w:r>
        <w:t xml:space="preserve">rger market share of 8.2% than Hilton Holdings. This difference in the revenue and growth from previous years highlights the dominance in the global hospitality sector (Alvarez </w:t>
      </w:r>
      <w:r>
        <w:rPr>
          <w:i/>
        </w:rPr>
        <w:t>et al</w:t>
      </w:r>
      <w:r>
        <w:t xml:space="preserve">., 2021). </w:t>
      </w:r>
    </w:p>
    <w:p w:rsidR="000B7239" w:rsidRDefault="0063661A">
      <w:pPr>
        <w:jc w:val="both"/>
      </w:pPr>
      <w:r>
        <w:t>The major contribution of Marriott market share is the comprehensive and extensive portfolio of the Hotel brands. In 2022, the hotel holdings of Marriott had 30 branches of hotels including all luxury properties of Ritz-Carlton and St. Regis, budget friend</w:t>
      </w:r>
      <w:r>
        <w:t>ly package of Courtyard by Fairfield Inn &amp; Suits. This diverse portfolio also allows Marriott to bring more wide range of potential customers to serve including travel needs and preferences to maintain the competitive advantage in the potential target mark</w:t>
      </w:r>
      <w:r>
        <w:t>et (</w:t>
      </w:r>
      <w:r>
        <w:rPr>
          <w:color w:val="222222"/>
          <w:highlight w:val="white"/>
        </w:rPr>
        <w:t xml:space="preserve">Bianco, Zach and </w:t>
      </w:r>
      <w:proofErr w:type="spellStart"/>
      <w:r>
        <w:rPr>
          <w:color w:val="222222"/>
          <w:highlight w:val="white"/>
        </w:rPr>
        <w:t>Singal</w:t>
      </w:r>
      <w:proofErr w:type="spellEnd"/>
      <w:r>
        <w:rPr>
          <w:color w:val="222222"/>
          <w:highlight w:val="white"/>
        </w:rPr>
        <w:t>, 2022)</w:t>
      </w:r>
      <w:r>
        <w:t xml:space="preserve">. </w:t>
      </w:r>
    </w:p>
    <w:p w:rsidR="000B7239" w:rsidRDefault="0063661A">
      <w:pPr>
        <w:jc w:val="both"/>
      </w:pPr>
      <w:r>
        <w:t>On the contrary, Hilton Hotel also has a smaller range of properties as of Marriott Hotel with 18 brands of 2022. Hilton also has several other luxury brands Waldorf Astoria and Conrad Hotels but it limits the ability t</w:t>
      </w:r>
      <w:r>
        <w:t>o accommodate a broader range of potential customer segments (</w:t>
      </w:r>
      <w:proofErr w:type="spellStart"/>
      <w:r>
        <w:t>Dhirasasna</w:t>
      </w:r>
      <w:proofErr w:type="spellEnd"/>
      <w:r>
        <w:t xml:space="preserve"> and </w:t>
      </w:r>
      <w:proofErr w:type="spellStart"/>
      <w:r>
        <w:t>Sahin</w:t>
      </w:r>
      <w:proofErr w:type="spellEnd"/>
      <w:r>
        <w:t>, 2021). .</w:t>
      </w:r>
    </w:p>
    <w:tbl>
      <w:tblPr>
        <w:tblStyle w:val="a1"/>
        <w:tblW w:w="907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581"/>
        <w:gridCol w:w="1622"/>
        <w:gridCol w:w="1626"/>
        <w:gridCol w:w="1622"/>
        <w:gridCol w:w="1622"/>
      </w:tblGrid>
      <w:tr w:rsidR="000B7239">
        <w:trPr>
          <w:trHeight w:val="232"/>
        </w:trPr>
        <w:tc>
          <w:tcPr>
            <w:tcW w:w="2581" w:type="dxa"/>
          </w:tcPr>
          <w:p w:rsidR="000B7239" w:rsidRDefault="000B7239">
            <w:pPr>
              <w:jc w:val="both"/>
            </w:pPr>
          </w:p>
        </w:tc>
        <w:tc>
          <w:tcPr>
            <w:tcW w:w="3248" w:type="dxa"/>
            <w:gridSpan w:val="2"/>
          </w:tcPr>
          <w:p w:rsidR="000B7239" w:rsidRDefault="0063661A">
            <w:pPr>
              <w:jc w:val="both"/>
            </w:pPr>
            <w:r>
              <w:t xml:space="preserve">Hilton Hotel </w:t>
            </w:r>
          </w:p>
        </w:tc>
        <w:tc>
          <w:tcPr>
            <w:tcW w:w="3244" w:type="dxa"/>
            <w:gridSpan w:val="2"/>
          </w:tcPr>
          <w:p w:rsidR="000B7239" w:rsidRDefault="0063661A">
            <w:pPr>
              <w:jc w:val="both"/>
            </w:pPr>
            <w:r>
              <w:t xml:space="preserve">Marriott </w:t>
            </w:r>
          </w:p>
        </w:tc>
      </w:tr>
      <w:tr w:rsidR="000B7239">
        <w:trPr>
          <w:trHeight w:val="464"/>
        </w:trPr>
        <w:tc>
          <w:tcPr>
            <w:tcW w:w="2581" w:type="dxa"/>
          </w:tcPr>
          <w:p w:rsidR="000B7239" w:rsidRDefault="0063661A">
            <w:pPr>
              <w:jc w:val="both"/>
            </w:pPr>
            <w:r>
              <w:t>Calendar</w:t>
            </w:r>
          </w:p>
        </w:tc>
        <w:tc>
          <w:tcPr>
            <w:tcW w:w="1622" w:type="dxa"/>
          </w:tcPr>
          <w:p w:rsidR="000B7239" w:rsidRDefault="0063661A">
            <w:pPr>
              <w:jc w:val="both"/>
            </w:pPr>
            <w:r>
              <w:t>2021</w:t>
            </w:r>
          </w:p>
        </w:tc>
        <w:tc>
          <w:tcPr>
            <w:tcW w:w="1626" w:type="dxa"/>
          </w:tcPr>
          <w:p w:rsidR="000B7239" w:rsidRDefault="0063661A">
            <w:pPr>
              <w:jc w:val="both"/>
            </w:pPr>
            <w:r>
              <w:t>2022</w:t>
            </w:r>
          </w:p>
        </w:tc>
        <w:tc>
          <w:tcPr>
            <w:tcW w:w="1622" w:type="dxa"/>
          </w:tcPr>
          <w:p w:rsidR="000B7239" w:rsidRDefault="0063661A">
            <w:pPr>
              <w:jc w:val="both"/>
            </w:pPr>
            <w:r>
              <w:t>2021</w:t>
            </w:r>
          </w:p>
          <w:p w:rsidR="000B7239" w:rsidRDefault="000B7239">
            <w:pPr>
              <w:jc w:val="both"/>
            </w:pPr>
          </w:p>
        </w:tc>
        <w:tc>
          <w:tcPr>
            <w:tcW w:w="1622" w:type="dxa"/>
          </w:tcPr>
          <w:p w:rsidR="000B7239" w:rsidRDefault="0063661A">
            <w:pPr>
              <w:jc w:val="both"/>
            </w:pPr>
            <w:r>
              <w:t>2022</w:t>
            </w:r>
          </w:p>
        </w:tc>
      </w:tr>
      <w:tr w:rsidR="000B7239">
        <w:trPr>
          <w:trHeight w:val="697"/>
        </w:trPr>
        <w:tc>
          <w:tcPr>
            <w:tcW w:w="2581" w:type="dxa"/>
          </w:tcPr>
          <w:p w:rsidR="000B7239" w:rsidRDefault="0063661A">
            <w:pPr>
              <w:jc w:val="both"/>
            </w:pPr>
            <w:r>
              <w:t> Dividend Per Share</w:t>
            </w:r>
          </w:p>
        </w:tc>
        <w:tc>
          <w:tcPr>
            <w:tcW w:w="1622" w:type="dxa"/>
          </w:tcPr>
          <w:p w:rsidR="000B7239" w:rsidRDefault="0063661A">
            <w:pPr>
              <w:jc w:val="both"/>
            </w:pPr>
            <w:r>
              <w:t>–</w:t>
            </w:r>
          </w:p>
        </w:tc>
        <w:tc>
          <w:tcPr>
            <w:tcW w:w="1626" w:type="dxa"/>
          </w:tcPr>
          <w:p w:rsidR="000B7239" w:rsidRDefault="0063661A">
            <w:pPr>
              <w:jc w:val="both"/>
            </w:pPr>
            <w:r>
              <w:t>0.45</w:t>
            </w:r>
          </w:p>
        </w:tc>
        <w:tc>
          <w:tcPr>
            <w:tcW w:w="1622" w:type="dxa"/>
          </w:tcPr>
          <w:p w:rsidR="000B7239" w:rsidRDefault="0063661A">
            <w:pPr>
              <w:jc w:val="both"/>
            </w:pPr>
            <w:r>
              <w:t>–</w:t>
            </w:r>
          </w:p>
        </w:tc>
        <w:tc>
          <w:tcPr>
            <w:tcW w:w="1622" w:type="dxa"/>
          </w:tcPr>
          <w:p w:rsidR="000B7239" w:rsidRDefault="0063661A">
            <w:pPr>
              <w:jc w:val="both"/>
            </w:pPr>
            <w:r>
              <w:t>1.00</w:t>
            </w:r>
          </w:p>
        </w:tc>
      </w:tr>
      <w:tr w:rsidR="000B7239">
        <w:trPr>
          <w:trHeight w:val="683"/>
        </w:trPr>
        <w:tc>
          <w:tcPr>
            <w:tcW w:w="2581" w:type="dxa"/>
          </w:tcPr>
          <w:p w:rsidR="000B7239" w:rsidRDefault="0063661A">
            <w:pPr>
              <w:jc w:val="both"/>
            </w:pPr>
            <w:r>
              <w:t> Trailing Dividend Yield %</w:t>
            </w:r>
          </w:p>
        </w:tc>
        <w:tc>
          <w:tcPr>
            <w:tcW w:w="1622" w:type="dxa"/>
          </w:tcPr>
          <w:p w:rsidR="000B7239" w:rsidRDefault="0063661A">
            <w:pPr>
              <w:jc w:val="both"/>
            </w:pPr>
            <w:r>
              <w:t>–</w:t>
            </w:r>
          </w:p>
        </w:tc>
        <w:tc>
          <w:tcPr>
            <w:tcW w:w="1626" w:type="dxa"/>
          </w:tcPr>
          <w:p w:rsidR="000B7239" w:rsidRDefault="0063661A">
            <w:pPr>
              <w:jc w:val="both"/>
            </w:pPr>
            <w:r>
              <w:t>0.36</w:t>
            </w:r>
          </w:p>
        </w:tc>
        <w:tc>
          <w:tcPr>
            <w:tcW w:w="1622" w:type="dxa"/>
          </w:tcPr>
          <w:p w:rsidR="000B7239" w:rsidRDefault="0063661A">
            <w:pPr>
              <w:jc w:val="both"/>
            </w:pPr>
            <w:r>
              <w:t>–</w:t>
            </w:r>
          </w:p>
        </w:tc>
        <w:tc>
          <w:tcPr>
            <w:tcW w:w="1622" w:type="dxa"/>
          </w:tcPr>
          <w:p w:rsidR="000B7239" w:rsidRDefault="0063661A">
            <w:pPr>
              <w:jc w:val="both"/>
            </w:pPr>
            <w:r>
              <w:t>0.67</w:t>
            </w:r>
          </w:p>
        </w:tc>
      </w:tr>
      <w:tr w:rsidR="000B7239">
        <w:trPr>
          <w:trHeight w:val="464"/>
        </w:trPr>
        <w:tc>
          <w:tcPr>
            <w:tcW w:w="2581" w:type="dxa"/>
          </w:tcPr>
          <w:p w:rsidR="000B7239" w:rsidRDefault="0063661A">
            <w:pPr>
              <w:jc w:val="both"/>
            </w:pPr>
            <w:r>
              <w:t>Buyback Yield %</w:t>
            </w:r>
          </w:p>
        </w:tc>
        <w:tc>
          <w:tcPr>
            <w:tcW w:w="1622" w:type="dxa"/>
          </w:tcPr>
          <w:p w:rsidR="000B7239" w:rsidRDefault="0063661A">
            <w:pPr>
              <w:jc w:val="both"/>
            </w:pPr>
            <w:r>
              <w:t>0.00</w:t>
            </w:r>
          </w:p>
        </w:tc>
        <w:tc>
          <w:tcPr>
            <w:tcW w:w="1626" w:type="dxa"/>
          </w:tcPr>
          <w:p w:rsidR="000B7239" w:rsidRDefault="0063661A">
            <w:pPr>
              <w:jc w:val="both"/>
            </w:pPr>
            <w:r>
              <w:t>3.20</w:t>
            </w:r>
          </w:p>
        </w:tc>
        <w:tc>
          <w:tcPr>
            <w:tcW w:w="1622" w:type="dxa"/>
          </w:tcPr>
          <w:p w:rsidR="000B7239" w:rsidRDefault="0063661A">
            <w:pPr>
              <w:jc w:val="both"/>
            </w:pPr>
            <w:r>
              <w:t>–</w:t>
            </w:r>
          </w:p>
        </w:tc>
        <w:tc>
          <w:tcPr>
            <w:tcW w:w="1622" w:type="dxa"/>
          </w:tcPr>
          <w:p w:rsidR="000B7239" w:rsidRDefault="0063661A">
            <w:pPr>
              <w:jc w:val="both"/>
            </w:pPr>
            <w:r>
              <w:t>2.62</w:t>
            </w:r>
          </w:p>
        </w:tc>
      </w:tr>
      <w:tr w:rsidR="000B7239">
        <w:trPr>
          <w:trHeight w:val="464"/>
        </w:trPr>
        <w:tc>
          <w:tcPr>
            <w:tcW w:w="2581" w:type="dxa"/>
          </w:tcPr>
          <w:p w:rsidR="000B7239" w:rsidRDefault="0063661A">
            <w:pPr>
              <w:jc w:val="both"/>
            </w:pPr>
            <w:r>
              <w:lastRenderedPageBreak/>
              <w:t>Total Yield %</w:t>
            </w:r>
          </w:p>
        </w:tc>
        <w:tc>
          <w:tcPr>
            <w:tcW w:w="1622" w:type="dxa"/>
          </w:tcPr>
          <w:p w:rsidR="000B7239" w:rsidRDefault="0063661A">
            <w:pPr>
              <w:jc w:val="both"/>
            </w:pPr>
            <w:r>
              <w:t>0.00</w:t>
            </w:r>
          </w:p>
        </w:tc>
        <w:tc>
          <w:tcPr>
            <w:tcW w:w="1626" w:type="dxa"/>
          </w:tcPr>
          <w:p w:rsidR="000B7239" w:rsidRDefault="0063661A">
            <w:pPr>
              <w:jc w:val="both"/>
            </w:pPr>
            <w:r>
              <w:t>3.56</w:t>
            </w:r>
          </w:p>
        </w:tc>
        <w:tc>
          <w:tcPr>
            <w:tcW w:w="1622" w:type="dxa"/>
          </w:tcPr>
          <w:p w:rsidR="000B7239" w:rsidRDefault="0063661A">
            <w:pPr>
              <w:jc w:val="both"/>
            </w:pPr>
            <w:r>
              <w:t>–</w:t>
            </w:r>
          </w:p>
        </w:tc>
        <w:tc>
          <w:tcPr>
            <w:tcW w:w="1622" w:type="dxa"/>
          </w:tcPr>
          <w:p w:rsidR="000B7239" w:rsidRDefault="0063661A">
            <w:pPr>
              <w:jc w:val="both"/>
            </w:pPr>
            <w:r>
              <w:t>3.29</w:t>
            </w:r>
          </w:p>
        </w:tc>
      </w:tr>
    </w:tbl>
    <w:p w:rsidR="000B7239" w:rsidRDefault="0063661A">
      <w:pPr>
        <w:jc w:val="both"/>
      </w:pPr>
      <w:r>
        <w:t>In terms of consideration of the results presented in the above table it could be said that the dividend per share in case of Hilton Hotel was standing at value of 0.45 in 2022 but in terms of Marriott hotel the divide</w:t>
      </w:r>
      <w:r>
        <w:t>nd per share was standing with value of 1.00. This is clear indication that more dividend per share has paid in case of Marriott in comparison to Hilton. In terms of Trailing Dividend Yield %, the results in the above table are showing that in 2022 the Hil</w:t>
      </w:r>
      <w:r>
        <w:t>ton hotel has presented 0.36 while in case of Marriott, Trailing Dividend Yield % was standing at 0.67 in 2022 which is also more than Hilton. In terms of Buyback Yield %, the results in the above table are showing that in 2022 the Hilton hotel has present</w:t>
      </w:r>
      <w:r>
        <w:t>ed 3.20 while in case of Marriott, Buyback Yield %, was standing at 3.29 in 2022 which is also less than Hilton. So over comparison with Total Yield % is showing that Yield % of Hilton was greater and more than Marriott because result of Hilton was 3.56 wh</w:t>
      </w:r>
      <w:r>
        <w:t>ile the Total Yield % of Marriott was 3.29.</w:t>
      </w:r>
    </w:p>
    <w:p w:rsidR="000B7239" w:rsidRDefault="0063661A">
      <w:pPr>
        <w:jc w:val="both"/>
      </w:pPr>
      <w:r>
        <w:t>In the global market, Marriott International also contributes to the market leadership of 2022 including 140 countries with exclusive 7800 properties globally. On the contrary, Hilton Hotel also had a presence of</w:t>
      </w:r>
      <w:r>
        <w:t xml:space="preserve"> 120 countries to approximately 6500 possessions across the world. The more vast the project and accommodation the more vesting customers and earned revenue more than the potential customers (</w:t>
      </w:r>
      <w:proofErr w:type="spellStart"/>
      <w:r>
        <w:rPr>
          <w:color w:val="222222"/>
          <w:highlight w:val="white"/>
        </w:rPr>
        <w:t>Phalippou</w:t>
      </w:r>
      <w:proofErr w:type="spellEnd"/>
      <w:r>
        <w:rPr>
          <w:color w:val="222222"/>
          <w:highlight w:val="white"/>
        </w:rPr>
        <w:t>, 2020)</w:t>
      </w:r>
      <w:r>
        <w:t xml:space="preserve">. </w:t>
      </w:r>
    </w:p>
    <w:p w:rsidR="000B7239" w:rsidRDefault="0063661A">
      <w:pPr>
        <w:jc w:val="both"/>
      </w:pPr>
      <w:r>
        <w:t>Additionally, Marriott International procurem</w:t>
      </w:r>
      <w:r>
        <w:t>ent of Starwood Hotels in the year of 2016 also strengthened the market position of Marriott Holdings. This gaining of several well-known hotel brands under the cooperation of Marriott. Many other hotel holdings also included in the hotel brands as Sherato</w:t>
      </w:r>
      <w:r>
        <w:t xml:space="preserve">n, </w:t>
      </w:r>
      <w:proofErr w:type="spellStart"/>
      <w:r>
        <w:t>St.Regis</w:t>
      </w:r>
      <w:proofErr w:type="spellEnd"/>
      <w:r>
        <w:t>, and Westin brands of hotels. Consequently, Marriott has become a brand portfolio to include more diverse hotel groups in its system and approach more customers to earn more profit and revenue (</w:t>
      </w:r>
      <w:proofErr w:type="spellStart"/>
      <w:r>
        <w:t>Babajee</w:t>
      </w:r>
      <w:proofErr w:type="spellEnd"/>
      <w:r>
        <w:t xml:space="preserve">, </w:t>
      </w:r>
      <w:proofErr w:type="spellStart"/>
      <w:r>
        <w:t>Seetanah</w:t>
      </w:r>
      <w:proofErr w:type="spellEnd"/>
      <w:r>
        <w:t xml:space="preserve"> and </w:t>
      </w:r>
      <w:proofErr w:type="spellStart"/>
      <w:r>
        <w:t>Nunkoo</w:t>
      </w:r>
      <w:proofErr w:type="spellEnd"/>
      <w:r>
        <w:t xml:space="preserve">, 2020).  </w:t>
      </w:r>
    </w:p>
    <w:p w:rsidR="000B7239" w:rsidRDefault="0063661A">
      <w:pPr>
        <w:jc w:val="both"/>
      </w:pPr>
      <w:r>
        <w:t>With regard</w:t>
      </w:r>
      <w:r>
        <w:t>s to the financial management, in 2021, Marriott International also outpaced to challenge by the COVID-19 pandemic. In view of financial reports, Marriott International also earn a net income of 764$ M in 2021 than 202$M revenue of Hilton Holdings. It conc</w:t>
      </w:r>
      <w:r>
        <w:t>ludes that the business financial model is more resilient and efficient to weather and sustain economic loss and downfall (</w:t>
      </w:r>
      <w:proofErr w:type="spellStart"/>
      <w:r>
        <w:rPr>
          <w:color w:val="222222"/>
          <w:highlight w:val="white"/>
        </w:rPr>
        <w:t>Penela</w:t>
      </w:r>
      <w:proofErr w:type="spellEnd"/>
      <w:r>
        <w:rPr>
          <w:color w:val="222222"/>
          <w:highlight w:val="white"/>
        </w:rPr>
        <w:t xml:space="preserve">, </w:t>
      </w:r>
      <w:proofErr w:type="spellStart"/>
      <w:r>
        <w:rPr>
          <w:color w:val="222222"/>
          <w:highlight w:val="white"/>
        </w:rPr>
        <w:t>Estevão</w:t>
      </w:r>
      <w:proofErr w:type="spellEnd"/>
      <w:r>
        <w:rPr>
          <w:color w:val="222222"/>
          <w:highlight w:val="white"/>
        </w:rPr>
        <w:t xml:space="preserve"> and Gregory, 2019)</w:t>
      </w:r>
      <w:r>
        <w:t xml:space="preserve">. </w:t>
      </w:r>
    </w:p>
    <w:p w:rsidR="000B7239" w:rsidRDefault="0063661A">
      <w:pPr>
        <w:pStyle w:val="Heading1"/>
      </w:pPr>
      <w:r>
        <w:lastRenderedPageBreak/>
        <w:t xml:space="preserve">Growth Potential </w:t>
      </w:r>
    </w:p>
    <w:tbl>
      <w:tblPr>
        <w:tblStyle w:val="a2"/>
        <w:tblW w:w="898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065"/>
        <w:gridCol w:w="1750"/>
        <w:gridCol w:w="1725"/>
        <w:gridCol w:w="1725"/>
        <w:gridCol w:w="1717"/>
      </w:tblGrid>
      <w:tr w:rsidR="000B7239">
        <w:trPr>
          <w:trHeight w:val="248"/>
        </w:trPr>
        <w:tc>
          <w:tcPr>
            <w:tcW w:w="2065" w:type="dxa"/>
          </w:tcPr>
          <w:p w:rsidR="000B7239" w:rsidRDefault="000B7239">
            <w:pPr>
              <w:jc w:val="both"/>
            </w:pPr>
          </w:p>
        </w:tc>
        <w:tc>
          <w:tcPr>
            <w:tcW w:w="3475" w:type="dxa"/>
            <w:gridSpan w:val="2"/>
          </w:tcPr>
          <w:p w:rsidR="000B7239" w:rsidRDefault="0063661A">
            <w:pPr>
              <w:jc w:val="both"/>
              <w:rPr>
                <w:color w:val="5E5E5E"/>
              </w:rPr>
            </w:pPr>
            <w:r>
              <w:rPr>
                <w:color w:val="5E5E5E"/>
              </w:rPr>
              <w:t>Marriott</w:t>
            </w:r>
          </w:p>
        </w:tc>
        <w:tc>
          <w:tcPr>
            <w:tcW w:w="3442" w:type="dxa"/>
            <w:gridSpan w:val="2"/>
          </w:tcPr>
          <w:p w:rsidR="000B7239" w:rsidRDefault="0063661A">
            <w:pPr>
              <w:jc w:val="both"/>
              <w:rPr>
                <w:color w:val="5E5E5E"/>
              </w:rPr>
            </w:pPr>
            <w:r>
              <w:rPr>
                <w:color w:val="5E5E5E"/>
              </w:rPr>
              <w:t xml:space="preserve">Hilton </w:t>
            </w:r>
          </w:p>
        </w:tc>
      </w:tr>
      <w:tr w:rsidR="000B7239">
        <w:trPr>
          <w:trHeight w:val="452"/>
        </w:trPr>
        <w:tc>
          <w:tcPr>
            <w:tcW w:w="2065" w:type="dxa"/>
          </w:tcPr>
          <w:p w:rsidR="000B7239" w:rsidRDefault="0063661A">
            <w:pPr>
              <w:jc w:val="both"/>
              <w:rPr>
                <w:b/>
              </w:rPr>
            </w:pPr>
            <w:r>
              <w:rPr>
                <w:b/>
              </w:rPr>
              <w:t>Revenue %</w:t>
            </w:r>
          </w:p>
        </w:tc>
        <w:tc>
          <w:tcPr>
            <w:tcW w:w="1750" w:type="dxa"/>
          </w:tcPr>
          <w:p w:rsidR="000B7239" w:rsidRDefault="0063661A">
            <w:pPr>
              <w:jc w:val="both"/>
              <w:rPr>
                <w:b/>
                <w:color w:val="5E5E5E"/>
              </w:rPr>
            </w:pPr>
            <w:r>
              <w:rPr>
                <w:b/>
                <w:color w:val="5E5E5E"/>
              </w:rPr>
              <w:t>2021-12</w:t>
            </w:r>
          </w:p>
        </w:tc>
        <w:tc>
          <w:tcPr>
            <w:tcW w:w="1725" w:type="dxa"/>
          </w:tcPr>
          <w:p w:rsidR="000B7239" w:rsidRDefault="0063661A">
            <w:pPr>
              <w:jc w:val="both"/>
              <w:rPr>
                <w:b/>
                <w:color w:val="5E5E5E"/>
              </w:rPr>
            </w:pPr>
            <w:r>
              <w:rPr>
                <w:b/>
                <w:color w:val="5E5E5E"/>
              </w:rPr>
              <w:t>2022-12</w:t>
            </w:r>
          </w:p>
        </w:tc>
        <w:tc>
          <w:tcPr>
            <w:tcW w:w="1725" w:type="dxa"/>
          </w:tcPr>
          <w:p w:rsidR="000B7239" w:rsidRDefault="0063661A">
            <w:pPr>
              <w:jc w:val="both"/>
              <w:rPr>
                <w:b/>
                <w:color w:val="5E5E5E"/>
              </w:rPr>
            </w:pPr>
            <w:r>
              <w:rPr>
                <w:b/>
                <w:color w:val="5E5E5E"/>
              </w:rPr>
              <w:t>2021-12</w:t>
            </w:r>
          </w:p>
        </w:tc>
        <w:tc>
          <w:tcPr>
            <w:tcW w:w="1717" w:type="dxa"/>
          </w:tcPr>
          <w:p w:rsidR="000B7239" w:rsidRDefault="0063661A">
            <w:pPr>
              <w:jc w:val="both"/>
              <w:rPr>
                <w:b/>
                <w:color w:val="5E5E5E"/>
              </w:rPr>
            </w:pPr>
            <w:r>
              <w:rPr>
                <w:b/>
                <w:color w:val="5E5E5E"/>
              </w:rPr>
              <w:t>2022-12</w:t>
            </w:r>
          </w:p>
        </w:tc>
      </w:tr>
      <w:tr w:rsidR="000B7239">
        <w:trPr>
          <w:trHeight w:val="496"/>
        </w:trPr>
        <w:tc>
          <w:tcPr>
            <w:tcW w:w="2065" w:type="dxa"/>
          </w:tcPr>
          <w:p w:rsidR="000B7239" w:rsidRDefault="0063661A">
            <w:pPr>
              <w:jc w:val="both"/>
            </w:pPr>
            <w:r>
              <w:t>Year Over Year</w:t>
            </w:r>
          </w:p>
        </w:tc>
        <w:tc>
          <w:tcPr>
            <w:tcW w:w="1750" w:type="dxa"/>
          </w:tcPr>
          <w:p w:rsidR="000B7239" w:rsidRDefault="0063661A">
            <w:pPr>
              <w:jc w:val="both"/>
            </w:pPr>
            <w:r>
              <w:t>31.09</w:t>
            </w:r>
          </w:p>
        </w:tc>
        <w:tc>
          <w:tcPr>
            <w:tcW w:w="1725" w:type="dxa"/>
          </w:tcPr>
          <w:p w:rsidR="000B7239" w:rsidRDefault="0063661A">
            <w:pPr>
              <w:jc w:val="both"/>
            </w:pPr>
            <w:r>
              <w:t>49.91</w:t>
            </w:r>
          </w:p>
        </w:tc>
        <w:tc>
          <w:tcPr>
            <w:tcW w:w="1725" w:type="dxa"/>
          </w:tcPr>
          <w:p w:rsidR="000B7239" w:rsidRDefault="0063661A">
            <w:pPr>
              <w:jc w:val="both"/>
            </w:pPr>
            <w:r>
              <w:t>34.39</w:t>
            </w:r>
          </w:p>
        </w:tc>
        <w:tc>
          <w:tcPr>
            <w:tcW w:w="1717" w:type="dxa"/>
          </w:tcPr>
          <w:p w:rsidR="000B7239" w:rsidRDefault="0063661A">
            <w:pPr>
              <w:jc w:val="both"/>
            </w:pPr>
            <w:r>
              <w:t>51.57</w:t>
            </w:r>
          </w:p>
        </w:tc>
      </w:tr>
      <w:tr w:rsidR="000B7239">
        <w:trPr>
          <w:trHeight w:val="496"/>
        </w:trPr>
        <w:tc>
          <w:tcPr>
            <w:tcW w:w="2065" w:type="dxa"/>
          </w:tcPr>
          <w:p w:rsidR="000B7239" w:rsidRDefault="0063661A">
            <w:pPr>
              <w:jc w:val="both"/>
            </w:pPr>
            <w:r>
              <w:t>3-Year Average</w:t>
            </w:r>
          </w:p>
        </w:tc>
        <w:tc>
          <w:tcPr>
            <w:tcW w:w="1750" w:type="dxa"/>
          </w:tcPr>
          <w:p w:rsidR="000B7239" w:rsidRDefault="0063661A">
            <w:pPr>
              <w:jc w:val="both"/>
            </w:pPr>
            <w:r>
              <w:t>-12.60</w:t>
            </w:r>
          </w:p>
        </w:tc>
        <w:tc>
          <w:tcPr>
            <w:tcW w:w="1725" w:type="dxa"/>
          </w:tcPr>
          <w:p w:rsidR="000B7239" w:rsidRDefault="0063661A">
            <w:pPr>
              <w:jc w:val="both"/>
            </w:pPr>
            <w:r>
              <w:t>-0.32</w:t>
            </w:r>
          </w:p>
        </w:tc>
        <w:tc>
          <w:tcPr>
            <w:tcW w:w="1725" w:type="dxa"/>
          </w:tcPr>
          <w:p w:rsidR="000B7239" w:rsidRDefault="0063661A">
            <w:pPr>
              <w:jc w:val="both"/>
            </w:pPr>
            <w:r>
              <w:t>-13.38</w:t>
            </w:r>
          </w:p>
        </w:tc>
        <w:tc>
          <w:tcPr>
            <w:tcW w:w="1717" w:type="dxa"/>
          </w:tcPr>
          <w:p w:rsidR="000B7239" w:rsidRDefault="0063661A">
            <w:pPr>
              <w:jc w:val="both"/>
            </w:pPr>
            <w:r>
              <w:t>-2.45</w:t>
            </w:r>
          </w:p>
        </w:tc>
      </w:tr>
      <w:tr w:rsidR="000B7239">
        <w:trPr>
          <w:trHeight w:val="496"/>
        </w:trPr>
        <w:tc>
          <w:tcPr>
            <w:tcW w:w="2065" w:type="dxa"/>
          </w:tcPr>
          <w:p w:rsidR="000B7239" w:rsidRDefault="0063661A">
            <w:pPr>
              <w:jc w:val="both"/>
            </w:pPr>
            <w:r>
              <w:t>5-Year Average</w:t>
            </w:r>
          </w:p>
        </w:tc>
        <w:tc>
          <w:tcPr>
            <w:tcW w:w="1750" w:type="dxa"/>
          </w:tcPr>
          <w:p w:rsidR="000B7239" w:rsidRDefault="0063661A">
            <w:pPr>
              <w:jc w:val="both"/>
            </w:pPr>
            <w:r>
              <w:t>-4.09</w:t>
            </w:r>
          </w:p>
        </w:tc>
        <w:tc>
          <w:tcPr>
            <w:tcW w:w="1725" w:type="dxa"/>
          </w:tcPr>
          <w:p w:rsidR="000B7239" w:rsidRDefault="0063661A">
            <w:pPr>
              <w:jc w:val="both"/>
            </w:pPr>
            <w:r>
              <w:t>-1.93</w:t>
            </w:r>
          </w:p>
        </w:tc>
        <w:tc>
          <w:tcPr>
            <w:tcW w:w="1725" w:type="dxa"/>
          </w:tcPr>
          <w:p w:rsidR="000B7239" w:rsidRDefault="0063661A">
            <w:pPr>
              <w:jc w:val="both"/>
            </w:pPr>
            <w:r>
              <w:t>-13.08</w:t>
            </w:r>
          </w:p>
        </w:tc>
        <w:tc>
          <w:tcPr>
            <w:tcW w:w="1717" w:type="dxa"/>
          </w:tcPr>
          <w:p w:rsidR="000B7239" w:rsidRDefault="0063661A">
            <w:pPr>
              <w:jc w:val="both"/>
            </w:pPr>
            <w:r>
              <w:t>-0.82</w:t>
            </w:r>
          </w:p>
        </w:tc>
      </w:tr>
      <w:tr w:rsidR="000B7239">
        <w:trPr>
          <w:trHeight w:val="496"/>
        </w:trPr>
        <w:tc>
          <w:tcPr>
            <w:tcW w:w="2065" w:type="dxa"/>
          </w:tcPr>
          <w:p w:rsidR="000B7239" w:rsidRDefault="0063661A">
            <w:pPr>
              <w:jc w:val="both"/>
              <w:rPr>
                <w:b/>
              </w:rPr>
            </w:pPr>
            <w:r>
              <w:rPr>
                <w:b/>
              </w:rPr>
              <w:t>Operating Income %</w:t>
            </w:r>
          </w:p>
        </w:tc>
        <w:tc>
          <w:tcPr>
            <w:tcW w:w="1750" w:type="dxa"/>
          </w:tcPr>
          <w:p w:rsidR="000B7239" w:rsidRDefault="0063661A">
            <w:pPr>
              <w:jc w:val="both"/>
            </w:pPr>
            <w:r>
              <w:rPr>
                <w:b/>
                <w:color w:val="5E5E5E"/>
              </w:rPr>
              <w:t>2021-12</w:t>
            </w:r>
          </w:p>
        </w:tc>
        <w:tc>
          <w:tcPr>
            <w:tcW w:w="1725" w:type="dxa"/>
          </w:tcPr>
          <w:p w:rsidR="000B7239" w:rsidRDefault="0063661A">
            <w:pPr>
              <w:jc w:val="both"/>
            </w:pPr>
            <w:r>
              <w:rPr>
                <w:b/>
                <w:color w:val="5E5E5E"/>
              </w:rPr>
              <w:t>2022-12</w:t>
            </w:r>
          </w:p>
        </w:tc>
        <w:tc>
          <w:tcPr>
            <w:tcW w:w="1725" w:type="dxa"/>
          </w:tcPr>
          <w:p w:rsidR="000B7239" w:rsidRDefault="0063661A">
            <w:pPr>
              <w:jc w:val="both"/>
            </w:pPr>
            <w:r>
              <w:rPr>
                <w:b/>
                <w:color w:val="5E5E5E"/>
              </w:rPr>
              <w:t>2021-12</w:t>
            </w:r>
          </w:p>
        </w:tc>
        <w:tc>
          <w:tcPr>
            <w:tcW w:w="1717" w:type="dxa"/>
          </w:tcPr>
          <w:p w:rsidR="000B7239" w:rsidRDefault="0063661A">
            <w:pPr>
              <w:jc w:val="both"/>
            </w:pPr>
            <w:r>
              <w:rPr>
                <w:b/>
                <w:color w:val="5E5E5E"/>
              </w:rPr>
              <w:t>2022-12</w:t>
            </w:r>
          </w:p>
        </w:tc>
      </w:tr>
      <w:tr w:rsidR="000B7239">
        <w:trPr>
          <w:trHeight w:val="496"/>
        </w:trPr>
        <w:tc>
          <w:tcPr>
            <w:tcW w:w="2065" w:type="dxa"/>
          </w:tcPr>
          <w:p w:rsidR="000B7239" w:rsidRDefault="0063661A">
            <w:pPr>
              <w:jc w:val="both"/>
            </w:pPr>
            <w:r>
              <w:t>Year Over Year</w:t>
            </w:r>
          </w:p>
        </w:tc>
        <w:tc>
          <w:tcPr>
            <w:tcW w:w="1750" w:type="dxa"/>
          </w:tcPr>
          <w:p w:rsidR="000B7239" w:rsidRDefault="0063661A">
            <w:pPr>
              <w:jc w:val="both"/>
            </w:pPr>
            <w:r>
              <w:t>400.85</w:t>
            </w:r>
          </w:p>
        </w:tc>
        <w:tc>
          <w:tcPr>
            <w:tcW w:w="1725" w:type="dxa"/>
          </w:tcPr>
          <w:p w:rsidR="000B7239" w:rsidRDefault="0063661A">
            <w:pPr>
              <w:jc w:val="both"/>
            </w:pPr>
            <w:r>
              <w:t>97.61</w:t>
            </w:r>
          </w:p>
        </w:tc>
        <w:tc>
          <w:tcPr>
            <w:tcW w:w="1725" w:type="dxa"/>
          </w:tcPr>
          <w:p w:rsidR="000B7239" w:rsidRDefault="0063661A">
            <w:pPr>
              <w:jc w:val="both"/>
            </w:pPr>
            <w:r>
              <w:t>—</w:t>
            </w:r>
          </w:p>
        </w:tc>
        <w:tc>
          <w:tcPr>
            <w:tcW w:w="1717" w:type="dxa"/>
          </w:tcPr>
          <w:p w:rsidR="000B7239" w:rsidRDefault="0063661A">
            <w:pPr>
              <w:jc w:val="both"/>
            </w:pPr>
            <w:r>
              <w:t>105.90</w:t>
            </w:r>
          </w:p>
        </w:tc>
      </w:tr>
      <w:tr w:rsidR="000B7239">
        <w:trPr>
          <w:trHeight w:val="482"/>
        </w:trPr>
        <w:tc>
          <w:tcPr>
            <w:tcW w:w="2065" w:type="dxa"/>
          </w:tcPr>
          <w:p w:rsidR="000B7239" w:rsidRDefault="0063661A">
            <w:pPr>
              <w:jc w:val="both"/>
            </w:pPr>
            <w:r>
              <w:t>3-Year Average</w:t>
            </w:r>
          </w:p>
        </w:tc>
        <w:tc>
          <w:tcPr>
            <w:tcW w:w="1750" w:type="dxa"/>
          </w:tcPr>
          <w:p w:rsidR="000B7239" w:rsidRDefault="0063661A">
            <w:pPr>
              <w:jc w:val="both"/>
            </w:pPr>
            <w:r>
              <w:t>-11.32</w:t>
            </w:r>
          </w:p>
        </w:tc>
        <w:tc>
          <w:tcPr>
            <w:tcW w:w="1725" w:type="dxa"/>
          </w:tcPr>
          <w:p w:rsidR="000B7239" w:rsidRDefault="0063661A">
            <w:pPr>
              <w:jc w:val="both"/>
            </w:pPr>
            <w:r>
              <w:t>21.48</w:t>
            </w:r>
          </w:p>
        </w:tc>
        <w:tc>
          <w:tcPr>
            <w:tcW w:w="1725" w:type="dxa"/>
          </w:tcPr>
          <w:p w:rsidR="000B7239" w:rsidRDefault="0063661A">
            <w:pPr>
              <w:jc w:val="both"/>
            </w:pPr>
            <w:r>
              <w:t>-10.78</w:t>
            </w:r>
          </w:p>
        </w:tc>
        <w:tc>
          <w:tcPr>
            <w:tcW w:w="1717" w:type="dxa"/>
          </w:tcPr>
          <w:p w:rsidR="000B7239" w:rsidRDefault="0063661A">
            <w:pPr>
              <w:jc w:val="both"/>
            </w:pPr>
            <w:r>
              <w:t>9.94</w:t>
            </w:r>
          </w:p>
        </w:tc>
      </w:tr>
      <w:tr w:rsidR="000B7239">
        <w:trPr>
          <w:trHeight w:val="496"/>
        </w:trPr>
        <w:tc>
          <w:tcPr>
            <w:tcW w:w="2065" w:type="dxa"/>
          </w:tcPr>
          <w:p w:rsidR="000B7239" w:rsidRDefault="0063661A">
            <w:pPr>
              <w:jc w:val="both"/>
            </w:pPr>
            <w:r>
              <w:t>5-Year Average</w:t>
            </w:r>
          </w:p>
        </w:tc>
        <w:tc>
          <w:tcPr>
            <w:tcW w:w="1750" w:type="dxa"/>
          </w:tcPr>
          <w:p w:rsidR="000B7239" w:rsidRDefault="0063661A">
            <w:pPr>
              <w:jc w:val="both"/>
            </w:pPr>
            <w:r>
              <w:t>0.05</w:t>
            </w:r>
          </w:p>
        </w:tc>
        <w:tc>
          <w:tcPr>
            <w:tcW w:w="1725" w:type="dxa"/>
          </w:tcPr>
          <w:p w:rsidR="000B7239" w:rsidRDefault="0063661A">
            <w:pPr>
              <w:jc w:val="both"/>
            </w:pPr>
            <w:r>
              <w:t>6.65</w:t>
            </w:r>
          </w:p>
        </w:tc>
        <w:tc>
          <w:tcPr>
            <w:tcW w:w="1725" w:type="dxa"/>
          </w:tcPr>
          <w:p w:rsidR="000B7239" w:rsidRDefault="0063661A">
            <w:pPr>
              <w:jc w:val="both"/>
            </w:pPr>
            <w:r>
              <w:t>-11.44</w:t>
            </w:r>
          </w:p>
        </w:tc>
        <w:tc>
          <w:tcPr>
            <w:tcW w:w="1717" w:type="dxa"/>
          </w:tcPr>
          <w:p w:rsidR="000B7239" w:rsidRDefault="0063661A">
            <w:pPr>
              <w:jc w:val="both"/>
            </w:pPr>
            <w:r>
              <w:t>8.82</w:t>
            </w:r>
          </w:p>
        </w:tc>
      </w:tr>
      <w:tr w:rsidR="000B7239">
        <w:trPr>
          <w:trHeight w:val="496"/>
        </w:trPr>
        <w:tc>
          <w:tcPr>
            <w:tcW w:w="2065" w:type="dxa"/>
          </w:tcPr>
          <w:p w:rsidR="000B7239" w:rsidRDefault="0063661A">
            <w:pPr>
              <w:jc w:val="both"/>
              <w:rPr>
                <w:b/>
              </w:rPr>
            </w:pPr>
            <w:r>
              <w:rPr>
                <w:b/>
              </w:rPr>
              <w:t>Net Income %</w:t>
            </w:r>
          </w:p>
        </w:tc>
        <w:tc>
          <w:tcPr>
            <w:tcW w:w="1750" w:type="dxa"/>
          </w:tcPr>
          <w:p w:rsidR="000B7239" w:rsidRDefault="0063661A">
            <w:pPr>
              <w:jc w:val="both"/>
              <w:rPr>
                <w:b/>
              </w:rPr>
            </w:pPr>
            <w:r>
              <w:rPr>
                <w:b/>
                <w:color w:val="5E5E5E"/>
              </w:rPr>
              <w:t>2021-12</w:t>
            </w:r>
          </w:p>
        </w:tc>
        <w:tc>
          <w:tcPr>
            <w:tcW w:w="1725" w:type="dxa"/>
          </w:tcPr>
          <w:p w:rsidR="000B7239" w:rsidRDefault="0063661A">
            <w:pPr>
              <w:jc w:val="both"/>
              <w:rPr>
                <w:b/>
              </w:rPr>
            </w:pPr>
            <w:r>
              <w:rPr>
                <w:b/>
                <w:color w:val="5E5E5E"/>
              </w:rPr>
              <w:t>2022-12</w:t>
            </w:r>
          </w:p>
        </w:tc>
        <w:tc>
          <w:tcPr>
            <w:tcW w:w="1725" w:type="dxa"/>
          </w:tcPr>
          <w:p w:rsidR="000B7239" w:rsidRDefault="0063661A">
            <w:pPr>
              <w:jc w:val="both"/>
              <w:rPr>
                <w:b/>
              </w:rPr>
            </w:pPr>
            <w:r>
              <w:rPr>
                <w:b/>
                <w:color w:val="5E5E5E"/>
              </w:rPr>
              <w:t>2021-12</w:t>
            </w:r>
          </w:p>
        </w:tc>
        <w:tc>
          <w:tcPr>
            <w:tcW w:w="1717" w:type="dxa"/>
          </w:tcPr>
          <w:p w:rsidR="000B7239" w:rsidRDefault="0063661A">
            <w:pPr>
              <w:jc w:val="both"/>
              <w:rPr>
                <w:b/>
              </w:rPr>
            </w:pPr>
            <w:r>
              <w:rPr>
                <w:b/>
                <w:color w:val="5E5E5E"/>
              </w:rPr>
              <w:t>2022-12</w:t>
            </w:r>
          </w:p>
        </w:tc>
      </w:tr>
      <w:tr w:rsidR="000B7239">
        <w:trPr>
          <w:trHeight w:val="496"/>
        </w:trPr>
        <w:tc>
          <w:tcPr>
            <w:tcW w:w="2065" w:type="dxa"/>
          </w:tcPr>
          <w:p w:rsidR="000B7239" w:rsidRDefault="0063661A">
            <w:pPr>
              <w:jc w:val="both"/>
            </w:pPr>
            <w:r>
              <w:t>Year Over Year</w:t>
            </w:r>
          </w:p>
        </w:tc>
        <w:tc>
          <w:tcPr>
            <w:tcW w:w="1750" w:type="dxa"/>
          </w:tcPr>
          <w:p w:rsidR="000B7239" w:rsidRDefault="0063661A">
            <w:pPr>
              <w:jc w:val="both"/>
            </w:pPr>
            <w:r>
              <w:t>—</w:t>
            </w:r>
          </w:p>
        </w:tc>
        <w:tc>
          <w:tcPr>
            <w:tcW w:w="1725" w:type="dxa"/>
          </w:tcPr>
          <w:p w:rsidR="000B7239" w:rsidRDefault="0063661A">
            <w:pPr>
              <w:jc w:val="both"/>
            </w:pPr>
            <w:r>
              <w:t>114.56</w:t>
            </w:r>
          </w:p>
        </w:tc>
        <w:tc>
          <w:tcPr>
            <w:tcW w:w="1725" w:type="dxa"/>
          </w:tcPr>
          <w:p w:rsidR="000B7239" w:rsidRDefault="0063661A">
            <w:pPr>
              <w:jc w:val="both"/>
            </w:pPr>
            <w:r>
              <w:t>—</w:t>
            </w:r>
          </w:p>
        </w:tc>
        <w:tc>
          <w:tcPr>
            <w:tcW w:w="1717" w:type="dxa"/>
          </w:tcPr>
          <w:p w:rsidR="000B7239" w:rsidRDefault="0063661A">
            <w:pPr>
              <w:jc w:val="both"/>
            </w:pPr>
            <w:r>
              <w:t>206.10</w:t>
            </w:r>
          </w:p>
        </w:tc>
      </w:tr>
      <w:tr w:rsidR="000B7239">
        <w:trPr>
          <w:trHeight w:val="496"/>
        </w:trPr>
        <w:tc>
          <w:tcPr>
            <w:tcW w:w="2065" w:type="dxa"/>
          </w:tcPr>
          <w:p w:rsidR="000B7239" w:rsidRDefault="0063661A">
            <w:pPr>
              <w:jc w:val="both"/>
            </w:pPr>
            <w:r>
              <w:t>3-Year Average</w:t>
            </w:r>
          </w:p>
        </w:tc>
        <w:tc>
          <w:tcPr>
            <w:tcW w:w="1750" w:type="dxa"/>
          </w:tcPr>
          <w:p w:rsidR="000B7239" w:rsidRDefault="0063661A">
            <w:pPr>
              <w:jc w:val="both"/>
            </w:pPr>
            <w:r>
              <w:t>-16.78</w:t>
            </w:r>
          </w:p>
        </w:tc>
        <w:tc>
          <w:tcPr>
            <w:tcW w:w="1725" w:type="dxa"/>
          </w:tcPr>
          <w:p w:rsidR="000B7239" w:rsidRDefault="0063661A">
            <w:pPr>
              <w:jc w:val="both"/>
            </w:pPr>
            <w:r>
              <w:t>22.81</w:t>
            </w:r>
          </w:p>
        </w:tc>
        <w:tc>
          <w:tcPr>
            <w:tcW w:w="1725" w:type="dxa"/>
          </w:tcPr>
          <w:p w:rsidR="000B7239" w:rsidRDefault="0063661A">
            <w:pPr>
              <w:jc w:val="both"/>
            </w:pPr>
            <w:r>
              <w:t>-18.74</w:t>
            </w:r>
          </w:p>
        </w:tc>
        <w:tc>
          <w:tcPr>
            <w:tcW w:w="1717" w:type="dxa"/>
          </w:tcPr>
          <w:p w:rsidR="000B7239" w:rsidRDefault="0063661A">
            <w:pPr>
              <w:jc w:val="both"/>
            </w:pPr>
            <w:r>
              <w:t>12.52</w:t>
            </w:r>
          </w:p>
        </w:tc>
      </w:tr>
      <w:tr w:rsidR="000B7239">
        <w:trPr>
          <w:trHeight w:val="482"/>
        </w:trPr>
        <w:tc>
          <w:tcPr>
            <w:tcW w:w="2065" w:type="dxa"/>
          </w:tcPr>
          <w:p w:rsidR="000B7239" w:rsidRDefault="0063661A">
            <w:pPr>
              <w:jc w:val="both"/>
            </w:pPr>
            <w:r>
              <w:t>5-Year Average</w:t>
            </w:r>
          </w:p>
        </w:tc>
        <w:tc>
          <w:tcPr>
            <w:tcW w:w="1750" w:type="dxa"/>
          </w:tcPr>
          <w:p w:rsidR="000B7239" w:rsidRDefault="0063661A">
            <w:pPr>
              <w:jc w:val="both"/>
            </w:pPr>
            <w:r>
              <w:t>7.10</w:t>
            </w:r>
          </w:p>
        </w:tc>
        <w:tc>
          <w:tcPr>
            <w:tcW w:w="1725" w:type="dxa"/>
          </w:tcPr>
          <w:p w:rsidR="000B7239" w:rsidRDefault="0063661A">
            <w:pPr>
              <w:jc w:val="both"/>
            </w:pPr>
            <w:r>
              <w:t>11.44</w:t>
            </w:r>
          </w:p>
        </w:tc>
        <w:tc>
          <w:tcPr>
            <w:tcW w:w="1725" w:type="dxa"/>
          </w:tcPr>
          <w:p w:rsidR="000B7239" w:rsidRDefault="0063661A">
            <w:pPr>
              <w:jc w:val="both"/>
            </w:pPr>
            <w:r>
              <w:t>3.33</w:t>
            </w:r>
          </w:p>
        </w:tc>
        <w:tc>
          <w:tcPr>
            <w:tcW w:w="1717" w:type="dxa"/>
          </w:tcPr>
          <w:p w:rsidR="000B7239" w:rsidRDefault="0063661A">
            <w:pPr>
              <w:jc w:val="both"/>
            </w:pPr>
            <w:r>
              <w:t>-0.06</w:t>
            </w:r>
          </w:p>
        </w:tc>
      </w:tr>
    </w:tbl>
    <w:p w:rsidR="000B7239" w:rsidRDefault="000B7239">
      <w:pPr>
        <w:jc w:val="both"/>
      </w:pPr>
    </w:p>
    <w:p w:rsidR="000B7239" w:rsidRDefault="0063661A">
      <w:pPr>
        <w:jc w:val="both"/>
      </w:pPr>
      <w:r>
        <w:t xml:space="preserve">In terms of comparing the performance of both companies mentioned in the above table, it is revealed that year on year revenue of Marriot is greater than Hilton as mentioned in table with revenue of 49.91 for Hilton and 51.57 for Marriot in 2022. In terms </w:t>
      </w:r>
      <w:r>
        <w:t xml:space="preserve">of operating income by year-on-year basis, the results are also higher in case of Marriott with 105.90 as comparison to Hilton with result of 97.61. </w:t>
      </w:r>
      <w:proofErr w:type="gramStart"/>
      <w:r>
        <w:t>in</w:t>
      </w:r>
      <w:proofErr w:type="gramEnd"/>
      <w:r>
        <w:t xml:space="preserve"> perspective of operating income on 3-Year Average it can see that Hilton in 2022 is showing higher value</w:t>
      </w:r>
      <w:r>
        <w:t xml:space="preserve"> with 21.48 but in terms of 5-Year Average the Marriott is showing higher operating income of 8.82. In terms of Net income by year-on-year basis, the results are also higher in case of Marriott with 206.10 as comparison to Hilton with result of 114.56. </w:t>
      </w:r>
      <w:proofErr w:type="gramStart"/>
      <w:r>
        <w:t>in</w:t>
      </w:r>
      <w:proofErr w:type="gramEnd"/>
      <w:r>
        <w:t xml:space="preserve"> </w:t>
      </w:r>
      <w:r>
        <w:t xml:space="preserve">perspective of Net income on 3-Year Average it can see that Hilton in 2022 is showing higher value with 22.81 and in terms of 5-Year Average the Hilton is showing higher Net income of 11.44. </w:t>
      </w:r>
      <w:proofErr w:type="gramStart"/>
      <w:r>
        <w:t>so</w:t>
      </w:r>
      <w:proofErr w:type="gramEnd"/>
      <w:r>
        <w:t xml:space="preserve"> in this regard in terms of year on year basis the performance </w:t>
      </w:r>
      <w:r>
        <w:t xml:space="preserve">of Marriott is good but in terms of 3-Year Average and 5-Year Average basis, the performance of Hilton is good. </w:t>
      </w:r>
    </w:p>
    <w:p w:rsidR="000B7239" w:rsidRDefault="0063661A">
      <w:pPr>
        <w:jc w:val="both"/>
      </w:pPr>
      <w:r>
        <w:lastRenderedPageBreak/>
        <w:t>Both hotels of Marriott and Hilton Holdings are of significant growth potential in the hospitality sector. Both have different strategic and si</w:t>
      </w:r>
      <w:r>
        <w:t>gnificant plans of expansion of portfolio and increase the market share value in the current market of whole world (</w:t>
      </w:r>
      <w:proofErr w:type="spellStart"/>
      <w:r>
        <w:t>Jawabreh</w:t>
      </w:r>
      <w:proofErr w:type="spellEnd"/>
      <w:r>
        <w:t xml:space="preserve"> </w:t>
      </w:r>
      <w:r>
        <w:rPr>
          <w:i/>
        </w:rPr>
        <w:t>et al</w:t>
      </w:r>
      <w:r>
        <w:t>., 2022). The main objective of Marriott with respect to the growth potential is to add more than 295,000 rooms by the year of</w:t>
      </w:r>
      <w:r>
        <w:t xml:space="preserve"> </w:t>
      </w:r>
      <w:proofErr w:type="gramStart"/>
      <w:r>
        <w:t>2023  (</w:t>
      </w:r>
      <w:proofErr w:type="spellStart"/>
      <w:proofErr w:type="gramEnd"/>
      <w:r>
        <w:rPr>
          <w:color w:val="222222"/>
          <w:highlight w:val="white"/>
        </w:rPr>
        <w:t>Ghannadian</w:t>
      </w:r>
      <w:proofErr w:type="spellEnd"/>
      <w:r>
        <w:rPr>
          <w:color w:val="222222"/>
          <w:highlight w:val="white"/>
        </w:rPr>
        <w:t xml:space="preserve"> and </w:t>
      </w:r>
      <w:proofErr w:type="spellStart"/>
      <w:r>
        <w:rPr>
          <w:color w:val="222222"/>
          <w:highlight w:val="white"/>
        </w:rPr>
        <w:t>Vahlberg</w:t>
      </w:r>
      <w:proofErr w:type="spellEnd"/>
      <w:r>
        <w:rPr>
          <w:color w:val="222222"/>
          <w:highlight w:val="white"/>
        </w:rPr>
        <w:t>, 2022)</w:t>
      </w:r>
      <w:r>
        <w:t>. There are more than 500 hotels representing 115000 rooms with latest and advance development with allocation of resources to establish the hotel branch in both established and emerging international markets globally.</w:t>
      </w:r>
      <w:r>
        <w:t xml:space="preserve"> Different regions in Which Marriott also established its hotel brands are Europe, Pacific region of Asia, and Africa (</w:t>
      </w:r>
      <w:proofErr w:type="spellStart"/>
      <w:r>
        <w:t>Dhirasasna</w:t>
      </w:r>
      <w:proofErr w:type="spellEnd"/>
      <w:r>
        <w:t xml:space="preserve">, </w:t>
      </w:r>
      <w:proofErr w:type="spellStart"/>
      <w:r>
        <w:t>Becken</w:t>
      </w:r>
      <w:proofErr w:type="spellEnd"/>
      <w:r>
        <w:t xml:space="preserve"> and </w:t>
      </w:r>
      <w:proofErr w:type="spellStart"/>
      <w:r>
        <w:t>Sahin</w:t>
      </w:r>
      <w:proofErr w:type="spellEnd"/>
      <w:r>
        <w:t xml:space="preserve">, 2020). </w:t>
      </w:r>
    </w:p>
    <w:p w:rsidR="000B7239" w:rsidRDefault="0063661A">
      <w:pPr>
        <w:jc w:val="both"/>
      </w:pPr>
      <w:r>
        <w:t>The luxury segment is the main and the largest contributor in the success and portfolio establishme</w:t>
      </w:r>
      <w:r>
        <w:t xml:space="preserve">nt of Marriott international Inc. Marriott International </w:t>
      </w:r>
      <w:proofErr w:type="spellStart"/>
      <w:r>
        <w:t>Inc</w:t>
      </w:r>
      <w:proofErr w:type="spellEnd"/>
      <w:r>
        <w:t xml:space="preserve"> also include several brands of Ritz-Carlton and </w:t>
      </w:r>
      <w:proofErr w:type="spellStart"/>
      <w:r>
        <w:t>St.Regis</w:t>
      </w:r>
      <w:proofErr w:type="spellEnd"/>
      <w:r>
        <w:t xml:space="preserve"> to accommodate in the additional properties to its luxury segments as it help Marriott to enter in the luxury segments to cater and provid</w:t>
      </w:r>
      <w:r>
        <w:t xml:space="preserve">e service to the luxury </w:t>
      </w:r>
      <w:proofErr w:type="spellStart"/>
      <w:r>
        <w:t>travellers</w:t>
      </w:r>
      <w:proofErr w:type="spellEnd"/>
      <w:r>
        <w:t xml:space="preserve"> and increase the annual revenue streams. The hotel of Marriott also announced to open Dubai the Palm in the Arab Emirates, new Ritz-Carlton in the region of New York City and subsequently increase the annual revenue of th</w:t>
      </w:r>
      <w:r>
        <w:t>e Marriott holdings across the world (</w:t>
      </w:r>
      <w:r>
        <w:rPr>
          <w:color w:val="222222"/>
          <w:highlight w:val="white"/>
        </w:rPr>
        <w:t>Singh, 2022)</w:t>
      </w:r>
      <w:r>
        <w:t xml:space="preserve">. </w:t>
      </w:r>
    </w:p>
    <w:p w:rsidR="000B7239" w:rsidRDefault="0063661A">
      <w:pPr>
        <w:jc w:val="both"/>
      </w:pPr>
      <w:r>
        <w:t xml:space="preserve">The hotel </w:t>
      </w:r>
      <w:proofErr w:type="spellStart"/>
      <w:r>
        <w:t>Inc</w:t>
      </w:r>
      <w:proofErr w:type="spellEnd"/>
      <w:r>
        <w:t xml:space="preserve"> of Marriott also strategizing to expand its brand portfolio of stay brands to include different branded hotel companies of Element, Residence Inn, and </w:t>
      </w:r>
      <w:proofErr w:type="spellStart"/>
      <w:r>
        <w:t>TownePlace</w:t>
      </w:r>
      <w:proofErr w:type="spellEnd"/>
      <w:r>
        <w:t xml:space="preserve"> Suites across the globe. Th</w:t>
      </w:r>
      <w:r>
        <w:t>e company also announced in 2022 to establish and open its franchise of Element hotel in the country region of Australia along with Town place Suites possessions in the US (</w:t>
      </w:r>
      <w:proofErr w:type="spellStart"/>
      <w:r>
        <w:rPr>
          <w:color w:val="222222"/>
          <w:highlight w:val="white"/>
        </w:rPr>
        <w:t>Phalippou</w:t>
      </w:r>
      <w:proofErr w:type="spellEnd"/>
      <w:r>
        <w:rPr>
          <w:color w:val="222222"/>
          <w:highlight w:val="white"/>
        </w:rPr>
        <w:t>, 2020)</w:t>
      </w:r>
      <w:r>
        <w:t xml:space="preserve">. </w:t>
      </w:r>
    </w:p>
    <w:p w:rsidR="000B7239" w:rsidRDefault="0063661A">
      <w:pPr>
        <w:jc w:val="both"/>
      </w:pPr>
      <w:r>
        <w:t xml:space="preserve">An ambitious growth of Hilton Hotel </w:t>
      </w:r>
      <w:proofErr w:type="spellStart"/>
      <w:r>
        <w:t>Inc</w:t>
      </w:r>
      <w:proofErr w:type="spellEnd"/>
      <w:r>
        <w:t xml:space="preserve"> also plan to open new ho</w:t>
      </w:r>
      <w:r>
        <w:t>tels and franchises in the year of 2022 to 2025 with the planning to open at-least 2300 new hotels. There are approximately 310,000 rooms in the total properties of 1700 properties to locate in both established as well as emerging market globally (Tong-On,</w:t>
      </w:r>
      <w:r>
        <w:t xml:space="preserve"> </w:t>
      </w:r>
      <w:proofErr w:type="spellStart"/>
      <w:r>
        <w:t>Siripipatthanakul</w:t>
      </w:r>
      <w:proofErr w:type="spellEnd"/>
      <w:r>
        <w:t xml:space="preserve"> and </w:t>
      </w:r>
      <w:proofErr w:type="spellStart"/>
      <w:r>
        <w:t>Phayaphrom</w:t>
      </w:r>
      <w:proofErr w:type="spellEnd"/>
      <w:r>
        <w:t xml:space="preserve">, 2021). </w:t>
      </w:r>
    </w:p>
    <w:p w:rsidR="000B7239" w:rsidRDefault="0063661A">
      <w:pPr>
        <w:jc w:val="both"/>
      </w:pPr>
      <w:r>
        <w:t xml:space="preserve">On the contrary, the growth areas of Hilton brand in the segment of lifestyle hotel. The company also announced the launch of new Tempo by the brand company of Hilton to appeal and attract potential </w:t>
      </w:r>
      <w:proofErr w:type="spellStart"/>
      <w:r>
        <w:t>travellers</w:t>
      </w:r>
      <w:proofErr w:type="spellEnd"/>
      <w:r>
        <w:t xml:space="preserve"> wit</w:t>
      </w:r>
      <w:r>
        <w:t>h prioritizing over wellness and sustainability approach of the company in earning revenue profit. The hotel of Hilton also planned to establish and open its additional properties in the recent years (</w:t>
      </w:r>
      <w:proofErr w:type="spellStart"/>
      <w:r>
        <w:rPr>
          <w:color w:val="222222"/>
          <w:highlight w:val="white"/>
        </w:rPr>
        <w:t>Jeong</w:t>
      </w:r>
      <w:proofErr w:type="spellEnd"/>
      <w:r>
        <w:rPr>
          <w:color w:val="222222"/>
          <w:highlight w:val="white"/>
        </w:rPr>
        <w:t xml:space="preserve"> </w:t>
      </w:r>
      <w:r>
        <w:rPr>
          <w:i/>
          <w:color w:val="222222"/>
          <w:highlight w:val="white"/>
        </w:rPr>
        <w:t xml:space="preserve">et al., </w:t>
      </w:r>
      <w:r>
        <w:rPr>
          <w:color w:val="222222"/>
          <w:highlight w:val="white"/>
        </w:rPr>
        <w:t>2022)</w:t>
      </w:r>
      <w:r>
        <w:t xml:space="preserve">. </w:t>
      </w:r>
    </w:p>
    <w:p w:rsidR="000B7239" w:rsidRDefault="0063661A">
      <w:pPr>
        <w:jc w:val="both"/>
      </w:pPr>
      <w:r>
        <w:lastRenderedPageBreak/>
        <w:t xml:space="preserve">Hilton Holdings also emphasizing </w:t>
      </w:r>
      <w:r>
        <w:t xml:space="preserve">on the expansion of the portfolio of the luxury properties. </w:t>
      </w:r>
      <w:proofErr w:type="spellStart"/>
      <w:r>
        <w:t>Therea</w:t>
      </w:r>
      <w:proofErr w:type="spellEnd"/>
      <w:r>
        <w:t xml:space="preserve"> re several luxury brands of </w:t>
      </w:r>
      <w:proofErr w:type="spellStart"/>
      <w:r>
        <w:t>Conard</w:t>
      </w:r>
      <w:proofErr w:type="spellEnd"/>
      <w:r>
        <w:t xml:space="preserve"> Hotels and Resorts and Waldorf Astoria </w:t>
      </w:r>
      <w:proofErr w:type="spellStart"/>
      <w:r>
        <w:t>etc</w:t>
      </w:r>
      <w:proofErr w:type="spellEnd"/>
      <w:r>
        <w:t xml:space="preserve"> to add additional properties to its holdings to earn extra profit margin in the company </w:t>
      </w:r>
      <w:proofErr w:type="spellStart"/>
      <w:r>
        <w:t>Inc</w:t>
      </w:r>
      <w:proofErr w:type="spellEnd"/>
      <w:r>
        <w:t xml:space="preserve"> (</w:t>
      </w:r>
      <w:proofErr w:type="spellStart"/>
      <w:r>
        <w:rPr>
          <w:color w:val="222222"/>
          <w:highlight w:val="white"/>
        </w:rPr>
        <w:t>Niemelm</w:t>
      </w:r>
      <w:proofErr w:type="spellEnd"/>
      <w:r>
        <w:rPr>
          <w:color w:val="222222"/>
          <w:highlight w:val="white"/>
        </w:rPr>
        <w:t>. 2019)</w:t>
      </w:r>
      <w:r>
        <w:t xml:space="preserve">. </w:t>
      </w:r>
    </w:p>
    <w:p w:rsidR="000B7239" w:rsidRDefault="0063661A">
      <w:pPr>
        <w:pStyle w:val="Heading1"/>
      </w:pPr>
      <w:r>
        <w:t>F</w:t>
      </w:r>
      <w:r>
        <w:t xml:space="preserve">inancial commitment to CSR </w:t>
      </w:r>
    </w:p>
    <w:p w:rsidR="000B7239" w:rsidRDefault="0063661A">
      <w:pPr>
        <w:jc w:val="both"/>
      </w:pPr>
      <w:r>
        <w:t>Corporate Social Responsibility is the most important and crucial sector of both business as to make significant financial business model and strategic approaches to support and maintain their sustainability and social impact in</w:t>
      </w:r>
      <w:r>
        <w:t xml:space="preserve"> the hotel activities and processing. The sustainable goal of Marriott includes reduction of the carbon footprint as by estimating approach to minimize the carbon involvement in the activities by 30% by the upcoming year of 2025 and make it zero waste to c</w:t>
      </w:r>
      <w:r>
        <w:t>ontribute in the landfills by the hotel segments (Al-</w:t>
      </w:r>
      <w:proofErr w:type="spellStart"/>
      <w:r>
        <w:t>Wattar</w:t>
      </w:r>
      <w:proofErr w:type="spellEnd"/>
      <w:r>
        <w:t xml:space="preserve">, </w:t>
      </w:r>
      <w:proofErr w:type="spellStart"/>
      <w:r>
        <w:t>Almagtome</w:t>
      </w:r>
      <w:proofErr w:type="spellEnd"/>
      <w:r>
        <w:t xml:space="preserve"> and Al-</w:t>
      </w:r>
      <w:proofErr w:type="spellStart"/>
      <w:r>
        <w:t>Shafeay</w:t>
      </w:r>
      <w:proofErr w:type="spellEnd"/>
      <w:r>
        <w:t>, 2019). The hotel sectors have invested in this region of sustainability approach by maintaining and making a significant financial commitment in the technologies and sys</w:t>
      </w:r>
      <w:r>
        <w:t>tems. Marriott also announced to invest over 1$B in the green technology since 2008 investing in the technology of green, renewable energy, energy-efficient lightening, and water conservation, etc. the hotel sector also invested more than 500M$ in green bo</w:t>
      </w:r>
      <w:r>
        <w:t>nds to contribute to sustainable funding in the hotel projects globally(</w:t>
      </w:r>
      <w:r>
        <w:rPr>
          <w:color w:val="222222"/>
          <w:highlight w:val="white"/>
        </w:rPr>
        <w:t xml:space="preserve">Shin </w:t>
      </w:r>
      <w:r>
        <w:rPr>
          <w:i/>
          <w:color w:val="222222"/>
          <w:highlight w:val="white"/>
        </w:rPr>
        <w:t xml:space="preserve">et al., </w:t>
      </w:r>
      <w:r>
        <w:rPr>
          <w:color w:val="222222"/>
          <w:highlight w:val="white"/>
        </w:rPr>
        <w:t>2021)</w:t>
      </w:r>
      <w:r>
        <w:t xml:space="preserve">. </w:t>
      </w:r>
    </w:p>
    <w:p w:rsidR="000B7239" w:rsidRDefault="0063661A">
      <w:pPr>
        <w:jc w:val="both"/>
      </w:pPr>
      <w:r>
        <w:t>Supporting local communities and diversity of the nature and business approaches, Marriott also invested as global program od World of Opportunity to provide train</w:t>
      </w:r>
      <w:r>
        <w:t xml:space="preserve">ing </w:t>
      </w:r>
      <w:proofErr w:type="spellStart"/>
      <w:r>
        <w:t>nd</w:t>
      </w:r>
      <w:proofErr w:type="spellEnd"/>
      <w:r>
        <w:t xml:space="preserve"> career development to the affordable housing in the US to support the disaster relief in efforts to the MARRIOTT International Disaster Relief funds (</w:t>
      </w:r>
      <w:r>
        <w:rPr>
          <w:color w:val="222222"/>
          <w:highlight w:val="white"/>
        </w:rPr>
        <w:t xml:space="preserve">Austin and </w:t>
      </w:r>
      <w:proofErr w:type="spellStart"/>
      <w:r>
        <w:rPr>
          <w:color w:val="222222"/>
          <w:highlight w:val="white"/>
        </w:rPr>
        <w:t>Phalippou</w:t>
      </w:r>
      <w:proofErr w:type="spellEnd"/>
      <w:r>
        <w:rPr>
          <w:color w:val="222222"/>
          <w:highlight w:val="white"/>
        </w:rPr>
        <w:t>, 2022)</w:t>
      </w:r>
      <w:r>
        <w:t xml:space="preserve">. </w:t>
      </w:r>
    </w:p>
    <w:p w:rsidR="000B7239" w:rsidRDefault="0063661A">
      <w:pPr>
        <w:jc w:val="both"/>
      </w:pPr>
      <w:r>
        <w:t xml:space="preserve">On the other hand, Hilton also invested in the financial commitments </w:t>
      </w:r>
      <w:r>
        <w:t>to support the social impact and sustainability of the activities and programs. The sustainable goal of Marriott includes reduction of the carbon footprint as by estimating approach to minimize the carbon involvement in the activities by 61% by the upcomin</w:t>
      </w:r>
      <w:r>
        <w:t>g year of 2030 and make it zero waste to contribute in the landfills by averting 1M tons by the hotel segments (</w:t>
      </w:r>
      <w:proofErr w:type="spellStart"/>
      <w:r>
        <w:t>Mucharreira</w:t>
      </w:r>
      <w:proofErr w:type="spellEnd"/>
      <w:r>
        <w:t xml:space="preserve"> </w:t>
      </w:r>
      <w:r>
        <w:rPr>
          <w:i/>
        </w:rPr>
        <w:t>et al</w:t>
      </w:r>
      <w:r>
        <w:t>., 2019). Hilton also announced to invest over 1$B in the green technology since 2008 investing in the technology of green, ren</w:t>
      </w:r>
      <w:r>
        <w:t xml:space="preserve">ewable energy, energy-efficient lightening, and water conservation, </w:t>
      </w:r>
      <w:proofErr w:type="spellStart"/>
      <w:r>
        <w:t>etc</w:t>
      </w:r>
      <w:proofErr w:type="spellEnd"/>
      <w:r>
        <w:t xml:space="preserve"> (Le and Phi, 2021).</w:t>
      </w:r>
    </w:p>
    <w:p w:rsidR="000B7239" w:rsidRDefault="0063661A">
      <w:pPr>
        <w:jc w:val="both"/>
      </w:pPr>
      <w:r>
        <w:lastRenderedPageBreak/>
        <w:t xml:space="preserve">Supporting local communities and diversity of the nature and business approaches, Marriott also invested as global program </w:t>
      </w:r>
      <w:proofErr w:type="spellStart"/>
      <w:r>
        <w:t>Thrive@Hilton</w:t>
      </w:r>
      <w:proofErr w:type="spellEnd"/>
      <w:r>
        <w:t xml:space="preserve"> to provide training and car</w:t>
      </w:r>
      <w:r>
        <w:t>eer development to the affordable housing in the US to support (</w:t>
      </w:r>
      <w:r>
        <w:rPr>
          <w:color w:val="222222"/>
          <w:highlight w:val="white"/>
        </w:rPr>
        <w:t xml:space="preserve">Sharma </w:t>
      </w:r>
      <w:r>
        <w:rPr>
          <w:i/>
          <w:color w:val="222222"/>
          <w:highlight w:val="white"/>
        </w:rPr>
        <w:t xml:space="preserve">et al., </w:t>
      </w:r>
      <w:r>
        <w:rPr>
          <w:color w:val="222222"/>
          <w:highlight w:val="white"/>
        </w:rPr>
        <w:t>2021)</w:t>
      </w:r>
      <w:r>
        <w:t xml:space="preserve">. </w:t>
      </w:r>
    </w:p>
    <w:p w:rsidR="000B7239" w:rsidRDefault="0063661A">
      <w:pPr>
        <w:pStyle w:val="Heading1"/>
      </w:pPr>
      <w:r>
        <w:t xml:space="preserve">Conclusion </w:t>
      </w:r>
    </w:p>
    <w:p w:rsidR="000B7239" w:rsidRDefault="0063661A">
      <w:pPr>
        <w:jc w:val="both"/>
      </w:pPr>
      <w:r>
        <w:t xml:space="preserve">Marriott international </w:t>
      </w:r>
      <w:proofErr w:type="spellStart"/>
      <w:r>
        <w:t>Inc</w:t>
      </w:r>
      <w:proofErr w:type="spellEnd"/>
      <w:r>
        <w:t xml:space="preserve"> has larger portfolio of hotel brands, strategic acquisition, and installation of latest and advanced technology in the system, and invested in the robust market position as compared with the Hilton Hotel Inc. The luxury segment i</w:t>
      </w:r>
      <w:r>
        <w:t xml:space="preserve">s the main and the largest contributor in the success and portfolio establishment of Marriott international Inc. Marriott International </w:t>
      </w:r>
      <w:proofErr w:type="spellStart"/>
      <w:r>
        <w:t>Inc</w:t>
      </w:r>
      <w:proofErr w:type="spellEnd"/>
      <w:r>
        <w:t xml:space="preserve"> also include several brands of Ritz-Carlton and </w:t>
      </w:r>
      <w:proofErr w:type="spellStart"/>
      <w:r>
        <w:t>St.Regis</w:t>
      </w:r>
      <w:proofErr w:type="spellEnd"/>
      <w:r>
        <w:t xml:space="preserve"> to accommodate in the additional properties to its luxury s</w:t>
      </w:r>
      <w:r>
        <w:t xml:space="preserve">egments as it help Marriott to enter in the luxury segments to cater and provide service to the luxury </w:t>
      </w:r>
      <w:proofErr w:type="spellStart"/>
      <w:r>
        <w:t>travellers</w:t>
      </w:r>
      <w:proofErr w:type="spellEnd"/>
      <w:r>
        <w:t xml:space="preserve"> and increase the annual revenue streams. In the global market, Marriott International also contributes to the market leadership of 2022 includ</w:t>
      </w:r>
      <w:r>
        <w:t>ing 140 countries with exclusive 7800 properties globally. Both hotel sectors have been investing in different financial sectors to earn more profit and revenue as by investing in the latest technology and system to enhance the guest experience and drive r</w:t>
      </w:r>
      <w:r>
        <w:t>evenue growth in the hotel industry (</w:t>
      </w:r>
      <w:proofErr w:type="spellStart"/>
      <w:r>
        <w:t>Achim</w:t>
      </w:r>
      <w:proofErr w:type="spellEnd"/>
      <w:r>
        <w:t xml:space="preserve"> </w:t>
      </w:r>
      <w:r>
        <w:rPr>
          <w:i/>
        </w:rPr>
        <w:t>et al</w:t>
      </w:r>
      <w:r>
        <w:t>., 2022).</w:t>
      </w:r>
    </w:p>
    <w:p w:rsidR="000B7239" w:rsidRDefault="0063661A">
      <w:pPr>
        <w:jc w:val="both"/>
      </w:pPr>
      <w:r>
        <w:t xml:space="preserve">Both Hilton and Marriott have made significant approach in the financial commitments to support the social impact and sustainability by investing in technologies, green system, and supporting local </w:t>
      </w:r>
      <w:r>
        <w:t>communities in promotion and encouragement of inclusion and diversity (</w:t>
      </w:r>
      <w:proofErr w:type="spellStart"/>
      <w:r>
        <w:t>Saputra</w:t>
      </w:r>
      <w:proofErr w:type="spellEnd"/>
      <w:r>
        <w:t xml:space="preserve"> and Ali, 2021). </w:t>
      </w:r>
    </w:p>
    <w:p w:rsidR="000B7239" w:rsidRDefault="0063661A">
      <w:pPr>
        <w:jc w:val="both"/>
      </w:pPr>
      <w:r>
        <w:br w:type="page"/>
      </w:r>
    </w:p>
    <w:p w:rsidR="000B7239" w:rsidRDefault="0063661A">
      <w:pPr>
        <w:pStyle w:val="Heading1"/>
      </w:pPr>
      <w:r>
        <w:lastRenderedPageBreak/>
        <w:t>References</w:t>
      </w:r>
    </w:p>
    <w:p w:rsidR="000B7239" w:rsidRDefault="0063661A">
      <w:pPr>
        <w:ind w:left="720" w:hanging="720"/>
        <w:jc w:val="both"/>
        <w:rPr>
          <w:color w:val="222222"/>
          <w:highlight w:val="white"/>
        </w:rPr>
      </w:pPr>
      <w:proofErr w:type="spellStart"/>
      <w:r>
        <w:rPr>
          <w:color w:val="222222"/>
          <w:highlight w:val="white"/>
        </w:rPr>
        <w:t>Achim</w:t>
      </w:r>
      <w:proofErr w:type="spellEnd"/>
      <w:r>
        <w:rPr>
          <w:color w:val="222222"/>
          <w:highlight w:val="white"/>
        </w:rPr>
        <w:t xml:space="preserve">, M.V., </w:t>
      </w:r>
      <w:proofErr w:type="spellStart"/>
      <w:r>
        <w:rPr>
          <w:color w:val="222222"/>
          <w:highlight w:val="white"/>
        </w:rPr>
        <w:t>Safta</w:t>
      </w:r>
      <w:proofErr w:type="spellEnd"/>
      <w:r>
        <w:rPr>
          <w:color w:val="222222"/>
          <w:highlight w:val="white"/>
        </w:rPr>
        <w:t xml:space="preserve">, I.L., </w:t>
      </w:r>
      <w:proofErr w:type="spellStart"/>
      <w:r>
        <w:rPr>
          <w:color w:val="222222"/>
          <w:highlight w:val="white"/>
        </w:rPr>
        <w:t>Văidean</w:t>
      </w:r>
      <w:proofErr w:type="spellEnd"/>
      <w:r>
        <w:rPr>
          <w:color w:val="222222"/>
          <w:highlight w:val="white"/>
        </w:rPr>
        <w:t xml:space="preserve">, V.L., </w:t>
      </w:r>
      <w:proofErr w:type="spellStart"/>
      <w:r>
        <w:rPr>
          <w:color w:val="222222"/>
          <w:highlight w:val="white"/>
        </w:rPr>
        <w:t>Mureșan</w:t>
      </w:r>
      <w:proofErr w:type="spellEnd"/>
      <w:r>
        <w:rPr>
          <w:color w:val="222222"/>
          <w:highlight w:val="white"/>
        </w:rPr>
        <w:t xml:space="preserve">, G.M. and </w:t>
      </w:r>
      <w:proofErr w:type="spellStart"/>
      <w:r>
        <w:rPr>
          <w:color w:val="222222"/>
          <w:highlight w:val="white"/>
        </w:rPr>
        <w:t>Borlea</w:t>
      </w:r>
      <w:proofErr w:type="spellEnd"/>
      <w:r>
        <w:rPr>
          <w:color w:val="222222"/>
          <w:highlight w:val="white"/>
        </w:rPr>
        <w:t>, N.S., 2022. The impact of covid-19 on financial management: evidence from Romania. </w:t>
      </w:r>
      <w:r>
        <w:rPr>
          <w:i/>
          <w:color w:val="222222"/>
          <w:highlight w:val="white"/>
        </w:rPr>
        <w:t>Economic Research-</w:t>
      </w:r>
      <w:proofErr w:type="spellStart"/>
      <w:r>
        <w:rPr>
          <w:i/>
          <w:color w:val="222222"/>
          <w:highlight w:val="white"/>
        </w:rPr>
        <w:t>Ekonomska</w:t>
      </w:r>
      <w:proofErr w:type="spellEnd"/>
      <w:r>
        <w:rPr>
          <w:i/>
          <w:color w:val="222222"/>
          <w:highlight w:val="white"/>
        </w:rPr>
        <w:t xml:space="preserve"> </w:t>
      </w:r>
      <w:proofErr w:type="spellStart"/>
      <w:r>
        <w:rPr>
          <w:i/>
          <w:color w:val="222222"/>
          <w:highlight w:val="white"/>
        </w:rPr>
        <w:t>Istraživanja</w:t>
      </w:r>
      <w:proofErr w:type="spellEnd"/>
      <w:r>
        <w:rPr>
          <w:color w:val="222222"/>
          <w:highlight w:val="white"/>
        </w:rPr>
        <w:t>, </w:t>
      </w:r>
      <w:r>
        <w:rPr>
          <w:i/>
          <w:color w:val="222222"/>
          <w:highlight w:val="white"/>
        </w:rPr>
        <w:t>35</w:t>
      </w:r>
      <w:r>
        <w:rPr>
          <w:color w:val="222222"/>
          <w:highlight w:val="white"/>
        </w:rPr>
        <w:t>(1), pp.1807-1832.</w:t>
      </w:r>
    </w:p>
    <w:p w:rsidR="000B7239" w:rsidRDefault="0063661A">
      <w:pPr>
        <w:ind w:left="720" w:hanging="720"/>
        <w:jc w:val="both"/>
        <w:rPr>
          <w:color w:val="222222"/>
          <w:highlight w:val="white"/>
        </w:rPr>
      </w:pPr>
      <w:r>
        <w:rPr>
          <w:color w:val="222222"/>
          <w:highlight w:val="white"/>
        </w:rPr>
        <w:t xml:space="preserve">Alvarez, T., </w:t>
      </w:r>
      <w:proofErr w:type="spellStart"/>
      <w:r>
        <w:rPr>
          <w:color w:val="222222"/>
          <w:highlight w:val="white"/>
        </w:rPr>
        <w:t>Sensini</w:t>
      </w:r>
      <w:proofErr w:type="spellEnd"/>
      <w:r>
        <w:rPr>
          <w:color w:val="222222"/>
          <w:highlight w:val="white"/>
        </w:rPr>
        <w:t>, L., Bello, C. and Vaz</w:t>
      </w:r>
      <w:r>
        <w:rPr>
          <w:color w:val="222222"/>
          <w:highlight w:val="white"/>
        </w:rPr>
        <w:t>quez, M., 2021. Management accounting practices and performance of SMEs in the Hotel industry: Evidence from an emerging economy. </w:t>
      </w:r>
      <w:r>
        <w:rPr>
          <w:i/>
          <w:color w:val="222222"/>
          <w:highlight w:val="white"/>
        </w:rPr>
        <w:t>International Journal of Business and Social Science</w:t>
      </w:r>
      <w:r>
        <w:rPr>
          <w:color w:val="222222"/>
          <w:highlight w:val="white"/>
        </w:rPr>
        <w:t>, </w:t>
      </w:r>
      <w:r>
        <w:rPr>
          <w:i/>
          <w:color w:val="222222"/>
          <w:highlight w:val="white"/>
        </w:rPr>
        <w:t>12</w:t>
      </w:r>
      <w:r>
        <w:rPr>
          <w:color w:val="222222"/>
          <w:highlight w:val="white"/>
        </w:rPr>
        <w:t>(2), pp.24-35.</w:t>
      </w:r>
    </w:p>
    <w:p w:rsidR="000B7239" w:rsidRDefault="0063661A">
      <w:pPr>
        <w:ind w:left="720" w:hanging="720"/>
        <w:jc w:val="both"/>
        <w:rPr>
          <w:color w:val="222222"/>
          <w:highlight w:val="white"/>
        </w:rPr>
      </w:pPr>
      <w:r>
        <w:rPr>
          <w:color w:val="222222"/>
          <w:highlight w:val="white"/>
        </w:rPr>
        <w:t>Al-</w:t>
      </w:r>
      <w:proofErr w:type="spellStart"/>
      <w:r>
        <w:rPr>
          <w:color w:val="222222"/>
          <w:highlight w:val="white"/>
        </w:rPr>
        <w:t>Wattar</w:t>
      </w:r>
      <w:proofErr w:type="spellEnd"/>
      <w:r>
        <w:rPr>
          <w:color w:val="222222"/>
          <w:highlight w:val="white"/>
        </w:rPr>
        <w:t xml:space="preserve">, Y.M.A., </w:t>
      </w:r>
      <w:proofErr w:type="spellStart"/>
      <w:r>
        <w:rPr>
          <w:color w:val="222222"/>
          <w:highlight w:val="white"/>
        </w:rPr>
        <w:t>Almagtome</w:t>
      </w:r>
      <w:proofErr w:type="spellEnd"/>
      <w:r>
        <w:rPr>
          <w:color w:val="222222"/>
          <w:highlight w:val="white"/>
        </w:rPr>
        <w:t>, A.H. and Al-</w:t>
      </w:r>
      <w:proofErr w:type="spellStart"/>
      <w:r>
        <w:rPr>
          <w:color w:val="222222"/>
          <w:highlight w:val="white"/>
        </w:rPr>
        <w:t>Shafeay</w:t>
      </w:r>
      <w:proofErr w:type="spellEnd"/>
      <w:r>
        <w:rPr>
          <w:color w:val="222222"/>
          <w:highlight w:val="white"/>
        </w:rPr>
        <w:t>, K.M.</w:t>
      </w:r>
      <w:r>
        <w:rPr>
          <w:color w:val="222222"/>
          <w:highlight w:val="white"/>
        </w:rPr>
        <w:t>, 2019. The role of integrating hotel sustainability reporting practices into an Accounting Information System to enhance Hotel Financial Performance: Evidence from Iraq. </w:t>
      </w:r>
      <w:r>
        <w:rPr>
          <w:i/>
          <w:color w:val="222222"/>
          <w:highlight w:val="white"/>
        </w:rPr>
        <w:t>African Journal of Hospitality, Tourism and Leisure</w:t>
      </w:r>
      <w:r>
        <w:rPr>
          <w:color w:val="222222"/>
          <w:highlight w:val="white"/>
        </w:rPr>
        <w:t>, </w:t>
      </w:r>
      <w:r>
        <w:rPr>
          <w:i/>
          <w:color w:val="222222"/>
          <w:highlight w:val="white"/>
        </w:rPr>
        <w:t>8</w:t>
      </w:r>
      <w:r>
        <w:rPr>
          <w:color w:val="222222"/>
          <w:highlight w:val="white"/>
        </w:rPr>
        <w:t>(5), pp.1-16.</w:t>
      </w:r>
    </w:p>
    <w:p w:rsidR="000B7239" w:rsidRDefault="0063661A">
      <w:pPr>
        <w:ind w:left="720" w:hanging="720"/>
        <w:jc w:val="both"/>
        <w:rPr>
          <w:color w:val="222222"/>
          <w:highlight w:val="white"/>
        </w:rPr>
      </w:pPr>
      <w:r>
        <w:rPr>
          <w:color w:val="222222"/>
          <w:highlight w:val="white"/>
        </w:rPr>
        <w:t xml:space="preserve">Austin, N. and </w:t>
      </w:r>
      <w:proofErr w:type="spellStart"/>
      <w:r>
        <w:rPr>
          <w:color w:val="222222"/>
          <w:highlight w:val="white"/>
        </w:rPr>
        <w:t>Ph</w:t>
      </w:r>
      <w:r>
        <w:rPr>
          <w:color w:val="222222"/>
          <w:highlight w:val="white"/>
        </w:rPr>
        <w:t>alippou</w:t>
      </w:r>
      <w:proofErr w:type="spellEnd"/>
      <w:r>
        <w:rPr>
          <w:color w:val="222222"/>
          <w:highlight w:val="white"/>
        </w:rPr>
        <w:t>, L., 2022. Decomposing value gains–The case of the best leveraged buy-out ever. </w:t>
      </w:r>
      <w:r>
        <w:rPr>
          <w:i/>
          <w:color w:val="222222"/>
          <w:highlight w:val="white"/>
        </w:rPr>
        <w:t>Journal of Corporate Finance</w:t>
      </w:r>
      <w:r>
        <w:rPr>
          <w:color w:val="222222"/>
          <w:highlight w:val="white"/>
        </w:rPr>
        <w:t>, p.102317.</w:t>
      </w:r>
    </w:p>
    <w:p w:rsidR="000B7239" w:rsidRDefault="0063661A">
      <w:pPr>
        <w:ind w:left="720" w:hanging="720"/>
        <w:jc w:val="both"/>
        <w:rPr>
          <w:color w:val="222222"/>
          <w:highlight w:val="white"/>
        </w:rPr>
      </w:pPr>
      <w:proofErr w:type="spellStart"/>
      <w:r>
        <w:rPr>
          <w:color w:val="222222"/>
          <w:highlight w:val="white"/>
        </w:rPr>
        <w:t>Babajee</w:t>
      </w:r>
      <w:proofErr w:type="spellEnd"/>
      <w:r>
        <w:rPr>
          <w:color w:val="222222"/>
          <w:highlight w:val="white"/>
        </w:rPr>
        <w:t xml:space="preserve">, R.B., </w:t>
      </w:r>
      <w:proofErr w:type="spellStart"/>
      <w:r>
        <w:rPr>
          <w:color w:val="222222"/>
          <w:highlight w:val="white"/>
        </w:rPr>
        <w:t>Seetanah</w:t>
      </w:r>
      <w:proofErr w:type="spellEnd"/>
      <w:r>
        <w:rPr>
          <w:color w:val="222222"/>
          <w:highlight w:val="white"/>
        </w:rPr>
        <w:t xml:space="preserve">, B. and </w:t>
      </w:r>
      <w:proofErr w:type="spellStart"/>
      <w:r>
        <w:rPr>
          <w:color w:val="222222"/>
          <w:highlight w:val="white"/>
        </w:rPr>
        <w:t>Nunkoo</w:t>
      </w:r>
      <w:proofErr w:type="spellEnd"/>
      <w:r>
        <w:rPr>
          <w:color w:val="222222"/>
          <w:highlight w:val="white"/>
        </w:rPr>
        <w:t>, R., 2020. The determinants of hotel financial performance: an intellectual capital persp</w:t>
      </w:r>
      <w:r>
        <w:rPr>
          <w:color w:val="222222"/>
          <w:highlight w:val="white"/>
        </w:rPr>
        <w:t>ective. </w:t>
      </w:r>
      <w:r>
        <w:rPr>
          <w:i/>
          <w:color w:val="222222"/>
          <w:highlight w:val="white"/>
        </w:rPr>
        <w:t>Journal of Hospitality Marketing &amp; Management</w:t>
      </w:r>
      <w:r>
        <w:rPr>
          <w:color w:val="222222"/>
          <w:highlight w:val="white"/>
        </w:rPr>
        <w:t>, </w:t>
      </w:r>
      <w:r>
        <w:rPr>
          <w:i/>
          <w:color w:val="222222"/>
          <w:highlight w:val="white"/>
        </w:rPr>
        <w:t>29</w:t>
      </w:r>
      <w:r>
        <w:rPr>
          <w:color w:val="222222"/>
          <w:highlight w:val="white"/>
        </w:rPr>
        <w:t>(8), pp.1008-1026.</w:t>
      </w:r>
    </w:p>
    <w:p w:rsidR="000B7239" w:rsidRDefault="0063661A">
      <w:pPr>
        <w:ind w:left="720" w:hanging="720"/>
        <w:jc w:val="both"/>
        <w:rPr>
          <w:color w:val="222222"/>
          <w:highlight w:val="white"/>
        </w:rPr>
      </w:pPr>
      <w:r>
        <w:rPr>
          <w:color w:val="222222"/>
          <w:highlight w:val="white"/>
        </w:rPr>
        <w:t xml:space="preserve">Bianco, S., Zach, F.J. and </w:t>
      </w:r>
      <w:proofErr w:type="spellStart"/>
      <w:r>
        <w:rPr>
          <w:color w:val="222222"/>
          <w:highlight w:val="white"/>
        </w:rPr>
        <w:t>Singal</w:t>
      </w:r>
      <w:proofErr w:type="spellEnd"/>
      <w:r>
        <w:rPr>
          <w:color w:val="222222"/>
          <w:highlight w:val="white"/>
        </w:rPr>
        <w:t>, M., 2022. Disruptor recognition and market value of incumbent firms: Airbnb and the lodging industry. </w:t>
      </w:r>
      <w:r>
        <w:rPr>
          <w:i/>
          <w:color w:val="222222"/>
          <w:highlight w:val="white"/>
        </w:rPr>
        <w:t>Journal of Hospitality &amp; Tourism Research</w:t>
      </w:r>
      <w:r>
        <w:rPr>
          <w:color w:val="222222"/>
          <w:highlight w:val="white"/>
        </w:rPr>
        <w:t xml:space="preserve">, </w:t>
      </w:r>
      <w:r>
        <w:rPr>
          <w:color w:val="222222"/>
          <w:highlight w:val="white"/>
        </w:rPr>
        <w:t>p.10963480221085215.</w:t>
      </w:r>
    </w:p>
    <w:p w:rsidR="000B7239" w:rsidRDefault="0063661A">
      <w:pPr>
        <w:ind w:left="720" w:hanging="720"/>
        <w:jc w:val="both"/>
        <w:rPr>
          <w:color w:val="222222"/>
          <w:highlight w:val="white"/>
        </w:rPr>
      </w:pPr>
      <w:r>
        <w:rPr>
          <w:color w:val="222222"/>
          <w:highlight w:val="white"/>
        </w:rPr>
        <w:t xml:space="preserve">Brown, M.T., </w:t>
      </w:r>
      <w:proofErr w:type="spellStart"/>
      <w:r>
        <w:rPr>
          <w:color w:val="222222"/>
          <w:highlight w:val="white"/>
        </w:rPr>
        <w:t>Rascher</w:t>
      </w:r>
      <w:proofErr w:type="spellEnd"/>
      <w:r>
        <w:rPr>
          <w:color w:val="222222"/>
          <w:highlight w:val="white"/>
        </w:rPr>
        <w:t>, D.A., Nagel, M.S. and McEvoy, C.D., 2021. </w:t>
      </w:r>
      <w:r>
        <w:rPr>
          <w:i/>
          <w:color w:val="222222"/>
          <w:highlight w:val="white"/>
        </w:rPr>
        <w:t>Financial management in the sport industry</w:t>
      </w:r>
      <w:r>
        <w:rPr>
          <w:color w:val="222222"/>
          <w:highlight w:val="white"/>
        </w:rPr>
        <w:t>. Routledge.</w:t>
      </w:r>
    </w:p>
    <w:p w:rsidR="000B7239" w:rsidRDefault="0063661A">
      <w:pPr>
        <w:ind w:left="720" w:hanging="720"/>
        <w:jc w:val="both"/>
      </w:pPr>
      <w:proofErr w:type="spellStart"/>
      <w:r>
        <w:t>Businesswire</w:t>
      </w:r>
      <w:proofErr w:type="spellEnd"/>
      <w:r>
        <w:t>, 2023, “</w:t>
      </w:r>
      <w:r>
        <w:rPr>
          <w:i/>
        </w:rPr>
        <w:t>Hilton Reports Fourth Quarter and Full Year Results” [</w:t>
      </w:r>
      <w:r>
        <w:t xml:space="preserve">Online] </w:t>
      </w:r>
      <w:proofErr w:type="spellStart"/>
      <w:r>
        <w:t>Avaialble</w:t>
      </w:r>
      <w:proofErr w:type="spellEnd"/>
      <w:r>
        <w:t xml:space="preserve"> at: </w:t>
      </w:r>
      <w:hyperlink r:id="rId5">
        <w:r>
          <w:rPr>
            <w:color w:val="0563C1"/>
            <w:u w:val="single"/>
          </w:rPr>
          <w:t>https://www.businesswire.com/news/home/20230209005067/en/Hilton-Reports-Fourth-Quarter-and-Full-Year-Results</w:t>
        </w:r>
      </w:hyperlink>
      <w:r>
        <w:t xml:space="preserve">  Accessed Date 25 April 2023.</w:t>
      </w:r>
    </w:p>
    <w:p w:rsidR="000B7239" w:rsidRDefault="0063661A">
      <w:pPr>
        <w:ind w:left="720" w:hanging="720"/>
        <w:jc w:val="both"/>
        <w:rPr>
          <w:color w:val="222222"/>
          <w:highlight w:val="white"/>
        </w:rPr>
      </w:pPr>
      <w:proofErr w:type="spellStart"/>
      <w:r>
        <w:rPr>
          <w:color w:val="222222"/>
          <w:highlight w:val="white"/>
        </w:rPr>
        <w:t>Cavero</w:t>
      </w:r>
      <w:proofErr w:type="spellEnd"/>
      <w:r>
        <w:rPr>
          <w:color w:val="222222"/>
          <w:highlight w:val="white"/>
        </w:rPr>
        <w:t>-R</w:t>
      </w:r>
      <w:r>
        <w:rPr>
          <w:color w:val="222222"/>
          <w:highlight w:val="white"/>
        </w:rPr>
        <w:t xml:space="preserve">ubio, J.A. and </w:t>
      </w:r>
      <w:proofErr w:type="spellStart"/>
      <w:r>
        <w:rPr>
          <w:color w:val="222222"/>
          <w:highlight w:val="white"/>
        </w:rPr>
        <w:t>Amorós-Martínez</w:t>
      </w:r>
      <w:proofErr w:type="spellEnd"/>
      <w:r>
        <w:rPr>
          <w:color w:val="222222"/>
          <w:highlight w:val="white"/>
        </w:rPr>
        <w:t>, A., 2020. Environmental certification and Spanish hotels’ performance in the 2008 financial crisis. </w:t>
      </w:r>
      <w:r>
        <w:rPr>
          <w:i/>
          <w:color w:val="222222"/>
          <w:highlight w:val="white"/>
        </w:rPr>
        <w:t>Journal of Sustainable Tourism</w:t>
      </w:r>
      <w:r>
        <w:rPr>
          <w:color w:val="222222"/>
          <w:highlight w:val="white"/>
        </w:rPr>
        <w:t>, </w:t>
      </w:r>
      <w:r>
        <w:rPr>
          <w:i/>
          <w:color w:val="222222"/>
          <w:highlight w:val="white"/>
        </w:rPr>
        <w:t>28</w:t>
      </w:r>
      <w:r>
        <w:rPr>
          <w:color w:val="222222"/>
          <w:highlight w:val="white"/>
        </w:rPr>
        <w:t>(5), pp.771-796.</w:t>
      </w:r>
    </w:p>
    <w:p w:rsidR="000B7239" w:rsidRDefault="0063661A">
      <w:pPr>
        <w:ind w:left="720" w:hanging="720"/>
        <w:jc w:val="both"/>
        <w:rPr>
          <w:color w:val="222222"/>
          <w:highlight w:val="white"/>
        </w:rPr>
      </w:pPr>
      <w:proofErr w:type="spellStart"/>
      <w:r>
        <w:rPr>
          <w:color w:val="222222"/>
          <w:highlight w:val="white"/>
        </w:rPr>
        <w:lastRenderedPageBreak/>
        <w:t>Dhirasasna</w:t>
      </w:r>
      <w:proofErr w:type="spellEnd"/>
      <w:r>
        <w:rPr>
          <w:color w:val="222222"/>
          <w:highlight w:val="white"/>
        </w:rPr>
        <w:t xml:space="preserve">, N. and </w:t>
      </w:r>
      <w:proofErr w:type="spellStart"/>
      <w:r>
        <w:rPr>
          <w:color w:val="222222"/>
          <w:highlight w:val="white"/>
        </w:rPr>
        <w:t>Sahin</w:t>
      </w:r>
      <w:proofErr w:type="spellEnd"/>
      <w:r>
        <w:rPr>
          <w:color w:val="222222"/>
          <w:highlight w:val="white"/>
        </w:rPr>
        <w:t>, O., 2021. A system dynamics model for renewable</w:t>
      </w:r>
      <w:r>
        <w:rPr>
          <w:color w:val="222222"/>
          <w:highlight w:val="white"/>
        </w:rPr>
        <w:t xml:space="preserve"> energy technology adoption of the hotel sector. </w:t>
      </w:r>
      <w:r>
        <w:rPr>
          <w:i/>
          <w:color w:val="222222"/>
          <w:highlight w:val="white"/>
        </w:rPr>
        <w:t>Renewable Energy</w:t>
      </w:r>
      <w:r>
        <w:rPr>
          <w:color w:val="222222"/>
          <w:highlight w:val="white"/>
        </w:rPr>
        <w:t>, </w:t>
      </w:r>
      <w:r>
        <w:rPr>
          <w:i/>
          <w:color w:val="222222"/>
          <w:highlight w:val="white"/>
        </w:rPr>
        <w:t>163</w:t>
      </w:r>
      <w:r>
        <w:rPr>
          <w:color w:val="222222"/>
          <w:highlight w:val="white"/>
        </w:rPr>
        <w:t>, pp.1994-2007.</w:t>
      </w:r>
    </w:p>
    <w:p w:rsidR="000B7239" w:rsidRDefault="0063661A">
      <w:pPr>
        <w:ind w:left="720" w:hanging="720"/>
        <w:jc w:val="both"/>
        <w:rPr>
          <w:color w:val="222222"/>
          <w:highlight w:val="white"/>
        </w:rPr>
      </w:pPr>
      <w:proofErr w:type="spellStart"/>
      <w:r>
        <w:rPr>
          <w:color w:val="222222"/>
          <w:highlight w:val="white"/>
        </w:rPr>
        <w:t>Dhirasasna</w:t>
      </w:r>
      <w:proofErr w:type="spellEnd"/>
      <w:r>
        <w:rPr>
          <w:color w:val="222222"/>
          <w:highlight w:val="white"/>
        </w:rPr>
        <w:t xml:space="preserve">, N., </w:t>
      </w:r>
      <w:proofErr w:type="spellStart"/>
      <w:r>
        <w:rPr>
          <w:color w:val="222222"/>
          <w:highlight w:val="white"/>
        </w:rPr>
        <w:t>Becken</w:t>
      </w:r>
      <w:proofErr w:type="spellEnd"/>
      <w:r>
        <w:rPr>
          <w:color w:val="222222"/>
          <w:highlight w:val="white"/>
        </w:rPr>
        <w:t xml:space="preserve">, S. and </w:t>
      </w:r>
      <w:proofErr w:type="spellStart"/>
      <w:r>
        <w:rPr>
          <w:color w:val="222222"/>
          <w:highlight w:val="white"/>
        </w:rPr>
        <w:t>Sahin</w:t>
      </w:r>
      <w:proofErr w:type="spellEnd"/>
      <w:r>
        <w:rPr>
          <w:color w:val="222222"/>
          <w:highlight w:val="white"/>
        </w:rPr>
        <w:t>, O., 2020. A systems approach to examining the drivers and barriers of renewable energy technology adoption in the hotel sector in Qu</w:t>
      </w:r>
      <w:r>
        <w:rPr>
          <w:color w:val="222222"/>
          <w:highlight w:val="white"/>
        </w:rPr>
        <w:t>eensland, Australia. </w:t>
      </w:r>
      <w:r>
        <w:rPr>
          <w:i/>
          <w:color w:val="222222"/>
          <w:highlight w:val="white"/>
        </w:rPr>
        <w:t>Journal of Hospitality and Tourism Management</w:t>
      </w:r>
      <w:r>
        <w:rPr>
          <w:color w:val="222222"/>
          <w:highlight w:val="white"/>
        </w:rPr>
        <w:t>, </w:t>
      </w:r>
      <w:r>
        <w:rPr>
          <w:i/>
          <w:color w:val="222222"/>
          <w:highlight w:val="white"/>
        </w:rPr>
        <w:t>42</w:t>
      </w:r>
      <w:r>
        <w:rPr>
          <w:color w:val="222222"/>
          <w:highlight w:val="white"/>
        </w:rPr>
        <w:t>, pp.153-172.</w:t>
      </w:r>
    </w:p>
    <w:p w:rsidR="000B7239" w:rsidRDefault="0063661A">
      <w:pPr>
        <w:ind w:left="720" w:hanging="720"/>
        <w:jc w:val="both"/>
      </w:pPr>
      <w:proofErr w:type="gramStart"/>
      <w:r>
        <w:t>finance</w:t>
      </w:r>
      <w:proofErr w:type="gramEnd"/>
      <w:r>
        <w:t xml:space="preserve">, </w:t>
      </w:r>
      <w:proofErr w:type="spellStart"/>
      <w:r>
        <w:t>n.a</w:t>
      </w:r>
      <w:proofErr w:type="spellEnd"/>
      <w:r>
        <w:t>, “</w:t>
      </w:r>
      <w:r>
        <w:rPr>
          <w:i/>
        </w:rPr>
        <w:t xml:space="preserve">Hilton Holding </w:t>
      </w:r>
      <w:proofErr w:type="spellStart"/>
      <w:r>
        <w:rPr>
          <w:i/>
        </w:rPr>
        <w:t>Inc</w:t>
      </w:r>
      <w:proofErr w:type="spellEnd"/>
      <w:r>
        <w:rPr>
          <w:i/>
        </w:rPr>
        <w:t xml:space="preserve">”, </w:t>
      </w:r>
      <w:r>
        <w:t>[</w:t>
      </w:r>
      <w:proofErr w:type="spellStart"/>
      <w:r>
        <w:t>Avaialble</w:t>
      </w:r>
      <w:proofErr w:type="spellEnd"/>
      <w:r>
        <w:t xml:space="preserve">] Online at: </w:t>
      </w:r>
      <w:hyperlink r:id="rId6">
        <w:r>
          <w:rPr>
            <w:color w:val="0563C1"/>
            <w:u w:val="single"/>
          </w:rPr>
          <w:t>https://finance.yahoo.com/quote/HLT/profile/</w:t>
        </w:r>
      </w:hyperlink>
      <w:r>
        <w:t xml:space="preserve"> Acce</w:t>
      </w:r>
      <w:r>
        <w:t>ssed Date: 25 April 2023.</w:t>
      </w:r>
    </w:p>
    <w:p w:rsidR="000B7239" w:rsidRDefault="0063661A">
      <w:pPr>
        <w:ind w:left="720" w:hanging="720"/>
        <w:jc w:val="both"/>
      </w:pPr>
      <w:r>
        <w:t xml:space="preserve">Finance, </w:t>
      </w:r>
      <w:proofErr w:type="spellStart"/>
      <w:r>
        <w:t>n.a</w:t>
      </w:r>
      <w:proofErr w:type="spellEnd"/>
      <w:r>
        <w:t>,</w:t>
      </w:r>
      <w:r>
        <w:rPr>
          <w:i/>
        </w:rPr>
        <w:t xml:space="preserve"> Marriott International, Inc. (MAR) </w:t>
      </w:r>
      <w:r>
        <w:t xml:space="preserve">[Online] Available at </w:t>
      </w:r>
      <w:hyperlink r:id="rId7">
        <w:r>
          <w:rPr>
            <w:color w:val="0563C1"/>
            <w:u w:val="single"/>
          </w:rPr>
          <w:t>https://finance.yahoo.com/quote/MAR/profile/</w:t>
        </w:r>
      </w:hyperlink>
      <w:r>
        <w:rPr>
          <w:color w:val="0563C1"/>
          <w:u w:val="single"/>
        </w:rPr>
        <w:t xml:space="preserve"> </w:t>
      </w:r>
      <w:r>
        <w:rPr>
          <w:color w:val="0563C1"/>
        </w:rPr>
        <w:t xml:space="preserve"> </w:t>
      </w:r>
      <w:r>
        <w:t xml:space="preserve">Accessed Date: 22 April 2023. </w:t>
      </w:r>
    </w:p>
    <w:p w:rsidR="000B7239" w:rsidRDefault="0063661A">
      <w:pPr>
        <w:ind w:left="720" w:hanging="720"/>
        <w:jc w:val="both"/>
        <w:rPr>
          <w:color w:val="222222"/>
          <w:highlight w:val="white"/>
        </w:rPr>
      </w:pPr>
      <w:proofErr w:type="spellStart"/>
      <w:r>
        <w:rPr>
          <w:color w:val="222222"/>
          <w:highlight w:val="white"/>
        </w:rPr>
        <w:t>Ghannadian</w:t>
      </w:r>
      <w:proofErr w:type="spellEnd"/>
      <w:r>
        <w:rPr>
          <w:color w:val="222222"/>
          <w:highlight w:val="white"/>
        </w:rPr>
        <w:t xml:space="preserve">, F.F. and </w:t>
      </w:r>
      <w:proofErr w:type="spellStart"/>
      <w:r>
        <w:rPr>
          <w:color w:val="222222"/>
          <w:highlight w:val="white"/>
        </w:rPr>
        <w:t>Vahlberg</w:t>
      </w:r>
      <w:proofErr w:type="spellEnd"/>
      <w:r>
        <w:rPr>
          <w:color w:val="222222"/>
          <w:highlight w:val="white"/>
        </w:rPr>
        <w:t>, M.A.L., 2022. THE IMPACT OF THE COVID-19 PANDEMIC ON THE US LUXURY HOTEL MARKET. </w:t>
      </w:r>
      <w:r>
        <w:rPr>
          <w:i/>
          <w:color w:val="222222"/>
          <w:highlight w:val="white"/>
        </w:rPr>
        <w:t>QRBD</w:t>
      </w:r>
      <w:r>
        <w:rPr>
          <w:color w:val="222222"/>
          <w:highlight w:val="white"/>
        </w:rPr>
        <w:t>, p.119.</w:t>
      </w:r>
    </w:p>
    <w:p w:rsidR="000B7239" w:rsidRDefault="0063661A">
      <w:pPr>
        <w:ind w:left="720" w:hanging="720"/>
        <w:jc w:val="both"/>
        <w:rPr>
          <w:color w:val="222222"/>
          <w:highlight w:val="white"/>
        </w:rPr>
      </w:pPr>
      <w:proofErr w:type="spellStart"/>
      <w:r>
        <w:rPr>
          <w:color w:val="222222"/>
          <w:highlight w:val="white"/>
        </w:rPr>
        <w:t>Jawabreh</w:t>
      </w:r>
      <w:proofErr w:type="spellEnd"/>
      <w:r>
        <w:rPr>
          <w:color w:val="222222"/>
          <w:highlight w:val="white"/>
        </w:rPr>
        <w:t xml:space="preserve">, O., </w:t>
      </w:r>
      <w:proofErr w:type="spellStart"/>
      <w:r>
        <w:rPr>
          <w:color w:val="222222"/>
          <w:highlight w:val="white"/>
        </w:rPr>
        <w:t>Shniekat</w:t>
      </w:r>
      <w:proofErr w:type="spellEnd"/>
      <w:r>
        <w:rPr>
          <w:color w:val="222222"/>
          <w:highlight w:val="white"/>
        </w:rPr>
        <w:t>, N., Saleh, M.M.A. and Ali, B.J., 2022. The strategic deployment of information systems attributes and finan</w:t>
      </w:r>
      <w:r>
        <w:rPr>
          <w:color w:val="222222"/>
          <w:highlight w:val="white"/>
        </w:rPr>
        <w:t>cial performance in the hospitality industry. </w:t>
      </w:r>
      <w:r>
        <w:rPr>
          <w:i/>
          <w:color w:val="222222"/>
          <w:highlight w:val="white"/>
        </w:rPr>
        <w:t>Information Sciences Letters</w:t>
      </w:r>
      <w:r>
        <w:rPr>
          <w:color w:val="222222"/>
          <w:highlight w:val="white"/>
        </w:rPr>
        <w:t>, </w:t>
      </w:r>
      <w:r>
        <w:rPr>
          <w:i/>
          <w:color w:val="222222"/>
          <w:highlight w:val="white"/>
        </w:rPr>
        <w:t>11</w:t>
      </w:r>
      <w:r>
        <w:rPr>
          <w:color w:val="222222"/>
          <w:highlight w:val="white"/>
        </w:rPr>
        <w:t>(5), p.110504.</w:t>
      </w:r>
    </w:p>
    <w:p w:rsidR="000B7239" w:rsidRDefault="0063661A">
      <w:pPr>
        <w:ind w:left="720" w:hanging="720"/>
        <w:jc w:val="both"/>
        <w:rPr>
          <w:color w:val="222222"/>
          <w:highlight w:val="white"/>
        </w:rPr>
      </w:pPr>
      <w:proofErr w:type="spellStart"/>
      <w:r>
        <w:rPr>
          <w:color w:val="222222"/>
          <w:highlight w:val="white"/>
        </w:rPr>
        <w:t>Jeong</w:t>
      </w:r>
      <w:proofErr w:type="spellEnd"/>
      <w:r>
        <w:rPr>
          <w:color w:val="222222"/>
          <w:highlight w:val="white"/>
        </w:rPr>
        <w:t>, M., Shin, H.H., Lee, M. and Lee, J., 2022. Assessing brand performance consistency from consumer-generated media: the US hotel industry. </w:t>
      </w:r>
      <w:r>
        <w:rPr>
          <w:i/>
          <w:color w:val="222222"/>
          <w:highlight w:val="white"/>
        </w:rPr>
        <w:t>International Journ</w:t>
      </w:r>
      <w:r>
        <w:rPr>
          <w:i/>
          <w:color w:val="222222"/>
          <w:highlight w:val="white"/>
        </w:rPr>
        <w:t>al of Contemporary Hospitality Management</w:t>
      </w:r>
      <w:r>
        <w:rPr>
          <w:color w:val="222222"/>
          <w:highlight w:val="white"/>
        </w:rPr>
        <w:t>, (ahead-of-print).</w:t>
      </w:r>
    </w:p>
    <w:p w:rsidR="000B7239" w:rsidRDefault="0063661A">
      <w:pPr>
        <w:ind w:left="720" w:hanging="720"/>
        <w:jc w:val="both"/>
        <w:rPr>
          <w:color w:val="222222"/>
          <w:highlight w:val="white"/>
        </w:rPr>
      </w:pPr>
      <w:r>
        <w:rPr>
          <w:color w:val="222222"/>
          <w:highlight w:val="white"/>
        </w:rPr>
        <w:t>Le, D. and Phi, G., 2021. Strategic responses of the hotel sector to COVID-19: Toward a refined pandemic crisis management framework. </w:t>
      </w:r>
      <w:r>
        <w:rPr>
          <w:i/>
          <w:color w:val="222222"/>
          <w:highlight w:val="white"/>
        </w:rPr>
        <w:t>International Journal of Hospitality Management</w:t>
      </w:r>
      <w:r>
        <w:rPr>
          <w:color w:val="222222"/>
          <w:highlight w:val="white"/>
        </w:rPr>
        <w:t>, </w:t>
      </w:r>
      <w:r>
        <w:rPr>
          <w:i/>
          <w:color w:val="222222"/>
          <w:highlight w:val="white"/>
        </w:rPr>
        <w:t>94</w:t>
      </w:r>
      <w:r>
        <w:rPr>
          <w:color w:val="222222"/>
          <w:highlight w:val="white"/>
        </w:rPr>
        <w:t>, p.102808</w:t>
      </w:r>
      <w:r>
        <w:rPr>
          <w:color w:val="222222"/>
          <w:highlight w:val="white"/>
        </w:rPr>
        <w:t>.</w:t>
      </w:r>
    </w:p>
    <w:p w:rsidR="000B7239" w:rsidRDefault="0063661A">
      <w:pPr>
        <w:ind w:left="720" w:hanging="720"/>
        <w:jc w:val="both"/>
        <w:rPr>
          <w:color w:val="222222"/>
          <w:highlight w:val="white"/>
        </w:rPr>
      </w:pPr>
      <w:proofErr w:type="spellStart"/>
      <w:r>
        <w:rPr>
          <w:color w:val="222222"/>
          <w:highlight w:val="white"/>
        </w:rPr>
        <w:t>Mucharreira</w:t>
      </w:r>
      <w:proofErr w:type="spellEnd"/>
      <w:r>
        <w:rPr>
          <w:color w:val="222222"/>
          <w:highlight w:val="white"/>
        </w:rPr>
        <w:t xml:space="preserve">, P.R., </w:t>
      </w:r>
      <w:proofErr w:type="spellStart"/>
      <w:r>
        <w:rPr>
          <w:color w:val="222222"/>
          <w:highlight w:val="white"/>
        </w:rPr>
        <w:t>Antunes</w:t>
      </w:r>
      <w:proofErr w:type="spellEnd"/>
      <w:r>
        <w:rPr>
          <w:color w:val="222222"/>
          <w:highlight w:val="white"/>
        </w:rPr>
        <w:t xml:space="preserve">, M.G., </w:t>
      </w:r>
      <w:proofErr w:type="spellStart"/>
      <w:r>
        <w:rPr>
          <w:color w:val="222222"/>
          <w:highlight w:val="white"/>
        </w:rPr>
        <w:t>Abranja</w:t>
      </w:r>
      <w:proofErr w:type="spellEnd"/>
      <w:r>
        <w:rPr>
          <w:color w:val="222222"/>
          <w:highlight w:val="white"/>
        </w:rPr>
        <w:t xml:space="preserve">, N., </w:t>
      </w:r>
      <w:proofErr w:type="spellStart"/>
      <w:r>
        <w:rPr>
          <w:color w:val="222222"/>
          <w:highlight w:val="white"/>
        </w:rPr>
        <w:t>Justino</w:t>
      </w:r>
      <w:proofErr w:type="spellEnd"/>
      <w:r>
        <w:rPr>
          <w:color w:val="222222"/>
          <w:highlight w:val="white"/>
        </w:rPr>
        <w:t xml:space="preserve">, M.R.T. and </w:t>
      </w:r>
      <w:proofErr w:type="spellStart"/>
      <w:r>
        <w:rPr>
          <w:color w:val="222222"/>
          <w:highlight w:val="white"/>
        </w:rPr>
        <w:t>Quirós</w:t>
      </w:r>
      <w:proofErr w:type="spellEnd"/>
      <w:r>
        <w:rPr>
          <w:color w:val="222222"/>
          <w:highlight w:val="white"/>
        </w:rPr>
        <w:t>, J.T., 2019. The relevance of tourism in financial sustainability of hotels. </w:t>
      </w:r>
      <w:r>
        <w:rPr>
          <w:i/>
          <w:color w:val="222222"/>
          <w:highlight w:val="white"/>
        </w:rPr>
        <w:t>European Research on Management and Business Economics</w:t>
      </w:r>
      <w:r>
        <w:rPr>
          <w:color w:val="222222"/>
          <w:highlight w:val="white"/>
        </w:rPr>
        <w:t>, </w:t>
      </w:r>
      <w:r>
        <w:rPr>
          <w:i/>
          <w:color w:val="222222"/>
          <w:highlight w:val="white"/>
        </w:rPr>
        <w:t>25</w:t>
      </w:r>
      <w:r>
        <w:rPr>
          <w:color w:val="222222"/>
          <w:highlight w:val="white"/>
        </w:rPr>
        <w:t>(3), pp.165-174.</w:t>
      </w:r>
    </w:p>
    <w:p w:rsidR="000B7239" w:rsidRDefault="0063661A">
      <w:pPr>
        <w:ind w:left="720" w:hanging="720"/>
        <w:jc w:val="both"/>
        <w:rPr>
          <w:color w:val="222222"/>
          <w:highlight w:val="white"/>
        </w:rPr>
      </w:pPr>
      <w:proofErr w:type="spellStart"/>
      <w:r>
        <w:rPr>
          <w:color w:val="222222"/>
          <w:highlight w:val="white"/>
        </w:rPr>
        <w:t>Niemelä</w:t>
      </w:r>
      <w:proofErr w:type="spellEnd"/>
      <w:r>
        <w:rPr>
          <w:color w:val="222222"/>
          <w:highlight w:val="white"/>
        </w:rPr>
        <w:t>, M., 2019. Brand man</w:t>
      </w:r>
      <w:r>
        <w:rPr>
          <w:color w:val="222222"/>
          <w:highlight w:val="white"/>
        </w:rPr>
        <w:t xml:space="preserve">agement strategies of hotel chain sub-brands Sheraton Marriott and </w:t>
      </w:r>
      <w:proofErr w:type="spellStart"/>
      <w:r>
        <w:rPr>
          <w:color w:val="222222"/>
          <w:highlight w:val="white"/>
        </w:rPr>
        <w:t>DoubleTree</w:t>
      </w:r>
      <w:proofErr w:type="spellEnd"/>
      <w:r>
        <w:rPr>
          <w:color w:val="222222"/>
          <w:highlight w:val="white"/>
        </w:rPr>
        <w:t xml:space="preserve"> by Hilton.</w:t>
      </w:r>
    </w:p>
    <w:p w:rsidR="000B7239" w:rsidRDefault="0063661A">
      <w:pPr>
        <w:ind w:left="720" w:hanging="720"/>
        <w:jc w:val="both"/>
      </w:pPr>
      <w:proofErr w:type="spellStart"/>
      <w:r>
        <w:rPr>
          <w:color w:val="222222"/>
          <w:highlight w:val="white"/>
        </w:rPr>
        <w:lastRenderedPageBreak/>
        <w:t>Penela</w:t>
      </w:r>
      <w:proofErr w:type="spellEnd"/>
      <w:r>
        <w:rPr>
          <w:color w:val="222222"/>
          <w:highlight w:val="white"/>
        </w:rPr>
        <w:t xml:space="preserve">, D., </w:t>
      </w:r>
      <w:proofErr w:type="spellStart"/>
      <w:r>
        <w:rPr>
          <w:color w:val="222222"/>
          <w:highlight w:val="white"/>
        </w:rPr>
        <w:t>Estevão</w:t>
      </w:r>
      <w:proofErr w:type="spellEnd"/>
      <w:r>
        <w:rPr>
          <w:color w:val="222222"/>
          <w:highlight w:val="white"/>
        </w:rPr>
        <w:t>, J. and Gregory, A., 2019. Accounting and financial antecedents of corporate spin-offs in the lodging industry. </w:t>
      </w:r>
      <w:r>
        <w:rPr>
          <w:i/>
          <w:color w:val="222222"/>
          <w:highlight w:val="white"/>
        </w:rPr>
        <w:t>International Journal of Hospitalit</w:t>
      </w:r>
      <w:r>
        <w:rPr>
          <w:i/>
          <w:color w:val="222222"/>
          <w:highlight w:val="white"/>
        </w:rPr>
        <w:t>y Management</w:t>
      </w:r>
      <w:r>
        <w:rPr>
          <w:color w:val="222222"/>
          <w:highlight w:val="white"/>
        </w:rPr>
        <w:t>, </w:t>
      </w:r>
      <w:r>
        <w:rPr>
          <w:i/>
          <w:color w:val="222222"/>
          <w:highlight w:val="white"/>
        </w:rPr>
        <w:t>83</w:t>
      </w:r>
      <w:r>
        <w:rPr>
          <w:color w:val="222222"/>
          <w:highlight w:val="white"/>
        </w:rPr>
        <w:t>, pp.151-158.</w:t>
      </w:r>
    </w:p>
    <w:p w:rsidR="000B7239" w:rsidRDefault="0063661A">
      <w:pPr>
        <w:ind w:left="720" w:hanging="720"/>
        <w:jc w:val="both"/>
        <w:rPr>
          <w:color w:val="222222"/>
          <w:highlight w:val="white"/>
        </w:rPr>
      </w:pPr>
      <w:proofErr w:type="spellStart"/>
      <w:r>
        <w:rPr>
          <w:color w:val="222222"/>
          <w:highlight w:val="white"/>
        </w:rPr>
        <w:t>Phalippou</w:t>
      </w:r>
      <w:proofErr w:type="spellEnd"/>
      <w:r>
        <w:rPr>
          <w:color w:val="222222"/>
          <w:highlight w:val="white"/>
        </w:rPr>
        <w:t>, L., 2020. An inconvenient fact: Private equity returns &amp; the billionaire factory. </w:t>
      </w:r>
      <w:r>
        <w:rPr>
          <w:i/>
          <w:color w:val="222222"/>
          <w:highlight w:val="white"/>
        </w:rPr>
        <w:t>University of Oxford, Said Business School, Working Paper</w:t>
      </w:r>
      <w:r>
        <w:rPr>
          <w:color w:val="222222"/>
          <w:highlight w:val="white"/>
        </w:rPr>
        <w:t>.</w:t>
      </w:r>
    </w:p>
    <w:p w:rsidR="000B7239" w:rsidRDefault="0063661A">
      <w:pPr>
        <w:ind w:left="720" w:hanging="720"/>
        <w:jc w:val="both"/>
      </w:pPr>
      <w:proofErr w:type="spellStart"/>
      <w:r>
        <w:t>Prnewswire</w:t>
      </w:r>
      <w:proofErr w:type="spellEnd"/>
      <w:r>
        <w:t>, 2023, “</w:t>
      </w:r>
      <w:r>
        <w:rPr>
          <w:i/>
        </w:rPr>
        <w:t xml:space="preserve">MARRIOTT INTERNATIONAL REPORTS FOURTH QUARTER AND FULL </w:t>
      </w:r>
      <w:r>
        <w:rPr>
          <w:i/>
        </w:rPr>
        <w:t xml:space="preserve">YEAR 2022 RESULTS” </w:t>
      </w:r>
      <w:r>
        <w:t xml:space="preserve">[Online] </w:t>
      </w:r>
      <w:proofErr w:type="spellStart"/>
      <w:r>
        <w:t>Avaialble</w:t>
      </w:r>
      <w:proofErr w:type="spellEnd"/>
      <w:r>
        <w:t xml:space="preserve"> at </w:t>
      </w:r>
      <w:hyperlink r:id="rId8">
        <w:r>
          <w:rPr>
            <w:color w:val="0563C1"/>
            <w:u w:val="single"/>
          </w:rPr>
          <w:t>https://www.prnewswire.com/news-releases/marriott-international-rep</w:t>
        </w:r>
        <w:r>
          <w:rPr>
            <w:color w:val="0563C1"/>
            <w:u w:val="single"/>
          </w:rPr>
          <w:t>orts-fourth-quarter-and-full-year-2022-results-301745851.html</w:t>
        </w:r>
      </w:hyperlink>
      <w:r>
        <w:rPr>
          <w:color w:val="0563C1"/>
          <w:u w:val="single"/>
        </w:rPr>
        <w:t xml:space="preserve"> </w:t>
      </w:r>
      <w:r>
        <w:rPr>
          <w:color w:val="000000"/>
        </w:rPr>
        <w:t xml:space="preserve">Accessed Date: 29 April 2023. </w:t>
      </w:r>
    </w:p>
    <w:p w:rsidR="000B7239" w:rsidRDefault="0063661A">
      <w:pPr>
        <w:ind w:left="720" w:hanging="720"/>
        <w:jc w:val="both"/>
        <w:rPr>
          <w:color w:val="222222"/>
          <w:highlight w:val="white"/>
        </w:rPr>
      </w:pPr>
      <w:proofErr w:type="spellStart"/>
      <w:r>
        <w:rPr>
          <w:color w:val="222222"/>
          <w:highlight w:val="white"/>
        </w:rPr>
        <w:t>Sampaio</w:t>
      </w:r>
      <w:proofErr w:type="spellEnd"/>
      <w:r>
        <w:rPr>
          <w:color w:val="222222"/>
          <w:highlight w:val="white"/>
        </w:rPr>
        <w:t xml:space="preserve">, C. and </w:t>
      </w:r>
      <w:proofErr w:type="spellStart"/>
      <w:r>
        <w:rPr>
          <w:color w:val="222222"/>
          <w:highlight w:val="white"/>
        </w:rPr>
        <w:t>Régio</w:t>
      </w:r>
      <w:proofErr w:type="spellEnd"/>
      <w:r>
        <w:rPr>
          <w:color w:val="222222"/>
          <w:highlight w:val="white"/>
        </w:rPr>
        <w:t>, M., 2022. Market Orientation and Hotel Industry: Literature Review and Implications for Periods of Market Turmoil. </w:t>
      </w:r>
      <w:r>
        <w:rPr>
          <w:i/>
          <w:color w:val="222222"/>
          <w:highlight w:val="white"/>
        </w:rPr>
        <w:t>Journal of Risk and Finan</w:t>
      </w:r>
      <w:r>
        <w:rPr>
          <w:i/>
          <w:color w:val="222222"/>
          <w:highlight w:val="white"/>
        </w:rPr>
        <w:t>cial Management</w:t>
      </w:r>
      <w:r>
        <w:rPr>
          <w:color w:val="222222"/>
          <w:highlight w:val="white"/>
        </w:rPr>
        <w:t>, </w:t>
      </w:r>
      <w:r>
        <w:rPr>
          <w:i/>
          <w:color w:val="222222"/>
          <w:highlight w:val="white"/>
        </w:rPr>
        <w:t>15</w:t>
      </w:r>
      <w:r>
        <w:rPr>
          <w:color w:val="222222"/>
          <w:highlight w:val="white"/>
        </w:rPr>
        <w:t>(11), p.497.</w:t>
      </w:r>
    </w:p>
    <w:p w:rsidR="000B7239" w:rsidRDefault="0063661A">
      <w:pPr>
        <w:ind w:left="720" w:hanging="720"/>
        <w:jc w:val="both"/>
        <w:rPr>
          <w:color w:val="222222"/>
          <w:highlight w:val="white"/>
        </w:rPr>
      </w:pPr>
      <w:proofErr w:type="spellStart"/>
      <w:r>
        <w:rPr>
          <w:color w:val="222222"/>
          <w:highlight w:val="white"/>
        </w:rPr>
        <w:t>Saputra</w:t>
      </w:r>
      <w:proofErr w:type="spellEnd"/>
      <w:r>
        <w:rPr>
          <w:color w:val="222222"/>
          <w:highlight w:val="white"/>
        </w:rPr>
        <w:t>, F. and Ali, H., 2021. The Impact of Indonesia’s Economic and Political Policy Regarding Participation in Various International Forums: G20 Forum (Literature Review of Financial Management). </w:t>
      </w:r>
      <w:r>
        <w:rPr>
          <w:i/>
          <w:color w:val="222222"/>
          <w:highlight w:val="white"/>
        </w:rPr>
        <w:t>Journal of Accounting and</w:t>
      </w:r>
      <w:r>
        <w:rPr>
          <w:i/>
          <w:color w:val="222222"/>
          <w:highlight w:val="white"/>
        </w:rPr>
        <w:t xml:space="preserve"> Finance Management</w:t>
      </w:r>
      <w:r>
        <w:rPr>
          <w:color w:val="222222"/>
          <w:highlight w:val="white"/>
        </w:rPr>
        <w:t>, </w:t>
      </w:r>
      <w:r>
        <w:rPr>
          <w:i/>
          <w:color w:val="222222"/>
          <w:highlight w:val="white"/>
        </w:rPr>
        <w:t>2</w:t>
      </w:r>
      <w:r>
        <w:rPr>
          <w:color w:val="222222"/>
          <w:highlight w:val="white"/>
        </w:rPr>
        <w:t>(1), pp.40-51.</w:t>
      </w:r>
    </w:p>
    <w:p w:rsidR="000B7239" w:rsidRDefault="0063661A">
      <w:pPr>
        <w:ind w:left="720" w:hanging="720"/>
        <w:jc w:val="both"/>
        <w:rPr>
          <w:color w:val="222222"/>
          <w:highlight w:val="white"/>
        </w:rPr>
      </w:pPr>
      <w:r>
        <w:rPr>
          <w:color w:val="222222"/>
          <w:highlight w:val="white"/>
        </w:rPr>
        <w:t>Sharma, A., Shin, H., Santa-</w:t>
      </w:r>
      <w:proofErr w:type="spellStart"/>
      <w:r>
        <w:rPr>
          <w:color w:val="222222"/>
          <w:highlight w:val="white"/>
        </w:rPr>
        <w:t>María</w:t>
      </w:r>
      <w:proofErr w:type="spellEnd"/>
      <w:r>
        <w:rPr>
          <w:color w:val="222222"/>
          <w:highlight w:val="white"/>
        </w:rPr>
        <w:t xml:space="preserve">, M.J. and </w:t>
      </w:r>
      <w:proofErr w:type="spellStart"/>
      <w:r>
        <w:rPr>
          <w:color w:val="222222"/>
          <w:highlight w:val="white"/>
        </w:rPr>
        <w:t>Nicolau</w:t>
      </w:r>
      <w:proofErr w:type="spellEnd"/>
      <w:r>
        <w:rPr>
          <w:color w:val="222222"/>
          <w:highlight w:val="white"/>
        </w:rPr>
        <w:t>, J.L., 2021. Hotels' COVID-19 innovation and performance. </w:t>
      </w:r>
      <w:r>
        <w:rPr>
          <w:i/>
          <w:color w:val="222222"/>
          <w:highlight w:val="white"/>
        </w:rPr>
        <w:t>Annals of Tourism Research</w:t>
      </w:r>
      <w:r>
        <w:rPr>
          <w:color w:val="222222"/>
          <w:highlight w:val="white"/>
        </w:rPr>
        <w:t>, </w:t>
      </w:r>
      <w:r>
        <w:rPr>
          <w:i/>
          <w:color w:val="222222"/>
          <w:highlight w:val="white"/>
        </w:rPr>
        <w:t>88</w:t>
      </w:r>
      <w:r>
        <w:rPr>
          <w:color w:val="222222"/>
          <w:highlight w:val="white"/>
        </w:rPr>
        <w:t>, p.103180.</w:t>
      </w:r>
    </w:p>
    <w:p w:rsidR="000B7239" w:rsidRDefault="0063661A">
      <w:pPr>
        <w:ind w:left="720" w:hanging="720"/>
        <w:jc w:val="both"/>
        <w:rPr>
          <w:color w:val="222222"/>
          <w:highlight w:val="white"/>
        </w:rPr>
      </w:pPr>
      <w:r>
        <w:rPr>
          <w:color w:val="222222"/>
          <w:highlight w:val="white"/>
        </w:rPr>
        <w:t xml:space="preserve">Shin, H., Sharma, A., </w:t>
      </w:r>
      <w:proofErr w:type="spellStart"/>
      <w:r>
        <w:rPr>
          <w:color w:val="222222"/>
          <w:highlight w:val="white"/>
        </w:rPr>
        <w:t>Nicolau</w:t>
      </w:r>
      <w:proofErr w:type="spellEnd"/>
      <w:r>
        <w:rPr>
          <w:color w:val="222222"/>
          <w:highlight w:val="white"/>
        </w:rPr>
        <w:t>, J.L. and Kang, J., 2021. The impact of hotel CSR for strategic philanthropy on booking behavior and hotel performance during the COVID-19 pandemic. </w:t>
      </w:r>
      <w:r>
        <w:rPr>
          <w:i/>
          <w:color w:val="222222"/>
          <w:highlight w:val="white"/>
        </w:rPr>
        <w:t>Tourism Management</w:t>
      </w:r>
      <w:r>
        <w:rPr>
          <w:color w:val="222222"/>
          <w:highlight w:val="white"/>
        </w:rPr>
        <w:t>, </w:t>
      </w:r>
      <w:r>
        <w:rPr>
          <w:i/>
          <w:color w:val="222222"/>
          <w:highlight w:val="white"/>
        </w:rPr>
        <w:t>85</w:t>
      </w:r>
      <w:r>
        <w:rPr>
          <w:color w:val="222222"/>
          <w:highlight w:val="white"/>
        </w:rPr>
        <w:t>, p.104322.</w:t>
      </w:r>
    </w:p>
    <w:p w:rsidR="000B7239" w:rsidRDefault="0063661A">
      <w:pPr>
        <w:ind w:left="720" w:hanging="720"/>
        <w:jc w:val="both"/>
        <w:rPr>
          <w:color w:val="222222"/>
          <w:highlight w:val="white"/>
        </w:rPr>
      </w:pPr>
      <w:r>
        <w:rPr>
          <w:color w:val="222222"/>
          <w:highlight w:val="white"/>
        </w:rPr>
        <w:t xml:space="preserve">Singh, A., 2022. The effect of hotel brand </w:t>
      </w:r>
      <w:r>
        <w:rPr>
          <w:color w:val="222222"/>
          <w:highlight w:val="white"/>
        </w:rPr>
        <w:t>affiliation on commercial mortgage loan underwriting in the lodging sector. </w:t>
      </w:r>
      <w:r>
        <w:rPr>
          <w:i/>
          <w:color w:val="222222"/>
          <w:highlight w:val="white"/>
        </w:rPr>
        <w:t>International Journal of Hospitality Management</w:t>
      </w:r>
      <w:r>
        <w:rPr>
          <w:color w:val="222222"/>
          <w:highlight w:val="white"/>
        </w:rPr>
        <w:t>, </w:t>
      </w:r>
      <w:r>
        <w:rPr>
          <w:i/>
          <w:color w:val="222222"/>
          <w:highlight w:val="white"/>
        </w:rPr>
        <w:t>102</w:t>
      </w:r>
      <w:r>
        <w:rPr>
          <w:color w:val="222222"/>
          <w:highlight w:val="white"/>
        </w:rPr>
        <w:t>, p.103150.</w:t>
      </w:r>
    </w:p>
    <w:p w:rsidR="000B7239" w:rsidRDefault="0063661A">
      <w:pPr>
        <w:ind w:left="720" w:hanging="720"/>
        <w:jc w:val="both"/>
        <w:rPr>
          <w:highlight w:val="white"/>
        </w:rPr>
      </w:pPr>
      <w:r>
        <w:rPr>
          <w:highlight w:val="white"/>
        </w:rPr>
        <w:t xml:space="preserve">Statista, 2023, </w:t>
      </w:r>
      <w:r>
        <w:rPr>
          <w:i/>
          <w:highlight w:val="white"/>
        </w:rPr>
        <w:t>“Revenue of Hilton Worldwide Holdings 2009-2022”</w:t>
      </w:r>
      <w:r>
        <w:rPr>
          <w:highlight w:val="white"/>
        </w:rPr>
        <w:t xml:space="preserve">[Online] Available at: </w:t>
      </w:r>
      <w:hyperlink r:id="rId9" w:anchor=":~:text=International%20hotel%20company%20Hilton%20Worldwide,year's%20total%20of%205.79%20billion">
        <w:r>
          <w:rPr>
            <w:color w:val="0563C1"/>
            <w:highlight w:val="white"/>
            <w:u w:val="single"/>
          </w:rPr>
          <w:t>https://www.statista.com/statistics/297760/revenue-of-hilton-worldwide-holding</w:t>
        </w:r>
        <w:r>
          <w:rPr>
            <w:color w:val="0563C1"/>
            <w:highlight w:val="white"/>
            <w:u w:val="single"/>
          </w:rPr>
          <w:t>s-inc/#:~:text=International%20hotel%20company%20Hilton%20Worldwide,year's%20total%20of%205.79%20billion</w:t>
        </w:r>
      </w:hyperlink>
      <w:r>
        <w:rPr>
          <w:color w:val="0563C1"/>
          <w:highlight w:val="white"/>
          <w:u w:val="single"/>
        </w:rPr>
        <w:t xml:space="preserve"> </w:t>
      </w:r>
      <w:r>
        <w:rPr>
          <w:color w:val="000000"/>
          <w:highlight w:val="white"/>
        </w:rPr>
        <w:t xml:space="preserve">Accessed Date: 28 April 2023. </w:t>
      </w:r>
    </w:p>
    <w:p w:rsidR="000B7239" w:rsidRDefault="0063661A">
      <w:pPr>
        <w:ind w:left="720" w:hanging="720"/>
        <w:jc w:val="both"/>
      </w:pPr>
      <w:r>
        <w:lastRenderedPageBreak/>
        <w:t>Statista, 2023a, “</w:t>
      </w:r>
      <w:r>
        <w:rPr>
          <w:i/>
        </w:rPr>
        <w:t xml:space="preserve">Revenue of Marriott International worldwide 1999-2022” </w:t>
      </w:r>
      <w:r>
        <w:t xml:space="preserve">[Online] </w:t>
      </w:r>
      <w:proofErr w:type="spellStart"/>
      <w:r>
        <w:t>Avaialble</w:t>
      </w:r>
      <w:proofErr w:type="spellEnd"/>
      <w:r>
        <w:t xml:space="preserve"> at: </w:t>
      </w:r>
      <w:hyperlink r:id="rId10">
        <w:r>
          <w:rPr>
            <w:color w:val="0563C1"/>
            <w:u w:val="single"/>
          </w:rPr>
          <w:t>https://www.statista.com/statistics/266279/revenue-of-the-marriott-international-inc-hotel-chain/</w:t>
        </w:r>
      </w:hyperlink>
      <w:r>
        <w:t xml:space="preserve"> Accessed Date: 18 April 2023.</w:t>
      </w:r>
    </w:p>
    <w:p w:rsidR="000B7239" w:rsidRDefault="0063661A">
      <w:pPr>
        <w:ind w:left="720" w:hanging="720"/>
        <w:jc w:val="both"/>
        <w:rPr>
          <w:color w:val="222222"/>
          <w:highlight w:val="white"/>
        </w:rPr>
      </w:pPr>
      <w:r>
        <w:rPr>
          <w:color w:val="222222"/>
          <w:highlight w:val="white"/>
        </w:rPr>
        <w:t xml:space="preserve">Tong-On, P., </w:t>
      </w:r>
      <w:proofErr w:type="spellStart"/>
      <w:r>
        <w:rPr>
          <w:color w:val="222222"/>
          <w:highlight w:val="white"/>
        </w:rPr>
        <w:t>Siripipatthanakul</w:t>
      </w:r>
      <w:proofErr w:type="spellEnd"/>
      <w:r>
        <w:rPr>
          <w:color w:val="222222"/>
          <w:highlight w:val="white"/>
        </w:rPr>
        <w:t xml:space="preserve">, S. and </w:t>
      </w:r>
      <w:proofErr w:type="spellStart"/>
      <w:r>
        <w:rPr>
          <w:color w:val="222222"/>
          <w:highlight w:val="white"/>
        </w:rPr>
        <w:t>Phayaphrom</w:t>
      </w:r>
      <w:proofErr w:type="spellEnd"/>
      <w:r>
        <w:rPr>
          <w:color w:val="222222"/>
          <w:highlight w:val="white"/>
        </w:rPr>
        <w:t>, B., 2021. The implementation of business intelligence using data analytics and its effects towards on performance in the hotel industry in Thailand. </w:t>
      </w:r>
      <w:r>
        <w:rPr>
          <w:i/>
          <w:color w:val="222222"/>
          <w:highlight w:val="white"/>
        </w:rPr>
        <w:t>International Journal of Behavioral Analytics</w:t>
      </w:r>
      <w:r>
        <w:rPr>
          <w:color w:val="222222"/>
          <w:highlight w:val="white"/>
        </w:rPr>
        <w:t>, </w:t>
      </w:r>
      <w:r>
        <w:rPr>
          <w:i/>
          <w:color w:val="222222"/>
          <w:highlight w:val="white"/>
        </w:rPr>
        <w:t>1</w:t>
      </w:r>
      <w:r>
        <w:rPr>
          <w:color w:val="222222"/>
          <w:highlight w:val="white"/>
        </w:rPr>
        <w:t>(2).</w:t>
      </w:r>
    </w:p>
    <w:p w:rsidR="000B7239" w:rsidRDefault="000B7239">
      <w:pPr>
        <w:ind w:left="720" w:hanging="720"/>
        <w:jc w:val="both"/>
        <w:rPr>
          <w:color w:val="222222"/>
          <w:highlight w:val="white"/>
        </w:rPr>
      </w:pPr>
    </w:p>
    <w:p w:rsidR="000B7239" w:rsidRDefault="000B7239">
      <w:pPr>
        <w:ind w:left="720" w:hanging="720"/>
        <w:jc w:val="both"/>
        <w:rPr>
          <w:color w:val="222222"/>
          <w:highlight w:val="white"/>
        </w:rPr>
      </w:pPr>
    </w:p>
    <w:p w:rsidR="000B7239" w:rsidRDefault="000B7239">
      <w:pPr>
        <w:ind w:left="720" w:hanging="720"/>
        <w:jc w:val="both"/>
        <w:rPr>
          <w:color w:val="222222"/>
          <w:highlight w:val="white"/>
        </w:rPr>
      </w:pPr>
    </w:p>
    <w:p w:rsidR="000B7239" w:rsidRDefault="000B7239">
      <w:pPr>
        <w:ind w:left="720" w:hanging="720"/>
        <w:jc w:val="both"/>
        <w:rPr>
          <w:color w:val="222222"/>
          <w:highlight w:val="white"/>
        </w:rPr>
      </w:pPr>
    </w:p>
    <w:p w:rsidR="000B7239" w:rsidRDefault="000B7239">
      <w:pPr>
        <w:ind w:left="720" w:hanging="720"/>
        <w:jc w:val="both"/>
        <w:rPr>
          <w:color w:val="222222"/>
          <w:highlight w:val="white"/>
        </w:rPr>
      </w:pPr>
    </w:p>
    <w:p w:rsidR="000B7239" w:rsidRDefault="000B7239">
      <w:pPr>
        <w:ind w:left="720" w:hanging="720"/>
        <w:jc w:val="both"/>
        <w:rPr>
          <w:color w:val="222222"/>
          <w:highlight w:val="white"/>
        </w:rPr>
      </w:pPr>
    </w:p>
    <w:p w:rsidR="000B7239" w:rsidRDefault="000B7239">
      <w:pPr>
        <w:ind w:left="720" w:hanging="720"/>
        <w:jc w:val="both"/>
        <w:rPr>
          <w:color w:val="222222"/>
          <w:highlight w:val="white"/>
        </w:rPr>
      </w:pPr>
    </w:p>
    <w:p w:rsidR="000B7239" w:rsidRDefault="000B7239">
      <w:pPr>
        <w:ind w:left="720" w:hanging="720"/>
        <w:jc w:val="both"/>
        <w:rPr>
          <w:color w:val="222222"/>
          <w:highlight w:val="white"/>
        </w:rPr>
      </w:pPr>
    </w:p>
    <w:p w:rsidR="000B7239" w:rsidRDefault="000B7239">
      <w:pPr>
        <w:ind w:left="720" w:hanging="720"/>
        <w:jc w:val="both"/>
        <w:rPr>
          <w:color w:val="222222"/>
          <w:highlight w:val="white"/>
        </w:rPr>
      </w:pPr>
    </w:p>
    <w:p w:rsidR="000B7239" w:rsidRDefault="000B7239">
      <w:pPr>
        <w:ind w:left="720" w:hanging="720"/>
        <w:jc w:val="both"/>
        <w:rPr>
          <w:color w:val="222222"/>
          <w:highlight w:val="white"/>
        </w:rPr>
      </w:pPr>
    </w:p>
    <w:p w:rsidR="000B7239" w:rsidRDefault="000B7239">
      <w:pPr>
        <w:ind w:left="720" w:hanging="720"/>
        <w:jc w:val="both"/>
        <w:rPr>
          <w:color w:val="222222"/>
          <w:highlight w:val="white"/>
        </w:rPr>
      </w:pPr>
    </w:p>
    <w:p w:rsidR="000B7239" w:rsidRDefault="000B7239">
      <w:pPr>
        <w:ind w:left="720" w:hanging="720"/>
        <w:jc w:val="both"/>
        <w:rPr>
          <w:color w:val="222222"/>
          <w:highlight w:val="white"/>
        </w:rPr>
      </w:pPr>
    </w:p>
    <w:p w:rsidR="000B7239" w:rsidRDefault="000B7239">
      <w:pPr>
        <w:ind w:left="720" w:hanging="720"/>
        <w:jc w:val="both"/>
        <w:rPr>
          <w:color w:val="222222"/>
          <w:highlight w:val="white"/>
        </w:rPr>
      </w:pPr>
    </w:p>
    <w:p w:rsidR="000B7239" w:rsidRDefault="000B7239">
      <w:pPr>
        <w:ind w:left="720" w:hanging="720"/>
        <w:jc w:val="both"/>
        <w:rPr>
          <w:color w:val="222222"/>
          <w:highlight w:val="white"/>
        </w:rPr>
      </w:pPr>
    </w:p>
    <w:p w:rsidR="000B7239" w:rsidRDefault="000B7239">
      <w:pPr>
        <w:ind w:left="720" w:hanging="720"/>
        <w:jc w:val="both"/>
        <w:rPr>
          <w:color w:val="222222"/>
          <w:highlight w:val="white"/>
        </w:rPr>
      </w:pPr>
    </w:p>
    <w:p w:rsidR="000B7239" w:rsidRDefault="000B7239">
      <w:pPr>
        <w:ind w:left="720" w:hanging="720"/>
        <w:jc w:val="both"/>
        <w:rPr>
          <w:color w:val="222222"/>
          <w:highlight w:val="white"/>
        </w:rPr>
      </w:pPr>
    </w:p>
    <w:p w:rsidR="000B7239" w:rsidRDefault="000B7239">
      <w:pPr>
        <w:ind w:left="720" w:hanging="720"/>
        <w:jc w:val="both"/>
        <w:rPr>
          <w:color w:val="222222"/>
          <w:highlight w:val="white"/>
        </w:rPr>
      </w:pPr>
    </w:p>
    <w:p w:rsidR="000B7239" w:rsidRDefault="000B7239">
      <w:pPr>
        <w:jc w:val="both"/>
        <w:rPr>
          <w:color w:val="222222"/>
          <w:highlight w:val="white"/>
        </w:rPr>
      </w:pPr>
    </w:p>
    <w:p w:rsidR="000B7239" w:rsidRDefault="0063661A">
      <w:pPr>
        <w:pStyle w:val="Heading1"/>
      </w:pPr>
      <w:r>
        <w:lastRenderedPageBreak/>
        <w:t xml:space="preserve">Appendix </w:t>
      </w:r>
    </w:p>
    <w:p w:rsidR="000B7239" w:rsidRDefault="0063661A">
      <w:pPr>
        <w:jc w:val="both"/>
      </w:pPr>
      <w:r>
        <w:rPr>
          <w:noProof/>
          <w:lang w:val="en-GB"/>
        </w:rPr>
        <w:drawing>
          <wp:inline distT="0" distB="0" distL="0" distR="0">
            <wp:extent cx="5943600" cy="6029325"/>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5943600" cy="6029325"/>
                    </a:xfrm>
                    <a:prstGeom prst="rect">
                      <a:avLst/>
                    </a:prstGeom>
                    <a:ln/>
                  </pic:spPr>
                </pic:pic>
              </a:graphicData>
            </a:graphic>
          </wp:inline>
        </w:drawing>
      </w:r>
    </w:p>
    <w:p w:rsidR="000B7239" w:rsidRDefault="0063661A">
      <w:pPr>
        <w:jc w:val="both"/>
      </w:pPr>
      <w:r>
        <w:rPr>
          <w:noProof/>
          <w:lang w:val="en-GB"/>
        </w:rPr>
        <w:lastRenderedPageBreak/>
        <w:drawing>
          <wp:inline distT="0" distB="0" distL="0" distR="0">
            <wp:extent cx="5943600" cy="8201025"/>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5943600" cy="8201025"/>
                    </a:xfrm>
                    <a:prstGeom prst="rect">
                      <a:avLst/>
                    </a:prstGeom>
                    <a:ln/>
                  </pic:spPr>
                </pic:pic>
              </a:graphicData>
            </a:graphic>
          </wp:inline>
        </w:drawing>
      </w:r>
    </w:p>
    <w:p w:rsidR="000B7239" w:rsidRDefault="0063661A">
      <w:pPr>
        <w:jc w:val="both"/>
      </w:pPr>
      <w:r>
        <w:rPr>
          <w:noProof/>
          <w:lang w:val="en-GB"/>
        </w:rPr>
        <w:lastRenderedPageBreak/>
        <w:drawing>
          <wp:inline distT="0" distB="0" distL="0" distR="0">
            <wp:extent cx="5943600" cy="7200900"/>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3"/>
                    <a:srcRect/>
                    <a:stretch>
                      <a:fillRect/>
                    </a:stretch>
                  </pic:blipFill>
                  <pic:spPr>
                    <a:xfrm>
                      <a:off x="0" y="0"/>
                      <a:ext cx="5943600" cy="7200900"/>
                    </a:xfrm>
                    <a:prstGeom prst="rect">
                      <a:avLst/>
                    </a:prstGeom>
                    <a:ln/>
                  </pic:spPr>
                </pic:pic>
              </a:graphicData>
            </a:graphic>
          </wp:inline>
        </w:drawing>
      </w:r>
    </w:p>
    <w:p w:rsidR="000B7239" w:rsidRDefault="0063661A">
      <w:pPr>
        <w:jc w:val="both"/>
      </w:pPr>
      <w:r>
        <w:rPr>
          <w:noProof/>
          <w:lang w:val="en-GB"/>
        </w:rPr>
        <w:lastRenderedPageBreak/>
        <w:drawing>
          <wp:inline distT="0" distB="0" distL="0" distR="0">
            <wp:extent cx="5943600" cy="6753225"/>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4"/>
                    <a:srcRect/>
                    <a:stretch>
                      <a:fillRect/>
                    </a:stretch>
                  </pic:blipFill>
                  <pic:spPr>
                    <a:xfrm>
                      <a:off x="0" y="0"/>
                      <a:ext cx="5943600" cy="6753225"/>
                    </a:xfrm>
                    <a:prstGeom prst="rect">
                      <a:avLst/>
                    </a:prstGeom>
                    <a:ln/>
                  </pic:spPr>
                </pic:pic>
              </a:graphicData>
            </a:graphic>
          </wp:inline>
        </w:drawing>
      </w:r>
    </w:p>
    <w:sectPr w:rsidR="000B7239">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B7239"/>
    <w:rsid w:val="000B7239"/>
    <w:rsid w:val="006366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1635C0AD-C1D8-4848-991C-42B6FE7D60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sz w:val="24"/>
        <w:szCs w:val="24"/>
        <w:lang w:val="en-US" w:eastAsia="en-GB" w:bidi="ar-SA"/>
      </w:rPr>
    </w:rPrDefault>
    <w:pPrDefault>
      <w:pPr>
        <w:spacing w:after="160" w:line="36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spacing w:before="320" w:after="80" w:line="240" w:lineRule="auto"/>
      <w:jc w:val="center"/>
      <w:outlineLvl w:val="0"/>
    </w:pPr>
    <w:rPr>
      <w:rFonts w:ascii="Calibri" w:eastAsia="Calibri" w:hAnsi="Calibri" w:cs="Calibri"/>
      <w:b/>
      <w:color w:val="2F5496"/>
      <w:sz w:val="28"/>
      <w:szCs w:val="28"/>
    </w:rPr>
  </w:style>
  <w:style w:type="paragraph" w:styleId="Heading2">
    <w:name w:val="heading 2"/>
    <w:basedOn w:val="Normal"/>
    <w:next w:val="Normal"/>
    <w:pPr>
      <w:keepNext/>
      <w:keepLines/>
      <w:spacing w:before="160" w:after="40" w:line="240" w:lineRule="auto"/>
      <w:jc w:val="center"/>
      <w:outlineLvl w:val="1"/>
    </w:pPr>
    <w:rPr>
      <w:rFonts w:ascii="Calibri" w:eastAsia="Calibri" w:hAnsi="Calibri" w:cs="Calibri"/>
      <w:sz w:val="32"/>
      <w:szCs w:val="32"/>
    </w:rPr>
  </w:style>
  <w:style w:type="paragraph" w:styleId="Heading3">
    <w:name w:val="heading 3"/>
    <w:basedOn w:val="Normal"/>
    <w:next w:val="Normal"/>
    <w:pPr>
      <w:keepNext/>
      <w:keepLines/>
      <w:spacing w:before="160" w:after="0" w:line="240" w:lineRule="auto"/>
      <w:outlineLvl w:val="2"/>
    </w:pPr>
    <w:rPr>
      <w:rFonts w:ascii="Calibri" w:eastAsia="Calibri" w:hAnsi="Calibri" w:cs="Calibri"/>
      <w:sz w:val="32"/>
      <w:szCs w:val="32"/>
    </w:rPr>
  </w:style>
  <w:style w:type="paragraph" w:styleId="Heading4">
    <w:name w:val="heading 4"/>
    <w:basedOn w:val="Normal"/>
    <w:next w:val="Normal"/>
    <w:pPr>
      <w:keepNext/>
      <w:keepLines/>
      <w:spacing w:before="80" w:after="0"/>
      <w:outlineLvl w:val="3"/>
    </w:pPr>
    <w:rPr>
      <w:rFonts w:ascii="Calibri" w:eastAsia="Calibri" w:hAnsi="Calibri" w:cs="Calibri"/>
      <w:i/>
      <w:sz w:val="30"/>
      <w:szCs w:val="30"/>
    </w:rPr>
  </w:style>
  <w:style w:type="paragraph" w:styleId="Heading5">
    <w:name w:val="heading 5"/>
    <w:basedOn w:val="Normal"/>
    <w:next w:val="Normal"/>
    <w:pPr>
      <w:keepNext/>
      <w:keepLines/>
      <w:spacing w:before="40" w:after="0"/>
      <w:outlineLvl w:val="4"/>
    </w:pPr>
    <w:rPr>
      <w:rFonts w:ascii="Calibri" w:eastAsia="Calibri" w:hAnsi="Calibri" w:cs="Calibri"/>
      <w:sz w:val="28"/>
      <w:szCs w:val="28"/>
    </w:rPr>
  </w:style>
  <w:style w:type="paragraph" w:styleId="Heading6">
    <w:name w:val="heading 6"/>
    <w:basedOn w:val="Normal"/>
    <w:next w:val="Normal"/>
    <w:pPr>
      <w:keepNext/>
      <w:keepLines/>
      <w:spacing w:before="40" w:after="0"/>
      <w:outlineLvl w:val="5"/>
    </w:pPr>
    <w:rPr>
      <w:rFonts w:ascii="Calibri" w:eastAsia="Calibri" w:hAnsi="Calibri" w:cs="Calibri"/>
      <w:i/>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pBdr>
        <w:top w:val="single" w:sz="6" w:space="8" w:color="A5A5A5"/>
        <w:bottom w:val="single" w:sz="6" w:space="8" w:color="A5A5A5"/>
      </w:pBdr>
      <w:spacing w:after="400" w:line="240" w:lineRule="auto"/>
      <w:jc w:val="center"/>
    </w:pPr>
    <w:rPr>
      <w:rFonts w:ascii="Calibri" w:eastAsia="Calibri" w:hAnsi="Calibri" w:cs="Calibri"/>
      <w:smallCaps/>
      <w:color w:val="44546A"/>
      <w:sz w:val="72"/>
      <w:szCs w:val="72"/>
    </w:rPr>
  </w:style>
  <w:style w:type="paragraph" w:styleId="Subtitle">
    <w:name w:val="Subtitle"/>
    <w:basedOn w:val="Normal"/>
    <w:next w:val="Normal"/>
    <w:pPr>
      <w:jc w:val="center"/>
    </w:pPr>
    <w:rPr>
      <w:color w:val="44546A"/>
      <w:sz w:val="28"/>
      <w:szCs w:val="28"/>
    </w:rPr>
  </w:style>
  <w:style w:type="table" w:customStyle="1" w:styleId="a">
    <w:basedOn w:val="TableNormal"/>
    <w:pPr>
      <w:spacing w:after="0" w:line="240" w:lineRule="auto"/>
    </w:pPr>
    <w:tblPr>
      <w:tblStyleRowBandSize w:val="1"/>
      <w:tblStyleColBandSize w:val="1"/>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hyperlink" Target="https://www.prnewswire.com/news-releases/marriott-international-reports-fourth-quarter-and-full-year-2022-results-301745851.html" TargetMode="External"/><Relationship Id="rId13" Type="http://schemas.openxmlformats.org/officeDocument/2006/relationships/image" Target="media/image4.png"/><Relationship Id="rId3" Type="http://schemas.openxmlformats.org/officeDocument/2006/relationships/webSettings" Target="webSettings.xml"/><Relationship Id="rId7" Type="http://schemas.openxmlformats.org/officeDocument/2006/relationships/hyperlink" Target="https://finance.yahoo.com/quote/MAR/profile/" TargetMode="External"/><Relationship Id="rId12" Type="http://schemas.openxmlformats.org/officeDocument/2006/relationships/image" Target="media/image3.png"/><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finance.yahoo.com/quote/HLT/profile/" TargetMode="External"/><Relationship Id="rId11" Type="http://schemas.openxmlformats.org/officeDocument/2006/relationships/image" Target="media/image2.png"/><Relationship Id="rId5" Type="http://schemas.openxmlformats.org/officeDocument/2006/relationships/hyperlink" Target="https://www.businesswire.com/news/home/20230209005067/en/Hilton-Reports-Fourth-Quarter-and-Full-Year-Results" TargetMode="External"/><Relationship Id="rId15" Type="http://schemas.openxmlformats.org/officeDocument/2006/relationships/fontTable" Target="fontTable.xml"/><Relationship Id="rId10" Type="http://schemas.openxmlformats.org/officeDocument/2006/relationships/hyperlink" Target="https://www.statista.com/statistics/266279/revenue-of-the-marriott-international-inc-hotel-chain/" TargetMode="External"/><Relationship Id="rId4" Type="http://schemas.openxmlformats.org/officeDocument/2006/relationships/image" Target="media/image1.png"/><Relationship Id="rId9" Type="http://schemas.openxmlformats.org/officeDocument/2006/relationships/hyperlink" Target="https://www.statista.com/statistics/297760/revenue-of-hilton-worldwide-holdings-inc/" TargetMode="Externa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17</Pages>
  <Words>3631</Words>
  <Characters>20700</Characters>
  <Application>Microsoft Office Word</Application>
  <DocSecurity>0</DocSecurity>
  <Lines>172</Lines>
  <Paragraphs>48</Paragraphs>
  <ScaleCrop>false</ScaleCrop>
  <Company/>
  <LinksUpToDate>false</LinksUpToDate>
  <CharactersWithSpaces>24283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Microsoft account</cp:lastModifiedBy>
  <cp:revision>2</cp:revision>
  <dcterms:created xsi:type="dcterms:W3CDTF">2023-05-21T10:22:00Z</dcterms:created>
  <dcterms:modified xsi:type="dcterms:W3CDTF">2023-05-21T10:23:00Z</dcterms:modified>
</cp:coreProperties>
</file>