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jc w:val="center"/>
        <w:rPr>
          <w:rFonts w:cs="Times New Roman"/>
          <w:sz w:val="28"/>
          <w:szCs w:val="32"/>
          <w:lang w:val="en-GB"/>
        </w:rPr>
      </w:pPr>
      <w:r>
        <w:rPr>
          <w:rFonts w:cs="Times New Roman"/>
          <w:sz w:val="28"/>
          <w:szCs w:val="32"/>
          <w:lang w:val="en-GB"/>
        </w:rPr>
        <w:t>Module: Financial Management for the Hotel Industry</w:t>
      </w:r>
    </w:p>
    <w:p w14:paraId="00000006">
      <w:pPr>
        <w:jc w:val="center"/>
        <w:rPr>
          <w:rFonts w:cs="Times New Roman"/>
          <w:sz w:val="28"/>
          <w:szCs w:val="32"/>
          <w:lang w:val="en-GB"/>
        </w:rPr>
      </w:pPr>
      <w:r>
        <w:rPr>
          <w:rFonts w:cs="Times New Roman"/>
          <w:sz w:val="28"/>
          <w:szCs w:val="32"/>
          <w:lang w:val="en-GB"/>
        </w:rPr>
        <w:t>Module code: BMIH5007</w:t>
      </w:r>
    </w:p>
    <w:p w14:paraId="00000007">
      <w:pPr>
        <w:jc w:val="center"/>
        <w:rPr>
          <w:rFonts w:cs="Times New Roman"/>
          <w:sz w:val="28"/>
          <w:szCs w:val="32"/>
          <w:lang w:val="en-GB"/>
        </w:rPr>
      </w:pPr>
      <w:r>
        <w:rPr>
          <w:rFonts w:cs="Times New Roman"/>
          <w:sz w:val="28"/>
          <w:szCs w:val="32"/>
          <w:lang w:val="en-GB"/>
        </w:rPr>
        <w:t>Lecturer-Tristan Hawkins</w:t>
      </w:r>
    </w:p>
    <w:p w14:paraId="00000008">
      <w:pPr>
        <w:jc w:val="center"/>
        <w:rPr>
          <w:rFonts w:cs="Times New Roman"/>
          <w:sz w:val="28"/>
          <w:szCs w:val="32"/>
          <w:lang w:val="en-GB"/>
        </w:rPr>
      </w:pPr>
      <w:r>
        <w:rPr>
          <w:rFonts w:cs="Times New Roman"/>
          <w:sz w:val="28"/>
          <w:szCs w:val="32"/>
          <w:lang w:val="en-GB"/>
        </w:rPr>
        <w:t>Assignment title: Report Case Study: Urban Heights Hotel</w:t>
      </w:r>
    </w:p>
    <w:tbl>
      <w:tblPr>
        <w:tblStyle w:val="TableGrid"/>
        <w:tblW w:w="0" w:type="auto"/>
        <w:tblLook w:val="04A0"/>
      </w:tblPr>
      <w:tblGrid>
        <w:gridCol w:w="4508"/>
        <w:gridCol w:w="4508"/>
      </w:tblGrid>
      <w:tr>
        <w:trPr/>
        <w:tc>
          <w:tcPr>
            <w:cnfStyle w:val="101000000000"/>
            <w:tcW w:w="4508" w:type="dxa"/>
          </w:tcPr>
          <w:p w14:paraId="00000009">
            <w:pPr>
              <w:jc w:val="center"/>
              <w:rPr>
                <w:rFonts w:cs="Times New Roman"/>
                <w:b/>
                <w:bCs/>
                <w:lang w:val="en-GB"/>
              </w:rPr>
            </w:pPr>
            <w:r>
              <w:rPr>
                <w:rFonts w:cs="Times New Roman"/>
                <w:b/>
                <w:bCs/>
                <w:lang w:val="en-GB"/>
              </w:rPr>
              <w:t>Student name</w:t>
            </w:r>
          </w:p>
        </w:tc>
        <w:tc>
          <w:tcPr>
            <w:cnfStyle w:val="100000000000"/>
            <w:tcW w:w="4508" w:type="dxa"/>
          </w:tcPr>
          <w:p w14:paraId="0000000A">
            <w:pPr>
              <w:jc w:val="center"/>
              <w:rPr>
                <w:rFonts w:cs="Times New Roman"/>
                <w:b/>
                <w:bCs/>
                <w:lang w:val="en-GB"/>
              </w:rPr>
            </w:pPr>
            <w:r>
              <w:rPr>
                <w:rFonts w:cs="Times New Roman"/>
                <w:b/>
                <w:bCs/>
                <w:lang w:val="en-GB"/>
              </w:rPr>
              <w:t>Student ID number</w:t>
            </w:r>
          </w:p>
        </w:tc>
      </w:tr>
      <w:tr>
        <w:trPr/>
        <w:tc>
          <w:tcPr>
            <w:cnfStyle w:val="001000100000"/>
            <w:tcW w:w="4508" w:type="dxa"/>
          </w:tcPr>
          <w:p w14:paraId="0000000B">
            <w:pPr>
              <w:jc w:val="center"/>
              <w:rPr>
                <w:rFonts w:cs="Times New Roman"/>
                <w:lang w:val="en-GB"/>
              </w:rPr>
            </w:pPr>
            <w:r>
              <w:rPr>
                <w:rFonts w:cs="Times New Roman"/>
                <w:lang w:val="en-GB"/>
              </w:rPr>
              <w:t>Vasile Pitirici</w:t>
            </w:r>
          </w:p>
        </w:tc>
        <w:tc>
          <w:tcPr>
            <w:cnfStyle w:val="000000100000"/>
            <w:tcW w:w="4508" w:type="dxa"/>
          </w:tcPr>
          <w:p w14:paraId="0000000C">
            <w:pPr>
              <w:jc w:val="center"/>
              <w:rPr>
                <w:rFonts w:cs="Times New Roman"/>
                <w:lang w:val="en-GB"/>
              </w:rPr>
            </w:pPr>
            <w:r>
              <w:rPr>
                <w:rFonts w:cs="Times New Roman"/>
                <w:lang w:val="en-GB"/>
              </w:rPr>
              <w:t>2213442</w:t>
            </w:r>
          </w:p>
        </w:tc>
      </w:tr>
    </w:tbl>
    <w:p w14:paraId="0000000D">
      <w:pPr>
        <w:jc w:val="left"/>
        <w:rPr>
          <w:rFonts w:cs="Times New Roman"/>
          <w:lang w:val="en-GB"/>
        </w:rPr>
      </w:pPr>
    </w:p>
    <w:p w14:paraId="0000000E">
      <w:pPr>
        <w:rPr>
          <w:rFonts w:cs="Times New Roman"/>
          <w:lang w:val="en-GB"/>
        </w:rPr>
      </w:pPr>
    </w:p>
    <w:p w14:paraId="0000000F">
      <w:pPr>
        <w:jc w:val="left"/>
        <w:rPr>
          <w:rFonts w:cs="Times New Roman"/>
          <w:lang w:val="en-GB"/>
        </w:rPr>
      </w:pPr>
    </w:p>
    <w:p w14:paraId="00000010">
      <w:pPr>
        <w:jc w:val="left"/>
        <w:rPr>
          <w:rFonts w:cs="Times New Roman"/>
          <w:lang w:val="en-GB"/>
        </w:rPr>
      </w:pPr>
      <w:r>
        <w:rPr>
          <w:rFonts w:cs="Times New Roman"/>
          <w:lang w:val="en-GB"/>
        </w:rPr>
        <w:br w:type="page"/>
      </w:r>
    </w:p>
    <w:p w14:paraId="00000011">
      <w:pPr>
        <w:pStyle w:val="TOCHeading"/>
        <w:spacing w:line="360" w:lineRule="auto"/>
        <w:rPr>
          <w:rFonts w:cs="Times New Roman"/>
          <w:lang w:val="en-GB"/>
        </w:rPr>
      </w:pPr>
      <w:r>
        <w:rPr>
          <w:rFonts w:cs="Times New Roman"/>
          <w:lang w:val="en-GB"/>
        </w:rPr>
        <w:t>Table of Contents</w:t>
      </w:r>
    </w:p>
    <w:p w14:paraId="00000012">
      <w:pPr>
        <w:pStyle w:val="Toc1"/>
        <w:tabs>
          <w:tab w:val="right" w:leader="dot" w:pos="9016"/>
        </w:tabs>
        <w:rPr>
          <w:rFonts w:cs="Times New Roman" w:eastAsiaTheme="minorEastAsia"/>
          <w:bCs w:val="off"/>
          <w:i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 TOC \o "1-3" \h \z \u </w:instrText>
      </w:r>
      <w:r>
        <w:rPr>
          <w:rStyle w:val="Hyperlink"/>
          <w:rFonts w:cs="Times New Roman"/>
          <w:lang w:val="en-GB"/>
        </w:rPr>
        <w:fldChar w:fldCharType="separate"/>
      </w:r>
      <w:r>
        <w:rPr>
          <w:rStyle w:val="Hyperlink"/>
          <w:rFonts w:cs="Times New Roman"/>
          <w:lang w:val="en-GB"/>
        </w:rPr>
        <w:fldChar w:fldCharType="begin"/>
      </w:r>
      <w:r>
        <w:rPr>
          <w:rStyle w:val="Hyperlink"/>
          <w:rFonts w:cs="Times New Roman"/>
          <w:lang w:val="en-GB"/>
        </w:rPr>
        <w:instrText xml:space="preserve">HYPERLINK \l "_Toc167128463" </w:instrText>
      </w:r>
      <w:r>
        <w:rPr>
          <w:rStyle w:val="Hyperlink"/>
          <w:rFonts w:cs="Times New Roman"/>
          <w:lang w:val="en-GB"/>
        </w:rPr>
        <w:fldChar w:fldCharType="separate"/>
      </w:r>
      <w:r>
        <w:rPr>
          <w:rStyle w:val="Hyperlink"/>
          <w:rFonts w:cs="Times New Roman"/>
          <w:lang w:val="en-GB"/>
        </w:rPr>
        <w:t>Introduction</w:t>
      </w:r>
      <w:r>
        <w:rPr>
          <w:rFonts w:cs="Times New Roman"/>
          <w:lang w:val="en-GB"/>
        </w:rPr>
        <w:tab/>
      </w:r>
      <w:r>
        <w:rPr>
          <w:rFonts w:cs="Times New Roman"/>
          <w:lang w:val="en-GB"/>
        </w:rPr>
        <w:fldChar w:fldCharType="begin"/>
      </w:r>
      <w:r>
        <w:rPr>
          <w:rFonts w:cs="Times New Roman"/>
          <w:lang w:val="en-GB"/>
        </w:rPr>
        <w:instrText xml:space="preserve"> PAGEREF _Toc167128463 \h </w:instrText>
      </w:r>
      <w:r>
        <w:rPr>
          <w:rFonts w:cs="Times New Roman"/>
          <w:lang w:val="en-GB"/>
        </w:rPr>
        <w:fldChar w:fldCharType="separate"/>
      </w:r>
      <w:r>
        <w:rPr>
          <w:rFonts w:cs="Times New Roman"/>
          <w:lang w:val="en-GB"/>
        </w:rPr>
        <w:t>3</w:t>
      </w:r>
      <w:r>
        <w:rPr>
          <w:rFonts w:cs="Times New Roman" w:eastAsiaTheme="minorEastAsia"/>
          <w:bCs w:val="off"/>
          <w:iCs w:val="off"/>
          <w:color w:val="auto"/>
          <w:szCs w:val="24"/>
          <w:lang w:val="en-GB" w:bidi="ar-SA" w:eastAsia="en-GB"/>
        </w:rPr>
        <w:fldChar w:fldCharType="end"/>
      </w:r>
      <w:r>
        <w:rPr>
          <w:rFonts w:cs="Times New Roman" w:eastAsiaTheme="minorEastAsia"/>
          <w:bCs w:val="off"/>
          <w:iCs w:val="off"/>
          <w:color w:val="auto"/>
          <w:szCs w:val="24"/>
          <w:lang w:val="en-GB" w:bidi="ar-SA" w:eastAsia="en-GB"/>
        </w:rPr>
        <w:fldChar w:fldCharType="end"/>
      </w:r>
    </w:p>
    <w:p w14:paraId="00000013">
      <w:pPr>
        <w:pStyle w:val="Toc1"/>
        <w:tabs>
          <w:tab w:val="right" w:leader="dot" w:pos="9016"/>
        </w:tabs>
        <w:rPr>
          <w:rFonts w:cs="Times New Roman" w:eastAsiaTheme="minorEastAsia"/>
          <w:bCs w:val="off"/>
          <w:i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"_Toc167128464" </w:instrText>
      </w:r>
      <w:r>
        <w:rPr>
          <w:rStyle w:val="Hyperlink"/>
          <w:rFonts w:cs="Times New Roman"/>
          <w:lang w:val="en-GB"/>
        </w:rPr>
        <w:fldChar w:fldCharType="separate"/>
      </w:r>
      <w:r>
        <w:rPr>
          <w:rStyle w:val="Hyperlink"/>
          <w:rFonts w:cs="Times New Roman"/>
          <w:lang w:val="en-GB"/>
        </w:rPr>
        <w:t>Financial Analysis and Review</w:t>
      </w:r>
      <w:r>
        <w:rPr>
          <w:rFonts w:cs="Times New Roman"/>
          <w:lang w:val="en-GB"/>
        </w:rPr>
        <w:tab/>
      </w:r>
      <w:r>
        <w:rPr>
          <w:rFonts w:cs="Times New Roman"/>
          <w:lang w:val="en-GB"/>
        </w:rPr>
        <w:fldChar w:fldCharType="begin"/>
      </w:r>
      <w:r>
        <w:rPr>
          <w:rFonts w:cs="Times New Roman"/>
          <w:lang w:val="en-GB"/>
        </w:rPr>
        <w:instrText xml:space="preserve"> PAGEREF _Toc167128464 \h </w:instrText>
      </w:r>
      <w:r>
        <w:rPr>
          <w:rFonts w:cs="Times New Roman"/>
          <w:lang w:val="en-GB"/>
        </w:rPr>
        <w:fldChar w:fldCharType="separate"/>
      </w:r>
      <w:r>
        <w:rPr>
          <w:rFonts w:cs="Times New Roman"/>
          <w:lang w:val="en-GB"/>
        </w:rPr>
        <w:t>3</w:t>
      </w:r>
      <w:r>
        <w:rPr>
          <w:rFonts w:cs="Times New Roman" w:eastAsiaTheme="minorEastAsia"/>
          <w:bCs w:val="off"/>
          <w:iCs w:val="off"/>
          <w:color w:val="auto"/>
          <w:szCs w:val="24"/>
          <w:lang w:val="en-GB" w:bidi="ar-SA" w:eastAsia="en-GB"/>
        </w:rPr>
        <w:fldChar w:fldCharType="end"/>
      </w:r>
      <w:r>
        <w:rPr>
          <w:rFonts w:cs="Times New Roman" w:eastAsiaTheme="minorEastAsia"/>
          <w:bCs w:val="off"/>
          <w:iCs w:val="off"/>
          <w:color w:val="auto"/>
          <w:szCs w:val="24"/>
          <w:lang w:val="en-GB" w:bidi="ar-SA" w:eastAsia="en-GB"/>
        </w:rPr>
        <w:fldChar w:fldCharType="end"/>
      </w:r>
    </w:p>
    <w:p w14:paraId="00000014">
      <w:pPr>
        <w:pStyle w:val="Toc1"/>
        <w:tabs>
          <w:tab w:val="right" w:leader="dot" w:pos="9016"/>
        </w:tabs>
        <w:rPr>
          <w:rFonts w:cs="Times New Roman" w:eastAsiaTheme="minorEastAsia"/>
          <w:bCs w:val="off"/>
          <w:i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"_Toc167128465" </w:instrText>
      </w:r>
      <w:r>
        <w:rPr>
          <w:rStyle w:val="Hyperlink"/>
          <w:rFonts w:cs="Times New Roman"/>
          <w:lang w:val="en-GB"/>
        </w:rPr>
        <w:fldChar w:fldCharType="separate"/>
      </w:r>
      <w:r>
        <w:rPr>
          <w:rStyle w:val="Hyperlink"/>
          <w:rFonts w:cs="Times New Roman"/>
          <w:lang w:val="en-GB"/>
        </w:rPr>
        <w:t>Factors Influencing Profitability</w:t>
      </w:r>
      <w:r>
        <w:rPr>
          <w:rFonts w:cs="Times New Roman"/>
          <w:lang w:val="en-GB"/>
        </w:rPr>
        <w:tab/>
      </w:r>
      <w:r>
        <w:rPr>
          <w:rFonts w:cs="Times New Roman"/>
          <w:lang w:val="en-GB"/>
        </w:rPr>
        <w:fldChar w:fldCharType="begin"/>
      </w:r>
      <w:r>
        <w:rPr>
          <w:rFonts w:cs="Times New Roman"/>
          <w:lang w:val="en-GB"/>
        </w:rPr>
        <w:instrText xml:space="preserve"> PAGEREF _Toc167128465 \h </w:instrText>
      </w:r>
      <w:r>
        <w:rPr>
          <w:rFonts w:cs="Times New Roman"/>
          <w:lang w:val="en-GB"/>
        </w:rPr>
        <w:fldChar w:fldCharType="separate"/>
      </w:r>
      <w:r>
        <w:rPr>
          <w:rFonts w:cs="Times New Roman"/>
          <w:lang w:val="en-GB"/>
        </w:rPr>
        <w:t>5</w:t>
      </w:r>
      <w:r>
        <w:rPr>
          <w:rFonts w:cs="Times New Roman" w:eastAsiaTheme="minorEastAsia"/>
          <w:bCs w:val="off"/>
          <w:iCs w:val="off"/>
          <w:color w:val="auto"/>
          <w:szCs w:val="24"/>
          <w:lang w:val="en-GB" w:bidi="ar-SA" w:eastAsia="en-GB"/>
        </w:rPr>
        <w:fldChar w:fldCharType="end"/>
      </w:r>
      <w:r>
        <w:rPr>
          <w:rFonts w:cs="Times New Roman" w:eastAsiaTheme="minorEastAsia"/>
          <w:bCs w:val="off"/>
          <w:iCs w:val="off"/>
          <w:color w:val="auto"/>
          <w:szCs w:val="24"/>
          <w:lang w:val="en-GB" w:bidi="ar-SA" w:eastAsia="en-GB"/>
        </w:rPr>
        <w:fldChar w:fldCharType="end"/>
      </w:r>
    </w:p>
    <w:p w14:paraId="00000015">
      <w:pPr>
        <w:pStyle w:val="Toc1"/>
        <w:tabs>
          <w:tab w:val="right" w:leader="dot" w:pos="9016"/>
        </w:tabs>
        <w:rPr>
          <w:rFonts w:cs="Times New Roman" w:eastAsiaTheme="minorEastAsia"/>
          <w:bCs w:val="off"/>
          <w:i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"_Toc167128466" </w:instrText>
      </w:r>
      <w:r>
        <w:rPr>
          <w:rStyle w:val="Hyperlink"/>
          <w:rFonts w:cs="Times New Roman"/>
          <w:lang w:val="en-GB"/>
        </w:rPr>
        <w:fldChar w:fldCharType="separate"/>
      </w:r>
      <w:r>
        <w:rPr>
          <w:rStyle w:val="Hyperlink"/>
          <w:rFonts w:cs="Times New Roman"/>
          <w:lang w:val="en-GB"/>
        </w:rPr>
        <w:t>Turnaround Strategy for Urban Heights Hotel</w:t>
      </w:r>
      <w:r>
        <w:rPr>
          <w:rFonts w:cs="Times New Roman"/>
          <w:lang w:val="en-GB"/>
        </w:rPr>
        <w:tab/>
      </w:r>
      <w:r>
        <w:rPr>
          <w:rFonts w:cs="Times New Roman"/>
          <w:lang w:val="en-GB"/>
        </w:rPr>
        <w:fldChar w:fldCharType="begin"/>
      </w:r>
      <w:r>
        <w:rPr>
          <w:rFonts w:cs="Times New Roman"/>
          <w:lang w:val="en-GB"/>
        </w:rPr>
        <w:instrText xml:space="preserve"> PAGEREF _Toc167128466 \h </w:instrText>
      </w:r>
      <w:r>
        <w:rPr>
          <w:rFonts w:cs="Times New Roman"/>
          <w:lang w:val="en-GB"/>
        </w:rPr>
        <w:fldChar w:fldCharType="separate"/>
      </w:r>
      <w:r>
        <w:rPr>
          <w:rFonts w:cs="Times New Roman"/>
          <w:lang w:val="en-GB"/>
        </w:rPr>
        <w:t>7</w:t>
      </w:r>
      <w:r>
        <w:rPr>
          <w:rFonts w:cs="Times New Roman" w:eastAsiaTheme="minorEastAsia"/>
          <w:bCs w:val="off"/>
          <w:iCs w:val="off"/>
          <w:color w:val="auto"/>
          <w:szCs w:val="24"/>
          <w:lang w:val="en-GB" w:bidi="ar-SA" w:eastAsia="en-GB"/>
        </w:rPr>
        <w:fldChar w:fldCharType="end"/>
      </w:r>
      <w:r>
        <w:rPr>
          <w:rFonts w:cs="Times New Roman" w:eastAsiaTheme="minorEastAsia"/>
          <w:bCs w:val="off"/>
          <w:iCs w:val="off"/>
          <w:color w:val="auto"/>
          <w:szCs w:val="24"/>
          <w:lang w:val="en-GB" w:bidi="ar-SA" w:eastAsia="en-GB"/>
        </w:rPr>
        <w:fldChar w:fldCharType="end"/>
      </w:r>
    </w:p>
    <w:p w14:paraId="00000016">
      <w:pPr>
        <w:pStyle w:val="Toc2"/>
        <w:tabs>
          <w:tab w:val="right" w:leader="dot" w:pos="9016"/>
        </w:tabs>
        <w:rPr>
          <w:rFonts w:cs="Times New Roman" w:eastAsiaTheme="minorEastAsia"/>
          <w:b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"_Toc167128467" </w:instrText>
      </w:r>
      <w:r>
        <w:rPr>
          <w:rStyle w:val="Hyperlink"/>
          <w:rFonts w:cs="Times New Roman"/>
          <w:lang w:val="en-GB"/>
        </w:rPr>
        <w:fldChar w:fldCharType="separate"/>
      </w:r>
      <w:r>
        <w:rPr>
          <w:rStyle w:val="Hyperlink"/>
          <w:rFonts w:cs="Times New Roman"/>
          <w:lang w:val="en-GB"/>
        </w:rPr>
        <w:t>SWOT Analysis</w:t>
      </w:r>
      <w:r>
        <w:rPr>
          <w:rFonts w:cs="Times New Roman"/>
          <w:lang w:val="en-GB"/>
        </w:rPr>
        <w:tab/>
      </w:r>
      <w:r>
        <w:rPr>
          <w:rFonts w:cs="Times New Roman"/>
          <w:lang w:val="en-GB"/>
        </w:rPr>
        <w:fldChar w:fldCharType="begin"/>
      </w:r>
      <w:r>
        <w:rPr>
          <w:rFonts w:cs="Times New Roman"/>
          <w:lang w:val="en-GB"/>
        </w:rPr>
        <w:instrText xml:space="preserve"> PAGEREF _Toc167128467 \h </w:instrText>
      </w:r>
      <w:r>
        <w:rPr>
          <w:rFonts w:cs="Times New Roman"/>
          <w:lang w:val="en-GB"/>
        </w:rPr>
        <w:fldChar w:fldCharType="separate"/>
      </w:r>
      <w:r>
        <w:rPr>
          <w:rFonts w:cs="Times New Roman"/>
          <w:lang w:val="en-GB"/>
        </w:rPr>
        <w:t>7</w:t>
      </w:r>
      <w:r>
        <w:rPr>
          <w:rFonts w:cs="Times New Roman" w:eastAsiaTheme="minorEastAsia"/>
          <w:bCs w:val="off"/>
          <w:color w:val="auto"/>
          <w:szCs w:val="24"/>
          <w:lang w:val="en-GB" w:bidi="ar-SA" w:eastAsia="en-GB"/>
        </w:rPr>
        <w:fldChar w:fldCharType="end"/>
      </w:r>
      <w:r>
        <w:rPr>
          <w:rFonts w:cs="Times New Roman" w:eastAsiaTheme="minorEastAsia"/>
          <w:bCs w:val="off"/>
          <w:color w:val="auto"/>
          <w:szCs w:val="24"/>
          <w:lang w:val="en-GB" w:bidi="ar-SA" w:eastAsia="en-GB"/>
        </w:rPr>
        <w:fldChar w:fldCharType="end"/>
      </w:r>
    </w:p>
    <w:p w14:paraId="00000017">
      <w:pPr>
        <w:pStyle w:val="Toc2"/>
        <w:tabs>
          <w:tab w:val="right" w:leader="dot" w:pos="9016"/>
        </w:tabs>
        <w:rPr>
          <w:rFonts w:cs="Times New Roman" w:eastAsiaTheme="minorEastAsia"/>
          <w:b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"_Toc167128468" </w:instrText>
      </w:r>
      <w:r>
        <w:rPr>
          <w:rStyle w:val="Hyperlink"/>
          <w:rFonts w:cs="Times New Roman"/>
          <w:lang w:val="en-GB"/>
        </w:rPr>
        <w:fldChar w:fldCharType="separate"/>
      </w:r>
      <w:r>
        <w:rPr>
          <w:rStyle w:val="Hyperlink"/>
          <w:rFonts w:cs="Times New Roman"/>
          <w:lang w:val="en-GB"/>
        </w:rPr>
        <w:t>Restructuring and Operational Transformation</w:t>
      </w:r>
      <w:r>
        <w:rPr>
          <w:rFonts w:cs="Times New Roman"/>
          <w:lang w:val="en-GB"/>
        </w:rPr>
        <w:tab/>
      </w:r>
      <w:r>
        <w:rPr>
          <w:rFonts w:cs="Times New Roman"/>
          <w:lang w:val="en-GB"/>
        </w:rPr>
        <w:fldChar w:fldCharType="begin"/>
      </w:r>
      <w:r>
        <w:rPr>
          <w:rFonts w:cs="Times New Roman"/>
          <w:lang w:val="en-GB"/>
        </w:rPr>
        <w:instrText xml:space="preserve"> PAGEREF _Toc167128468 \h </w:instrText>
      </w:r>
      <w:r>
        <w:rPr>
          <w:rFonts w:cs="Times New Roman"/>
          <w:lang w:val="en-GB"/>
        </w:rPr>
        <w:fldChar w:fldCharType="separate"/>
      </w:r>
      <w:r>
        <w:rPr>
          <w:rFonts w:cs="Times New Roman"/>
          <w:lang w:val="en-GB"/>
        </w:rPr>
        <w:t>8</w:t>
      </w:r>
      <w:r>
        <w:rPr>
          <w:rFonts w:cs="Times New Roman" w:eastAsiaTheme="minorEastAsia"/>
          <w:bCs w:val="off"/>
          <w:color w:val="auto"/>
          <w:szCs w:val="24"/>
          <w:lang w:val="en-GB" w:bidi="ar-SA" w:eastAsia="en-GB"/>
        </w:rPr>
        <w:fldChar w:fldCharType="end"/>
      </w:r>
      <w:r>
        <w:rPr>
          <w:rFonts w:cs="Times New Roman" w:eastAsiaTheme="minorEastAsia"/>
          <w:bCs w:val="off"/>
          <w:color w:val="auto"/>
          <w:szCs w:val="24"/>
          <w:lang w:val="en-GB" w:bidi="ar-SA" w:eastAsia="en-GB"/>
        </w:rPr>
        <w:fldChar w:fldCharType="end"/>
      </w:r>
    </w:p>
    <w:p w14:paraId="00000018">
      <w:pPr>
        <w:pStyle w:val="Toc2"/>
        <w:tabs>
          <w:tab w:val="right" w:leader="dot" w:pos="9016"/>
        </w:tabs>
        <w:rPr>
          <w:rFonts w:cs="Times New Roman" w:eastAsiaTheme="minorEastAsia"/>
          <w:b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"_Toc167128469" </w:instrText>
      </w:r>
      <w:r>
        <w:rPr>
          <w:rStyle w:val="Hyperlink"/>
          <w:rFonts w:cs="Times New Roman"/>
          <w:lang w:val="en-GB"/>
        </w:rPr>
        <w:fldChar w:fldCharType="separate"/>
      </w:r>
      <w:r>
        <w:rPr>
          <w:rStyle w:val="Hyperlink"/>
          <w:rFonts w:cs="Times New Roman"/>
          <w:lang w:val="en-GB"/>
        </w:rPr>
        <w:t>Revitalization of Finance and Restructuring Plan</w:t>
      </w:r>
      <w:r>
        <w:rPr>
          <w:rFonts w:cs="Times New Roman"/>
          <w:lang w:val="en-GB"/>
        </w:rPr>
        <w:tab/>
      </w:r>
      <w:r>
        <w:rPr>
          <w:rFonts w:cs="Times New Roman"/>
          <w:lang w:val="en-GB"/>
        </w:rPr>
        <w:fldChar w:fldCharType="begin"/>
      </w:r>
      <w:r>
        <w:rPr>
          <w:rFonts w:cs="Times New Roman"/>
          <w:lang w:val="en-GB"/>
        </w:rPr>
        <w:instrText xml:space="preserve"> PAGEREF _Toc167128469 \h </w:instrText>
      </w:r>
      <w:r>
        <w:rPr>
          <w:rFonts w:cs="Times New Roman"/>
          <w:lang w:val="en-GB"/>
        </w:rPr>
        <w:fldChar w:fldCharType="separate"/>
      </w:r>
      <w:r>
        <w:rPr>
          <w:rFonts w:cs="Times New Roman"/>
          <w:lang w:val="en-GB"/>
        </w:rPr>
        <w:t>8</w:t>
      </w:r>
      <w:r>
        <w:rPr>
          <w:rFonts w:cs="Times New Roman" w:eastAsiaTheme="minorEastAsia"/>
          <w:bCs w:val="off"/>
          <w:color w:val="auto"/>
          <w:szCs w:val="24"/>
          <w:lang w:val="en-GB" w:bidi="ar-SA" w:eastAsia="en-GB"/>
        </w:rPr>
        <w:fldChar w:fldCharType="end"/>
      </w:r>
      <w:r>
        <w:rPr>
          <w:rFonts w:cs="Times New Roman" w:eastAsiaTheme="minorEastAsia"/>
          <w:bCs w:val="off"/>
          <w:color w:val="auto"/>
          <w:szCs w:val="24"/>
          <w:lang w:val="en-GB" w:bidi="ar-SA" w:eastAsia="en-GB"/>
        </w:rPr>
        <w:fldChar w:fldCharType="end"/>
      </w:r>
    </w:p>
    <w:p w14:paraId="00000019">
      <w:pPr>
        <w:pStyle w:val="Toc2"/>
        <w:tabs>
          <w:tab w:val="right" w:leader="dot" w:pos="9016"/>
        </w:tabs>
        <w:rPr>
          <w:rFonts w:cs="Times New Roman" w:eastAsiaTheme="minorEastAsia"/>
          <w:b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"_Toc167128470" </w:instrText>
      </w:r>
      <w:r>
        <w:rPr>
          <w:rStyle w:val="Hyperlink"/>
          <w:rFonts w:cs="Times New Roman"/>
          <w:lang w:val="en-GB"/>
        </w:rPr>
        <w:fldChar w:fldCharType="separate"/>
      </w:r>
      <w:r>
        <w:rPr>
          <w:rStyle w:val="Hyperlink"/>
          <w:rFonts w:cs="Times New Roman"/>
          <w:lang w:val="en-GB"/>
        </w:rPr>
        <w:t>Improving Brand Perception and Customer Satisfaction</w:t>
      </w:r>
      <w:r>
        <w:rPr>
          <w:rFonts w:cs="Times New Roman"/>
          <w:lang w:val="en-GB"/>
        </w:rPr>
        <w:tab/>
      </w:r>
      <w:r>
        <w:rPr>
          <w:rFonts w:cs="Times New Roman"/>
          <w:lang w:val="en-GB"/>
        </w:rPr>
        <w:fldChar w:fldCharType="begin"/>
      </w:r>
      <w:r>
        <w:rPr>
          <w:rFonts w:cs="Times New Roman"/>
          <w:lang w:val="en-GB"/>
        </w:rPr>
        <w:instrText xml:space="preserve"> PAGEREF _Toc167128470 \h </w:instrText>
      </w:r>
      <w:r>
        <w:rPr>
          <w:rFonts w:cs="Times New Roman"/>
          <w:lang w:val="en-GB"/>
        </w:rPr>
        <w:fldChar w:fldCharType="separate"/>
      </w:r>
      <w:r>
        <w:rPr>
          <w:rFonts w:cs="Times New Roman"/>
          <w:lang w:val="en-GB"/>
        </w:rPr>
        <w:t>9</w:t>
      </w:r>
      <w:r>
        <w:rPr>
          <w:rFonts w:cs="Times New Roman" w:eastAsiaTheme="minorEastAsia"/>
          <w:bCs w:val="off"/>
          <w:color w:val="auto"/>
          <w:szCs w:val="24"/>
          <w:lang w:val="en-GB" w:bidi="ar-SA" w:eastAsia="en-GB"/>
        </w:rPr>
        <w:fldChar w:fldCharType="end"/>
      </w:r>
      <w:r>
        <w:rPr>
          <w:rFonts w:cs="Times New Roman" w:eastAsiaTheme="minorEastAsia"/>
          <w:bCs w:val="off"/>
          <w:color w:val="auto"/>
          <w:szCs w:val="24"/>
          <w:lang w:val="en-GB" w:bidi="ar-SA" w:eastAsia="en-GB"/>
        </w:rPr>
        <w:fldChar w:fldCharType="end"/>
      </w:r>
    </w:p>
    <w:p w14:paraId="0000001A">
      <w:pPr>
        <w:pStyle w:val="Toc1"/>
        <w:tabs>
          <w:tab w:val="right" w:leader="dot" w:pos="9016"/>
        </w:tabs>
        <w:rPr>
          <w:rFonts w:cs="Times New Roman" w:eastAsiaTheme="minorEastAsia"/>
          <w:bCs w:val="off"/>
          <w:i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"_Toc167128471" </w:instrText>
      </w:r>
      <w:r>
        <w:rPr>
          <w:rStyle w:val="Hyperlink"/>
          <w:rFonts w:cs="Times New Roman"/>
          <w:lang w:val="en-GB"/>
        </w:rPr>
        <w:fldChar w:fldCharType="separate"/>
      </w:r>
      <w:r>
        <w:rPr>
          <w:rStyle w:val="Hyperlink"/>
          <w:rFonts w:cs="Times New Roman"/>
          <w:lang w:val="en-GB"/>
        </w:rPr>
        <w:t>Conclusion</w:t>
      </w:r>
      <w:r>
        <w:rPr>
          <w:rFonts w:cs="Times New Roman"/>
          <w:lang w:val="en-GB"/>
        </w:rPr>
        <w:tab/>
      </w:r>
      <w:r>
        <w:rPr>
          <w:rFonts w:cs="Times New Roman"/>
          <w:lang w:val="en-GB"/>
        </w:rPr>
        <w:fldChar w:fldCharType="begin"/>
      </w:r>
      <w:r>
        <w:rPr>
          <w:rFonts w:cs="Times New Roman"/>
          <w:lang w:val="en-GB"/>
        </w:rPr>
        <w:instrText xml:space="preserve"> PAGEREF _Toc167128471 \h </w:instrText>
      </w:r>
      <w:r>
        <w:rPr>
          <w:rFonts w:cs="Times New Roman"/>
          <w:lang w:val="en-GB"/>
        </w:rPr>
        <w:fldChar w:fldCharType="separate"/>
      </w:r>
      <w:r>
        <w:rPr>
          <w:rFonts w:cs="Times New Roman"/>
          <w:lang w:val="en-GB"/>
        </w:rPr>
        <w:t>9</w:t>
      </w:r>
      <w:r>
        <w:rPr>
          <w:rFonts w:cs="Times New Roman" w:eastAsiaTheme="minorEastAsia"/>
          <w:bCs w:val="off"/>
          <w:iCs w:val="off"/>
          <w:color w:val="auto"/>
          <w:szCs w:val="24"/>
          <w:lang w:val="en-GB" w:bidi="ar-SA" w:eastAsia="en-GB"/>
        </w:rPr>
        <w:fldChar w:fldCharType="end"/>
      </w:r>
      <w:r>
        <w:rPr>
          <w:rFonts w:cs="Times New Roman" w:eastAsiaTheme="minorEastAsia"/>
          <w:bCs w:val="off"/>
          <w:iCs w:val="off"/>
          <w:color w:val="auto"/>
          <w:szCs w:val="24"/>
          <w:lang w:val="en-GB" w:bidi="ar-SA" w:eastAsia="en-GB"/>
        </w:rPr>
        <w:fldChar w:fldCharType="end"/>
      </w:r>
    </w:p>
    <w:p w14:paraId="0000001B">
      <w:pPr>
        <w:pStyle w:val="Toc1"/>
        <w:tabs>
          <w:tab w:val="right" w:leader="dot" w:pos="9016"/>
        </w:tabs>
        <w:rPr>
          <w:rFonts w:cs="Times New Roman" w:eastAsiaTheme="minorEastAsia"/>
          <w:bCs w:val="off"/>
          <w:iCs w:val="off"/>
          <w:color w:val="auto"/>
          <w:szCs w:val="24"/>
          <w:lang w:val="en-GB" w:bidi="ar-SA" w:eastAsia="en-GB"/>
        </w:rPr>
      </w:pPr>
      <w:r>
        <w:rPr>
          <w:rStyle w:val="Hyperlink"/>
          <w:rFonts w:cs="Times New Roman"/>
          <w:lang w:val="en-GB"/>
        </w:rPr>
        <w:fldChar w:fldCharType="begin"/>
      </w:r>
      <w:r>
        <w:rPr>
          <w:rStyle w:val="Hyperlink"/>
          <w:rFonts w:cs="Times New Roman"/>
          <w:lang w:val="en-GB"/>
        </w:rPr>
        <w:instrText xml:space="preserve">HYPERLINK \l "_Toc167128472" </w:instrText>
      </w:r>
      <w:r>
        <w:rPr>
          <w:rStyle w:val="Hyperlink"/>
          <w:rFonts w:cs="Times New Roman"/>
          <w:lang w:val="en-GB"/>
        </w:rPr>
        <w:fldChar w:fldCharType="separate"/>
      </w:r>
      <w:r>
        <w:rPr>
          <w:rStyle w:val="Hyperlink"/>
          <w:rFonts w:cs="Times New Roman"/>
          <w:lang w:val="en-GB"/>
        </w:rPr>
        <w:t>Reference List</w:t>
      </w:r>
      <w:r>
        <w:rPr>
          <w:rFonts w:cs="Times New Roman"/>
          <w:lang w:val="en-GB"/>
        </w:rPr>
        <w:tab/>
      </w:r>
      <w:r>
        <w:rPr>
          <w:rFonts w:cs="Times New Roman"/>
          <w:lang w:val="en-GB"/>
        </w:rPr>
        <w:fldChar w:fldCharType="begin"/>
      </w:r>
      <w:r>
        <w:rPr>
          <w:rFonts w:cs="Times New Roman"/>
          <w:lang w:val="en-GB"/>
        </w:rPr>
        <w:instrText xml:space="preserve"> PAGEREF _Toc167128472 \h </w:instrText>
      </w:r>
      <w:r>
        <w:rPr>
          <w:rFonts w:cs="Times New Roman"/>
          <w:lang w:val="en-GB"/>
        </w:rPr>
        <w:fldChar w:fldCharType="separate"/>
      </w:r>
      <w:r>
        <w:rPr>
          <w:rFonts w:cs="Times New Roman"/>
          <w:lang w:val="en-GB"/>
        </w:rPr>
        <w:t>10</w:t>
      </w:r>
      <w:r>
        <w:rPr>
          <w:rFonts w:cs="Times New Roman" w:eastAsiaTheme="minorEastAsia"/>
          <w:bCs w:val="off"/>
          <w:iCs w:val="off"/>
          <w:color w:val="auto"/>
          <w:szCs w:val="24"/>
          <w:lang w:val="en-GB" w:bidi="ar-SA" w:eastAsia="en-GB"/>
        </w:rPr>
        <w:fldChar w:fldCharType="end"/>
      </w:r>
      <w:r>
        <w:rPr>
          <w:rFonts w:cs="Times New Roman" w:eastAsiaTheme="minorEastAsia"/>
          <w:bCs w:val="off"/>
          <w:iCs w:val="off"/>
          <w:color w:val="auto"/>
          <w:szCs w:val="24"/>
          <w:lang w:val="en-GB" w:bidi="ar-SA" w:eastAsia="en-GB"/>
        </w:rPr>
        <w:fldChar w:fldCharType="end"/>
      </w:r>
    </w:p>
    <w:p w14:paraId="0000001C">
      <w:pPr>
        <w:rPr>
          <w:rFonts w:cs="Times New Roman"/>
          <w:lang w:val="en-GB"/>
        </w:rPr>
      </w:pPr>
      <w:r>
        <w:rPr>
          <w:rFonts w:cs="Times New Roman"/>
          <w:lang w:val="en-GB"/>
        </w:rPr>
        <w:fldChar w:fldCharType="end"/>
      </w:r>
    </w:p>
    <w:p w14:paraId="0000001D">
      <w:pPr>
        <w:jc w:val="left"/>
        <w:rPr>
          <w:rFonts w:cs="Times New Roman"/>
          <w:lang w:val="en-GB"/>
        </w:rPr>
      </w:pPr>
      <w:r>
        <w:rPr>
          <w:rFonts w:cs="Times New Roman"/>
          <w:lang w:val="en-GB"/>
        </w:rPr>
        <w:br w:type="page"/>
      </w:r>
    </w:p>
    <w:p w14:paraId="0000001E">
      <w:pPr>
        <w:pStyle w:val="Heading1"/>
        <w:rPr>
          <w:rFonts w:cs="Times New Roman"/>
          <w:lang w:val="en-GB"/>
        </w:rPr>
      </w:pPr>
      <w:bookmarkStart w:id="0" w:name="_Toc167027809"/>
      <w:bookmarkStart w:id="1" w:name="_Toc167128463"/>
      <w:r>
        <w:rPr>
          <w:rFonts w:cs="Times New Roman"/>
          <w:lang w:val="en-GB"/>
        </w:rPr>
        <w:t>Introduction</w:t>
      </w:r>
      <w:bookmarkEnd w:id="0"/>
      <w:bookmarkEnd w:id="1"/>
    </w:p>
    <w:p w14:paraId="0000001F">
      <w:pPr>
        <w:rPr>
          <w:rFonts w:cs="Times New Roman"/>
          <w:lang w:val="en-GB"/>
        </w:rPr>
      </w:pPr>
      <w:r>
        <w:rPr>
          <w:rFonts w:cs="Times New Roman"/>
          <w:lang w:val="en-GB"/>
        </w:rPr>
        <w:t xml:space="preserve">Financial management strategy is very important in the hospitality industry because it is the key element towards sustainable growth, efficiency and effectiveness in operations and development of overall business and corporate strategies </w:t>
      </w:r>
      <w:r>
        <w:rPr>
          <w:rFonts w:cs="Times New Roman"/>
          <w:lang w:val="en-GB"/>
        </w:rPr>
        <w:t>(</w:t>
      </w:r>
      <w:r>
        <w:rPr>
          <w:rFonts w:cs="Times New Roman"/>
          <w:lang w:val="en-GB"/>
        </w:rPr>
        <w:t>Tranter</w:t>
      </w:r>
      <w:r>
        <w:rPr>
          <w:rFonts w:cs="Times New Roman"/>
          <w:lang w:val="en-GB"/>
        </w:rPr>
        <w:t xml:space="preserve"> et al., 2014). </w:t>
      </w:r>
      <w:r>
        <w:rPr>
          <w:rFonts w:cs="Times New Roman"/>
          <w:lang w:val="en-GB"/>
        </w:rPr>
        <w:t xml:space="preserve">It is also one that many may recall to have hosted many experiences from its restaurant and bar to event spaces at Urban Heights Hotel. But still, there has been a significant financial deterioration of the hotel for the past several years with decreasing revenue, occupancy rate and client satisfaction. The objective of this study is to identify the issues concerning the financial management of the Urban Heights Hotel and to highlight the primary reasons for the decrease in the overall profits of the company. </w:t>
      </w:r>
    </w:p>
    <w:p w14:paraId="00000020">
      <w:pPr>
        <w:rPr>
          <w:rFonts w:cs="Times New Roman"/>
          <w:lang w:val="en-GB"/>
        </w:rPr>
      </w:pPr>
    </w:p>
    <w:p w14:paraId="00000021">
      <w:pPr>
        <w:pStyle w:val="Heading1"/>
        <w:rPr>
          <w:rFonts w:cs="Times New Roman"/>
          <w:lang w:val="en-GB"/>
        </w:rPr>
      </w:pPr>
      <w:bookmarkStart w:id="2" w:name="_Toc167128464"/>
      <w:r>
        <w:rPr>
          <w:rFonts w:cs="Times New Roman"/>
          <w:lang w:val="en-GB"/>
        </w:rPr>
        <w:t>Financial Analysis</w:t>
      </w:r>
      <w:r>
        <w:rPr>
          <w:rFonts w:cs="Times New Roman"/>
          <w:lang w:val="en-GB"/>
        </w:rPr>
        <w:t xml:space="preserve"> and Review</w:t>
      </w:r>
      <w:bookmarkEnd w:id="2"/>
    </w:p>
    <w:p w14:paraId="00000022">
      <w:pPr>
        <w:rPr>
          <w:rFonts w:cs="Times New Roman"/>
          <w:b/>
          <w:bCs/>
          <w:lang w:val="en-GB"/>
        </w:rPr>
      </w:pPr>
      <w:r>
        <w:rPr>
          <w:rFonts w:cs="Times New Roman"/>
          <w:lang w:val="en-GB"/>
        </w:rPr>
        <w:t>A few productive Ratios will be used in the Evaluation of the performance of the Urban Heights Hotel. These ratios help to explain the hotel earnings of some aspects of expenses, the profitability of the business's ability to pay off debts, and also the amount of cash available for immediate obligations (</w:t>
      </w:r>
      <w:r>
        <w:rPr>
          <w:rFonts w:cs="Times New Roman"/>
          <w:lang w:val="en-GB"/>
        </w:rPr>
        <w:t>Hayes</w:t>
      </w:r>
      <w:r>
        <w:rPr>
          <w:rFonts w:cs="Times New Roman"/>
          <w:lang w:val="en-GB"/>
        </w:rPr>
        <w:t xml:space="preserve"> et al.</w:t>
      </w:r>
      <w:r>
        <w:rPr>
          <w:rFonts w:cs="Times New Roman"/>
          <w:lang w:val="en-GB"/>
        </w:rPr>
        <w:t xml:space="preserve">, </w:t>
      </w:r>
      <w:r>
        <w:rPr>
          <w:rFonts w:cs="Times New Roman"/>
          <w:lang w:val="en-GB"/>
        </w:rPr>
        <w:t>2021</w:t>
      </w:r>
      <w:r>
        <w:rPr>
          <w:rFonts w:cs="Times New Roman"/>
          <w:lang w:val="en-GB"/>
        </w:rPr>
        <w:t xml:space="preserve">). </w:t>
      </w:r>
    </w:p>
    <w:p w14:paraId="00000023">
      <w:pPr>
        <w:rPr>
          <w:rFonts w:cs="Times New Roman"/>
          <w:lang w:val="en-GB"/>
        </w:rPr>
      </w:pPr>
      <w:r>
        <w:rPr>
          <w:rFonts w:cs="Times New Roman"/>
          <w:b/>
          <w:bCs/>
          <w:lang w:val="en-GB"/>
        </w:rPr>
        <w:t>Trend of</w:t>
      </w:r>
      <w:r>
        <w:rPr>
          <w:rFonts w:cs="Times New Roman"/>
          <w:b/>
          <w:bCs/>
          <w:lang w:val="en-GB"/>
        </w:rPr>
        <w:t xml:space="preserve"> R</w:t>
      </w:r>
      <w:r>
        <w:rPr>
          <w:rFonts w:cs="Times New Roman"/>
          <w:b/>
          <w:bCs/>
          <w:lang w:val="en-GB"/>
        </w:rPr>
        <w:t xml:space="preserve">evenue </w:t>
      </w:r>
    </w:p>
    <w:p w14:paraId="00000024">
      <w:pPr>
        <w:rPr>
          <w:rFonts w:cs="Times New Roman"/>
          <w:lang w:val="en-GB"/>
        </w:rPr>
      </w:pPr>
      <w:r>
        <w:rPr>
          <w:rFonts w:cs="Times New Roman"/>
          <w:lang w:val="en-GB"/>
        </w:rPr>
        <w:t xml:space="preserve"> =</w:t>
      </w:r>
      <w:r>
        <w:rPr>
          <w:rFonts w:cs="Times New Roman"/>
          <w:lang w:val="en-GB"/>
        </w:rPr>
        <w:t xml:space="preserve"> </w:t>
      </w:r>
      <w:r>
        <w:rPr>
          <w:rFonts w:cs="Times New Roman"/>
          <w:lang w:val="en-GB"/>
        </w:rPr>
        <w:t xml:space="preserve">{(Revenue in current period – Revenue in </w:t>
      </w:r>
      <w:r>
        <w:rPr>
          <w:rFonts w:cs="Times New Roman"/>
          <w:lang w:val="en-GB"/>
        </w:rPr>
        <w:t>base</w:t>
      </w:r>
      <w:r>
        <w:rPr>
          <w:rFonts w:cs="Times New Roman"/>
          <w:lang w:val="en-GB"/>
        </w:rPr>
        <w:t xml:space="preserve"> period)/Revenue in </w:t>
      </w:r>
      <w:r>
        <w:rPr>
          <w:rFonts w:cs="Times New Roman"/>
          <w:lang w:val="en-GB"/>
        </w:rPr>
        <w:t>base</w:t>
      </w:r>
      <w:r>
        <w:rPr>
          <w:rFonts w:cs="Times New Roman"/>
          <w:lang w:val="en-GB"/>
        </w:rPr>
        <w:t xml:space="preserve"> period}</w:t>
      </w:r>
      <w:r>
        <w:rPr>
          <w:rFonts w:cs="Times New Roman"/>
          <w:lang w:val="en-GB"/>
        </w:rPr>
        <w:t xml:space="preserve"> </w:t>
      </w:r>
      <w:r>
        <w:rPr>
          <w:rFonts w:cs="Times New Roman"/>
          <w:lang w:val="en-GB"/>
        </w:rPr>
        <w:t>*100</w:t>
      </w:r>
    </w:p>
    <w:tbl>
      <w:tblPr>
        <w:tblStyle w:val="TableGrid"/>
        <w:tblW w:w="0" w:type="auto"/>
        <w:jc w:val="center"/>
        <w:tblLook w:val="04A0"/>
      </w:tblPr>
      <w:tblGrid>
        <w:gridCol w:w="1775"/>
        <w:gridCol w:w="1775"/>
      </w:tblGrid>
      <w:tr>
        <w:trPr>
          <w:trHeight w:val="329"/>
          <w:jc w:val="center"/>
        </w:trPr>
        <w:tc>
          <w:tcPr>
            <w:cnfStyle w:val="101000000000"/>
            <w:tcW w:w="1775" w:type="dxa"/>
          </w:tcPr>
          <w:p w14:paraId="00000025">
            <w:pPr>
              <w:jc w:val="center"/>
              <w:rPr>
                <w:rFonts w:cs="Times New Roman"/>
                <w:b/>
                <w:bCs/>
                <w:lang w:val="en-GB"/>
              </w:rPr>
            </w:pPr>
            <w:r>
              <w:rPr>
                <w:rFonts w:cs="Times New Roman"/>
                <w:b/>
                <w:bCs/>
                <w:lang w:val="en-GB"/>
              </w:rPr>
              <w:t>Period</w:t>
            </w:r>
          </w:p>
        </w:tc>
        <w:tc>
          <w:tcPr>
            <w:cnfStyle w:val="100000000000"/>
            <w:tcW w:w="1775" w:type="dxa"/>
          </w:tcPr>
          <w:p w14:paraId="00000026">
            <w:pPr>
              <w:jc w:val="center"/>
              <w:rPr>
                <w:rFonts w:cs="Times New Roman"/>
                <w:b/>
                <w:bCs/>
                <w:lang w:val="en-GB"/>
              </w:rPr>
            </w:pPr>
            <w:r>
              <w:rPr>
                <w:rFonts w:cs="Times New Roman"/>
                <w:b/>
                <w:bCs/>
                <w:lang w:val="en-GB"/>
              </w:rPr>
              <w:t>Trend</w:t>
            </w:r>
          </w:p>
        </w:tc>
      </w:tr>
      <w:tr>
        <w:trPr>
          <w:trHeight w:val="329"/>
          <w:jc w:val="center"/>
        </w:trPr>
        <w:tc>
          <w:tcPr>
            <w:cnfStyle w:val="001000100000"/>
            <w:tcW w:w="1775" w:type="dxa"/>
          </w:tcPr>
          <w:p w14:paraId="00000027">
            <w:pPr>
              <w:jc w:val="center"/>
              <w:rPr>
                <w:rFonts w:cs="Times New Roman"/>
                <w:lang w:val="en-GB"/>
              </w:rPr>
            </w:pPr>
            <w:r>
              <w:rPr>
                <w:rFonts w:cs="Times New Roman"/>
                <w:lang w:val="en-GB"/>
              </w:rPr>
              <w:t>2021</w:t>
            </w:r>
          </w:p>
        </w:tc>
        <w:tc>
          <w:tcPr>
            <w:cnfStyle w:val="000000100000"/>
            <w:tcW w:w="1775" w:type="dxa"/>
          </w:tcPr>
          <w:p w14:paraId="00000028">
            <w:pPr>
              <w:jc w:val="center"/>
              <w:rPr>
                <w:rFonts w:cs="Times New Roman"/>
                <w:lang w:val="en-GB"/>
              </w:rPr>
            </w:pPr>
            <w:r>
              <w:rPr>
                <w:rFonts w:cs="Times New Roman"/>
                <w:lang w:val="en-GB"/>
              </w:rPr>
              <w:t>00</w:t>
            </w:r>
          </w:p>
        </w:tc>
      </w:tr>
      <w:tr>
        <w:trPr>
          <w:trHeight w:val="329"/>
          <w:jc w:val="center"/>
        </w:trPr>
        <w:tc>
          <w:tcPr>
            <w:cnfStyle w:val="001000010000"/>
            <w:tcW w:w="1775" w:type="dxa"/>
          </w:tcPr>
          <w:p w14:paraId="00000029">
            <w:pPr>
              <w:jc w:val="center"/>
              <w:rPr>
                <w:rFonts w:cs="Times New Roman"/>
                <w:lang w:val="en-GB"/>
              </w:rPr>
            </w:pPr>
            <w:r>
              <w:rPr>
                <w:rFonts w:cs="Times New Roman"/>
                <w:lang w:val="en-GB"/>
              </w:rPr>
              <w:t>2022</w:t>
            </w:r>
          </w:p>
        </w:tc>
        <w:tc>
          <w:tcPr>
            <w:cnfStyle w:val="000000010000"/>
            <w:tcW w:w="1775" w:type="dxa"/>
          </w:tcPr>
          <w:p w14:paraId="0000002A">
            <w:pPr>
              <w:jc w:val="center"/>
              <w:rPr>
                <w:rFonts w:cs="Times New Roman"/>
                <w:lang w:val="en-GB"/>
              </w:rPr>
            </w:pPr>
            <w:r>
              <w:rPr>
                <w:rFonts w:cs="Times New Roman"/>
                <w:lang w:val="en-GB"/>
              </w:rPr>
              <w:t>-12%</w:t>
            </w:r>
          </w:p>
        </w:tc>
      </w:tr>
      <w:tr>
        <w:trPr>
          <w:trHeight w:val="329"/>
          <w:jc w:val="center"/>
        </w:trPr>
        <w:tc>
          <w:tcPr>
            <w:cnfStyle w:val="001000100000"/>
            <w:tcW w:w="1775" w:type="dxa"/>
          </w:tcPr>
          <w:p w14:paraId="0000002B">
            <w:pPr>
              <w:jc w:val="center"/>
              <w:rPr>
                <w:rFonts w:cs="Times New Roman"/>
                <w:lang w:val="en-GB"/>
              </w:rPr>
            </w:pPr>
            <w:r>
              <w:rPr>
                <w:rFonts w:cs="Times New Roman"/>
                <w:lang w:val="en-GB"/>
              </w:rPr>
              <w:t>2023</w:t>
            </w:r>
          </w:p>
        </w:tc>
        <w:tc>
          <w:tcPr>
            <w:cnfStyle w:val="000000100000"/>
            <w:tcW w:w="1775" w:type="dxa"/>
          </w:tcPr>
          <w:p w14:paraId="0000002C">
            <w:pPr>
              <w:jc w:val="center"/>
              <w:rPr>
                <w:rFonts w:cs="Times New Roman"/>
                <w:lang w:val="en-GB"/>
              </w:rPr>
            </w:pPr>
            <w:r>
              <w:rPr>
                <w:rFonts w:cs="Times New Roman"/>
                <w:lang w:val="en-GB"/>
              </w:rPr>
              <w:t>-18.18%</w:t>
            </w:r>
          </w:p>
        </w:tc>
      </w:tr>
    </w:tbl>
    <w:p w14:paraId="0000002D">
      <w:pPr>
        <w:rPr>
          <w:rFonts w:cs="Times New Roman"/>
          <w:lang w:val="en-GB"/>
        </w:rPr>
      </w:pPr>
    </w:p>
    <w:p w14:paraId="0000002E">
      <w:pPr>
        <w:rPr>
          <w:rFonts w:cs="Times New Roman"/>
          <w:b/>
          <w:bCs/>
          <w:lang w:val="en-GB"/>
        </w:rPr>
      </w:pPr>
      <w:r>
        <w:rPr>
          <w:rFonts w:cs="Times New Roman"/>
          <w:lang w:val="en-GB"/>
        </w:rPr>
        <w:t>The income trend for Urban Heights Hotel has shown a significant reduction during the last two years. In 2022, revenue fell by 12%, suggesting a substantial fall in performance. This decreasing trend intensified in 2023 when revenue fell by 18.18%. These continuous decreases indicate the hotel's issues, which include declining demand, competitive pressures, and external economic concerns</w:t>
      </w:r>
      <w:r>
        <w:rPr>
          <w:rFonts w:cs="Times New Roman"/>
          <w:lang w:val="en-GB"/>
        </w:rPr>
        <w:t xml:space="preserve"> </w:t>
      </w:r>
      <w:r>
        <w:rPr>
          <w:rFonts w:cs="Times New Roman"/>
          <w:color w:val="000000"/>
          <w:lang w:val="en-GB"/>
        </w:rPr>
        <w:t>(</w:t>
      </w:r>
      <w:r>
        <w:rPr>
          <w:rFonts w:cs="Times New Roman"/>
          <w:lang w:val="en-GB"/>
        </w:rPr>
        <w:t>Demir</w:t>
      </w:r>
      <w:r>
        <w:rPr>
          <w:rFonts w:cs="Times New Roman"/>
          <w:lang w:val="en-GB"/>
        </w:rPr>
        <w:t xml:space="preserve"> et al.</w:t>
      </w:r>
      <w:r>
        <w:rPr>
          <w:rFonts w:cs="Times New Roman"/>
          <w:color w:val="000000"/>
          <w:lang w:val="en-GB"/>
        </w:rPr>
        <w:t>, 2021)</w:t>
      </w:r>
      <w:r>
        <w:rPr>
          <w:rFonts w:cs="Times New Roman"/>
          <w:lang w:val="en-GB"/>
        </w:rPr>
        <w:t>.</w:t>
      </w:r>
    </w:p>
    <w:p w14:paraId="0000002F">
      <w:pPr>
        <w:rPr>
          <w:rFonts w:cs="Times New Roman"/>
          <w:b/>
          <w:bCs/>
          <w:lang w:val="en-GB"/>
        </w:rPr>
      </w:pPr>
      <w:r>
        <w:rPr>
          <w:rFonts w:cs="Times New Roman"/>
          <w:b/>
          <w:bCs/>
          <w:lang w:val="en-GB"/>
        </w:rPr>
        <w:t xml:space="preserve">Trend of </w:t>
      </w:r>
      <w:r>
        <w:rPr>
          <w:rFonts w:cs="Times New Roman"/>
          <w:b/>
          <w:bCs/>
          <w:lang w:val="en-GB"/>
        </w:rPr>
        <w:t>E</w:t>
      </w:r>
      <w:r>
        <w:rPr>
          <w:rFonts w:cs="Times New Roman"/>
          <w:b/>
          <w:bCs/>
          <w:lang w:val="en-GB"/>
        </w:rPr>
        <w:t>xpenses</w:t>
      </w:r>
    </w:p>
    <w:p w14:paraId="00000030">
      <w:pPr>
        <w:rPr>
          <w:rFonts w:cs="Times New Roman"/>
          <w:lang w:val="en-GB"/>
        </w:rPr>
      </w:pPr>
      <w:r>
        <w:rPr>
          <w:rFonts w:cs="Times New Roman"/>
          <w:lang w:val="en-GB"/>
        </w:rPr>
        <w:t>= {(Expenses in current period – Expenses in base period)/Expenses in base period} *100</w:t>
      </w:r>
    </w:p>
    <w:tbl>
      <w:tblPr>
        <w:tblStyle w:val="TableGrid"/>
        <w:tblW w:w="0" w:type="auto"/>
        <w:jc w:val="center"/>
        <w:tblLook w:val="04A0"/>
      </w:tblPr>
      <w:tblGrid>
        <w:gridCol w:w="1775"/>
        <w:gridCol w:w="1775"/>
      </w:tblGrid>
      <w:tr>
        <w:trPr>
          <w:trHeight w:val="329"/>
          <w:jc w:val="center"/>
        </w:trPr>
        <w:tc>
          <w:tcPr>
            <w:cnfStyle w:val="101000000000"/>
            <w:tcW w:w="1775" w:type="dxa"/>
          </w:tcPr>
          <w:p w14:paraId="00000031">
            <w:pPr>
              <w:jc w:val="center"/>
              <w:rPr>
                <w:rFonts w:cs="Times New Roman"/>
                <w:b/>
                <w:bCs/>
                <w:lang w:val="en-GB"/>
              </w:rPr>
            </w:pPr>
            <w:r>
              <w:rPr>
                <w:rFonts w:cs="Times New Roman"/>
                <w:b/>
                <w:bCs/>
                <w:lang w:val="en-GB"/>
              </w:rPr>
              <w:t>Period</w:t>
            </w:r>
          </w:p>
        </w:tc>
        <w:tc>
          <w:tcPr>
            <w:cnfStyle w:val="100000000000"/>
            <w:tcW w:w="1775" w:type="dxa"/>
          </w:tcPr>
          <w:p w14:paraId="00000032">
            <w:pPr>
              <w:jc w:val="center"/>
              <w:rPr>
                <w:rFonts w:cs="Times New Roman"/>
                <w:b/>
                <w:bCs/>
                <w:lang w:val="en-GB"/>
              </w:rPr>
            </w:pPr>
            <w:r>
              <w:rPr>
                <w:rFonts w:cs="Times New Roman"/>
                <w:b/>
                <w:bCs/>
                <w:lang w:val="en-GB"/>
              </w:rPr>
              <w:t>Trend</w:t>
            </w:r>
          </w:p>
        </w:tc>
      </w:tr>
      <w:tr>
        <w:trPr>
          <w:trHeight w:val="329"/>
          <w:jc w:val="center"/>
        </w:trPr>
        <w:tc>
          <w:tcPr>
            <w:cnfStyle w:val="001000100000"/>
            <w:tcW w:w="1775" w:type="dxa"/>
          </w:tcPr>
          <w:p w14:paraId="00000033">
            <w:pPr>
              <w:jc w:val="center"/>
              <w:rPr>
                <w:rFonts w:cs="Times New Roman"/>
                <w:lang w:val="en-GB"/>
              </w:rPr>
            </w:pPr>
            <w:r>
              <w:rPr>
                <w:rFonts w:cs="Times New Roman"/>
                <w:lang w:val="en-GB"/>
              </w:rPr>
              <w:t>2021</w:t>
            </w:r>
          </w:p>
        </w:tc>
        <w:tc>
          <w:tcPr>
            <w:cnfStyle w:val="000000100000"/>
            <w:tcW w:w="1775" w:type="dxa"/>
          </w:tcPr>
          <w:p w14:paraId="00000034">
            <w:pPr>
              <w:jc w:val="center"/>
              <w:rPr>
                <w:rFonts w:cs="Times New Roman"/>
                <w:lang w:val="en-GB"/>
              </w:rPr>
            </w:pPr>
            <w:r>
              <w:rPr>
                <w:rFonts w:cs="Times New Roman"/>
                <w:lang w:val="en-GB"/>
              </w:rPr>
              <w:t>00</w:t>
            </w:r>
          </w:p>
        </w:tc>
      </w:tr>
      <w:tr>
        <w:trPr>
          <w:trHeight w:val="329"/>
          <w:jc w:val="center"/>
        </w:trPr>
        <w:tc>
          <w:tcPr>
            <w:cnfStyle w:val="001000010000"/>
            <w:tcW w:w="1775" w:type="dxa"/>
          </w:tcPr>
          <w:p w14:paraId="00000035">
            <w:pPr>
              <w:jc w:val="center"/>
              <w:rPr>
                <w:rFonts w:cs="Times New Roman"/>
                <w:lang w:val="en-GB"/>
              </w:rPr>
            </w:pPr>
            <w:r>
              <w:rPr>
                <w:rFonts w:cs="Times New Roman"/>
                <w:lang w:val="en-GB"/>
              </w:rPr>
              <w:t>2022</w:t>
            </w:r>
          </w:p>
        </w:tc>
        <w:tc>
          <w:tcPr>
            <w:cnfStyle w:val="000000010000"/>
            <w:tcW w:w="1775" w:type="dxa"/>
          </w:tcPr>
          <w:p w14:paraId="00000036">
            <w:pPr>
              <w:jc w:val="center"/>
              <w:rPr>
                <w:rFonts w:cs="Times New Roman"/>
                <w:lang w:val="en-GB"/>
              </w:rPr>
            </w:pPr>
            <w:r>
              <w:rPr>
                <w:rFonts w:cs="Times New Roman"/>
                <w:lang w:val="en-GB"/>
              </w:rPr>
              <w:t>16.89%</w:t>
            </w:r>
          </w:p>
        </w:tc>
      </w:tr>
      <w:tr>
        <w:trPr>
          <w:trHeight w:val="329"/>
          <w:jc w:val="center"/>
        </w:trPr>
        <w:tc>
          <w:tcPr>
            <w:cnfStyle w:val="001000100000"/>
            <w:tcW w:w="1775" w:type="dxa"/>
          </w:tcPr>
          <w:p w14:paraId="00000037">
            <w:pPr>
              <w:jc w:val="center"/>
              <w:rPr>
                <w:rFonts w:cs="Times New Roman"/>
                <w:lang w:val="en-GB"/>
              </w:rPr>
            </w:pPr>
            <w:r>
              <w:rPr>
                <w:rFonts w:cs="Times New Roman"/>
                <w:lang w:val="en-GB"/>
              </w:rPr>
              <w:t>2023</w:t>
            </w:r>
          </w:p>
        </w:tc>
        <w:tc>
          <w:tcPr>
            <w:cnfStyle w:val="000000100000"/>
            <w:tcW w:w="1775" w:type="dxa"/>
          </w:tcPr>
          <w:p w14:paraId="00000038">
            <w:pPr>
              <w:jc w:val="center"/>
              <w:rPr>
                <w:rFonts w:cs="Times New Roman"/>
                <w:lang w:val="en-GB"/>
              </w:rPr>
            </w:pPr>
            <w:r>
              <w:rPr>
                <w:rFonts w:cs="Times New Roman"/>
                <w:lang w:val="en-GB"/>
              </w:rPr>
              <w:t>13.04%</w:t>
            </w:r>
          </w:p>
        </w:tc>
      </w:tr>
    </w:tbl>
    <w:p w14:paraId="00000039">
      <w:pPr>
        <w:rPr>
          <w:rFonts w:cs="Times New Roman"/>
          <w:lang w:val="en-GB"/>
        </w:rPr>
      </w:pPr>
    </w:p>
    <w:p w14:paraId="0000003A">
      <w:pPr>
        <w:rPr>
          <w:rFonts w:cs="Times New Roman"/>
          <w:lang w:val="en-GB"/>
        </w:rPr>
      </w:pPr>
      <w:r>
        <w:rPr>
          <w:rFonts w:cs="Times New Roman"/>
          <w:lang w:val="en-GB"/>
        </w:rPr>
        <w:t>The spending trend for Urban Heights Hotel has shown considerable changes. In 2022, expenses increased by 16.89%, most likely due to rising operational costs, inflation, and the introduction of new health and safety regulations after COVID-19. By 2023, the spending increase had reduced to 13.04%, indicating some improvement in cost management, while it remained higher than the base year of 2021. This tendency emphasizes the importance of ongoing monitoring and proactive cost control to improve financial stability and profitability</w:t>
      </w:r>
      <w:r>
        <w:rPr>
          <w:rFonts w:cs="Times New Roman"/>
          <w:lang w:val="en-GB"/>
        </w:rPr>
        <w:t xml:space="preserve"> </w:t>
      </w:r>
      <w:r>
        <w:rPr>
          <w:rFonts w:cs="Times New Roman"/>
          <w:lang w:val="en-GB"/>
        </w:rPr>
        <w:t>(Sheel, 2016)</w:t>
      </w:r>
      <w:r>
        <w:rPr>
          <w:rFonts w:cs="Times New Roman"/>
          <w:lang w:val="en-GB"/>
        </w:rPr>
        <w:t>.</w:t>
      </w:r>
    </w:p>
    <w:p w14:paraId="0000003B">
      <w:pPr>
        <w:rPr>
          <w:rFonts w:cs="Times New Roman"/>
          <w:b/>
          <w:bCs/>
          <w:lang w:val="en-GB"/>
        </w:rPr>
      </w:pPr>
      <w:r>
        <w:rPr>
          <w:rFonts w:cs="Times New Roman"/>
          <w:b/>
          <w:bCs/>
          <w:lang w:val="en-GB"/>
        </w:rPr>
        <w:t xml:space="preserve">Profitability Ratio </w:t>
      </w:r>
    </w:p>
    <w:p w14:paraId="0000003C">
      <w:pPr>
        <w:rPr>
          <w:rFonts w:cs="Times New Roman"/>
          <w:lang w:val="en-GB"/>
        </w:rPr>
      </w:pPr>
      <w:r>
        <w:rPr>
          <w:rFonts w:cs="Times New Roman"/>
          <w:lang w:val="en-GB"/>
        </w:rPr>
        <w:t>Net Profit Margin = (Net Profit / Total Revenue) *100</w:t>
      </w:r>
    </w:p>
    <w:tbl>
      <w:tblPr>
        <w:tblStyle w:val="TableGrid"/>
        <w:tblW w:w="0" w:type="auto"/>
        <w:jc w:val="center"/>
        <w:tblLook w:val="04A0"/>
      </w:tblPr>
      <w:tblGrid>
        <w:gridCol w:w="1413"/>
        <w:gridCol w:w="2101"/>
      </w:tblGrid>
      <w:tr>
        <w:trPr>
          <w:trHeight w:val="331"/>
          <w:jc w:val="center"/>
        </w:trPr>
        <w:tc>
          <w:tcPr>
            <w:cnfStyle w:val="101000000000"/>
            <w:tcW w:w="1413" w:type="dxa"/>
          </w:tcPr>
          <w:p w14:paraId="0000003D">
            <w:pPr>
              <w:jc w:val="center"/>
              <w:rPr>
                <w:rFonts w:cs="Times New Roman"/>
                <w:b/>
                <w:bCs/>
                <w:lang w:val="en-GB"/>
              </w:rPr>
            </w:pPr>
            <w:r>
              <w:rPr>
                <w:rFonts w:cs="Times New Roman"/>
                <w:b/>
                <w:bCs/>
                <w:lang w:val="en-GB"/>
              </w:rPr>
              <w:t>Period</w:t>
            </w:r>
          </w:p>
        </w:tc>
        <w:tc>
          <w:tcPr>
            <w:cnfStyle w:val="100000000000"/>
            <w:tcW w:w="2101" w:type="dxa"/>
          </w:tcPr>
          <w:p w14:paraId="0000003E">
            <w:pPr>
              <w:jc w:val="center"/>
              <w:rPr>
                <w:rFonts w:cs="Times New Roman"/>
                <w:b/>
                <w:bCs/>
                <w:lang w:val="en-GB"/>
              </w:rPr>
            </w:pPr>
            <w:r>
              <w:rPr>
                <w:rFonts w:cs="Times New Roman"/>
                <w:b/>
                <w:bCs/>
                <w:lang w:val="en-GB"/>
              </w:rPr>
              <w:t>Net Profit Margin</w:t>
            </w:r>
          </w:p>
        </w:tc>
      </w:tr>
      <w:tr>
        <w:trPr>
          <w:trHeight w:val="331"/>
          <w:jc w:val="center"/>
        </w:trPr>
        <w:tc>
          <w:tcPr>
            <w:cnfStyle w:val="001000100000"/>
            <w:tcW w:w="1413" w:type="dxa"/>
          </w:tcPr>
          <w:p w14:paraId="0000003F">
            <w:pPr>
              <w:jc w:val="center"/>
              <w:rPr>
                <w:rFonts w:cs="Times New Roman"/>
                <w:lang w:val="en-GB"/>
              </w:rPr>
            </w:pPr>
            <w:r>
              <w:rPr>
                <w:rFonts w:cs="Times New Roman"/>
                <w:lang w:val="en-GB"/>
              </w:rPr>
              <w:t>2021</w:t>
            </w:r>
          </w:p>
        </w:tc>
        <w:tc>
          <w:tcPr>
            <w:cnfStyle w:val="000000100000"/>
            <w:tcW w:w="2101" w:type="dxa"/>
          </w:tcPr>
          <w:p w14:paraId="00000040">
            <w:pPr>
              <w:jc w:val="center"/>
              <w:rPr>
                <w:rFonts w:cs="Times New Roman"/>
                <w:lang w:val="en-GB"/>
              </w:rPr>
            </w:pPr>
            <w:r>
              <w:rPr>
                <w:rFonts w:cs="Times New Roman"/>
                <w:lang w:val="en-GB"/>
              </w:rPr>
              <w:t>28%</w:t>
            </w:r>
          </w:p>
        </w:tc>
      </w:tr>
      <w:tr>
        <w:trPr>
          <w:trHeight w:val="331"/>
          <w:jc w:val="center"/>
        </w:trPr>
        <w:tc>
          <w:tcPr>
            <w:cnfStyle w:val="001000010000"/>
            <w:tcW w:w="1413" w:type="dxa"/>
          </w:tcPr>
          <w:p w14:paraId="00000041">
            <w:pPr>
              <w:jc w:val="center"/>
              <w:rPr>
                <w:rFonts w:cs="Times New Roman"/>
                <w:lang w:val="en-GB"/>
              </w:rPr>
            </w:pPr>
            <w:r>
              <w:rPr>
                <w:rFonts w:cs="Times New Roman"/>
                <w:lang w:val="en-GB"/>
              </w:rPr>
              <w:t>2022</w:t>
            </w:r>
          </w:p>
        </w:tc>
        <w:tc>
          <w:tcPr>
            <w:cnfStyle w:val="000000010000"/>
            <w:tcW w:w="2101" w:type="dxa"/>
          </w:tcPr>
          <w:p w14:paraId="00000042">
            <w:pPr>
              <w:jc w:val="center"/>
              <w:rPr>
                <w:rFonts w:cs="Times New Roman"/>
                <w:lang w:val="en-GB"/>
              </w:rPr>
            </w:pPr>
            <w:r>
              <w:rPr>
                <w:rFonts w:cs="Times New Roman"/>
                <w:lang w:val="en-GB"/>
              </w:rPr>
              <w:t>9.09%</w:t>
            </w:r>
          </w:p>
        </w:tc>
      </w:tr>
      <w:tr>
        <w:trPr>
          <w:trHeight w:val="331"/>
          <w:jc w:val="center"/>
        </w:trPr>
        <w:tc>
          <w:tcPr>
            <w:cnfStyle w:val="001000100000"/>
            <w:tcW w:w="1413" w:type="dxa"/>
          </w:tcPr>
          <w:p w14:paraId="00000043">
            <w:pPr>
              <w:jc w:val="center"/>
              <w:rPr>
                <w:rFonts w:cs="Times New Roman"/>
                <w:lang w:val="en-GB"/>
              </w:rPr>
            </w:pPr>
            <w:r>
              <w:rPr>
                <w:rFonts w:cs="Times New Roman"/>
                <w:lang w:val="en-GB"/>
              </w:rPr>
              <w:t>2023</w:t>
            </w:r>
          </w:p>
        </w:tc>
        <w:tc>
          <w:tcPr>
            <w:cnfStyle w:val="000000100000"/>
            <w:tcW w:w="2101" w:type="dxa"/>
          </w:tcPr>
          <w:p w14:paraId="00000044">
            <w:pPr>
              <w:jc w:val="center"/>
              <w:rPr>
                <w:rFonts w:cs="Times New Roman"/>
                <w:lang w:val="en-GB"/>
              </w:rPr>
            </w:pPr>
            <w:r>
              <w:rPr>
                <w:rFonts w:cs="Times New Roman"/>
                <w:lang w:val="en-GB"/>
              </w:rPr>
              <w:t>-27.79%</w:t>
            </w:r>
          </w:p>
        </w:tc>
      </w:tr>
    </w:tbl>
    <w:p w14:paraId="00000045">
      <w:pPr>
        <w:rPr>
          <w:rFonts w:cs="Times New Roman"/>
          <w:b/>
          <w:bCs/>
          <w:lang w:val="en-GB"/>
        </w:rPr>
      </w:pPr>
    </w:p>
    <w:p w14:paraId="00000046">
      <w:pPr>
        <w:rPr>
          <w:rFonts w:cs="Times New Roman"/>
          <w:lang w:val="en-GB"/>
        </w:rPr>
      </w:pPr>
      <w:r>
        <w:rPr>
          <w:rFonts w:cs="Times New Roman"/>
          <w:lang w:val="en-GB"/>
        </w:rPr>
        <w:t>The net profit margin of Urban Heights Hotel has some alarming figures which show a significant reduction in the level of profitability of the hotel during the past three years. Recent results from 2021 show that the hotel’s net profit Margin was 28%, which is good financial health, and effective operations. However, this margin came down to 9</w:t>
      </w:r>
      <w:r>
        <w:rPr>
          <w:rFonts w:cs="Times New Roman"/>
          <w:lang w:val="en-GB"/>
        </w:rPr>
        <w:t>.09%</w:t>
      </w:r>
      <w:r>
        <w:rPr>
          <w:rFonts w:cs="Times New Roman"/>
          <w:lang w:val="en-GB"/>
        </w:rPr>
        <w:t xml:space="preserve"> by 2022</w:t>
      </w:r>
      <w:r>
        <w:rPr>
          <w:rFonts w:cs="Times New Roman"/>
          <w:lang w:val="en-GB"/>
        </w:rPr>
        <w:t xml:space="preserve"> </w:t>
      </w:r>
      <w:r>
        <w:rPr>
          <w:rFonts w:cs="Times New Roman"/>
          <w:lang w:val="en-GB"/>
        </w:rPr>
        <w:t xml:space="preserve">which signifies a significant cut in profitability and connotes inefficiencies in operations or growing costs. The net profit Margin in 2023 was -27.79% respectively, meaning that these companies had suffered extremely and recorded huge losses. </w:t>
      </w:r>
      <w:r>
        <w:rPr>
          <w:rFonts w:cs="Times New Roman"/>
          <w:lang w:val="en-GB"/>
        </w:rPr>
        <w:t>Therefore,</w:t>
      </w:r>
      <w:r>
        <w:rPr>
          <w:rFonts w:cs="Times New Roman"/>
          <w:lang w:val="en-GB"/>
        </w:rPr>
        <w:t xml:space="preserve"> it can be written that the fiscal position of the hotel is not very strong.</w:t>
      </w:r>
    </w:p>
    <w:p w14:paraId="00000047">
      <w:pPr>
        <w:rPr>
          <w:rFonts w:cs="Times New Roman"/>
          <w:lang w:val="en-GB"/>
        </w:rPr>
      </w:pPr>
    </w:p>
    <w:p w14:paraId="00000048">
      <w:pPr>
        <w:rPr>
          <w:rFonts w:cs="Times New Roman"/>
          <w:b/>
          <w:bCs/>
          <w:lang w:val="en-GB"/>
        </w:rPr>
      </w:pPr>
      <w:r>
        <w:rPr>
          <w:rFonts w:cs="Times New Roman"/>
          <w:b/>
          <w:bCs/>
          <w:lang w:val="en-GB"/>
        </w:rPr>
        <w:t xml:space="preserve">Liquidity Ratio </w:t>
      </w:r>
    </w:p>
    <w:p w14:paraId="00000049">
      <w:pPr>
        <w:rPr>
          <w:rFonts w:cs="Times New Roman"/>
          <w:lang w:val="en-GB"/>
        </w:rPr>
      </w:pPr>
      <w:r>
        <w:rPr>
          <w:rFonts w:cs="Times New Roman"/>
          <w:lang w:val="en-GB"/>
        </w:rPr>
        <w:t>Current Ratio = (Current Assets / Current Liabilities)</w:t>
      </w:r>
    </w:p>
    <w:tbl>
      <w:tblPr>
        <w:tblStyle w:val="TableGrid"/>
        <w:tblW w:w="0" w:type="auto"/>
        <w:jc w:val="center"/>
        <w:tblLook w:val="04A0"/>
      </w:tblPr>
      <w:tblGrid>
        <w:gridCol w:w="1775"/>
        <w:gridCol w:w="1775"/>
      </w:tblGrid>
      <w:tr>
        <w:trPr>
          <w:trHeight w:val="329"/>
          <w:jc w:val="center"/>
        </w:trPr>
        <w:tc>
          <w:tcPr>
            <w:cnfStyle w:val="101000000000"/>
            <w:tcW w:w="1775" w:type="dxa"/>
          </w:tcPr>
          <w:p w14:paraId="0000004A">
            <w:pPr>
              <w:jc w:val="center"/>
              <w:rPr>
                <w:rFonts w:cs="Times New Roman"/>
                <w:b/>
                <w:bCs/>
                <w:lang w:val="en-GB"/>
              </w:rPr>
            </w:pPr>
            <w:r>
              <w:rPr>
                <w:rFonts w:cs="Times New Roman"/>
                <w:b/>
                <w:bCs/>
                <w:lang w:val="en-GB"/>
              </w:rPr>
              <w:t>Period</w:t>
            </w:r>
          </w:p>
        </w:tc>
        <w:tc>
          <w:tcPr>
            <w:cnfStyle w:val="100000000000"/>
            <w:tcW w:w="1775" w:type="dxa"/>
          </w:tcPr>
          <w:p w14:paraId="0000004B">
            <w:pPr>
              <w:jc w:val="center"/>
              <w:rPr>
                <w:rFonts w:cs="Times New Roman"/>
                <w:b/>
                <w:bCs/>
                <w:lang w:val="en-GB"/>
              </w:rPr>
            </w:pPr>
            <w:r>
              <w:rPr>
                <w:rFonts w:cs="Times New Roman"/>
                <w:b/>
                <w:bCs/>
                <w:lang w:val="en-GB"/>
              </w:rPr>
              <w:t>Current Ratio</w:t>
            </w:r>
          </w:p>
        </w:tc>
      </w:tr>
      <w:tr>
        <w:trPr>
          <w:trHeight w:val="329"/>
          <w:jc w:val="center"/>
        </w:trPr>
        <w:tc>
          <w:tcPr>
            <w:cnfStyle w:val="001000100000"/>
            <w:tcW w:w="1775" w:type="dxa"/>
          </w:tcPr>
          <w:p w14:paraId="0000004C">
            <w:pPr>
              <w:jc w:val="center"/>
              <w:rPr>
                <w:rFonts w:cs="Times New Roman"/>
                <w:lang w:val="en-GB"/>
              </w:rPr>
            </w:pPr>
            <w:r>
              <w:rPr>
                <w:rFonts w:cs="Times New Roman"/>
                <w:lang w:val="en-GB"/>
              </w:rPr>
              <w:t>2021</w:t>
            </w:r>
          </w:p>
        </w:tc>
        <w:tc>
          <w:tcPr>
            <w:cnfStyle w:val="000000100000"/>
            <w:tcW w:w="1775" w:type="dxa"/>
          </w:tcPr>
          <w:p w14:paraId="0000004D">
            <w:pPr>
              <w:jc w:val="center"/>
              <w:rPr>
                <w:rFonts w:cs="Times New Roman"/>
                <w:lang w:val="en-GB"/>
              </w:rPr>
            </w:pPr>
            <w:r>
              <w:rPr>
                <w:rFonts w:cs="Times New Roman"/>
                <w:lang w:val="en-GB"/>
              </w:rPr>
              <w:t>1.8</w:t>
            </w:r>
          </w:p>
        </w:tc>
      </w:tr>
      <w:tr>
        <w:trPr>
          <w:trHeight w:val="329"/>
          <w:jc w:val="center"/>
        </w:trPr>
        <w:tc>
          <w:tcPr>
            <w:cnfStyle w:val="001000010000"/>
            <w:tcW w:w="1775" w:type="dxa"/>
          </w:tcPr>
          <w:p w14:paraId="0000004E">
            <w:pPr>
              <w:jc w:val="center"/>
              <w:rPr>
                <w:rFonts w:cs="Times New Roman"/>
                <w:lang w:val="en-GB"/>
              </w:rPr>
            </w:pPr>
            <w:r>
              <w:rPr>
                <w:rFonts w:cs="Times New Roman"/>
                <w:lang w:val="en-GB"/>
              </w:rPr>
              <w:t>2022</w:t>
            </w:r>
          </w:p>
        </w:tc>
        <w:tc>
          <w:tcPr>
            <w:cnfStyle w:val="000000010000"/>
            <w:tcW w:w="1775" w:type="dxa"/>
          </w:tcPr>
          <w:p w14:paraId="0000004F">
            <w:pPr>
              <w:jc w:val="center"/>
              <w:rPr>
                <w:rFonts w:cs="Times New Roman"/>
                <w:lang w:val="en-GB"/>
              </w:rPr>
            </w:pPr>
            <w:r>
              <w:rPr>
                <w:rFonts w:cs="Times New Roman"/>
                <w:lang w:val="en-GB"/>
              </w:rPr>
              <w:t>1.1</w:t>
            </w:r>
          </w:p>
        </w:tc>
      </w:tr>
      <w:tr>
        <w:trPr>
          <w:trHeight w:val="329"/>
          <w:jc w:val="center"/>
        </w:trPr>
        <w:tc>
          <w:tcPr>
            <w:cnfStyle w:val="001000100000"/>
            <w:tcW w:w="1775" w:type="dxa"/>
          </w:tcPr>
          <w:p w14:paraId="00000050">
            <w:pPr>
              <w:jc w:val="center"/>
              <w:rPr>
                <w:rFonts w:cs="Times New Roman"/>
                <w:lang w:val="en-GB"/>
              </w:rPr>
            </w:pPr>
            <w:r>
              <w:rPr>
                <w:rFonts w:cs="Times New Roman"/>
                <w:lang w:val="en-GB"/>
              </w:rPr>
              <w:t>2023</w:t>
            </w:r>
          </w:p>
        </w:tc>
        <w:tc>
          <w:tcPr>
            <w:cnfStyle w:val="000000100000"/>
            <w:tcW w:w="1775" w:type="dxa"/>
          </w:tcPr>
          <w:p w14:paraId="00000051">
            <w:pPr>
              <w:jc w:val="center"/>
              <w:rPr>
                <w:rFonts w:cs="Times New Roman"/>
                <w:lang w:val="en-GB"/>
              </w:rPr>
            </w:pPr>
            <w:r>
              <w:rPr>
                <w:rFonts w:cs="Times New Roman"/>
                <w:lang w:val="en-GB"/>
              </w:rPr>
              <w:t>0.6</w:t>
            </w:r>
          </w:p>
        </w:tc>
      </w:tr>
    </w:tbl>
    <w:p w14:paraId="00000052">
      <w:pPr>
        <w:rPr>
          <w:rFonts w:cs="Times New Roman"/>
          <w:lang w:val="en-GB"/>
        </w:rPr>
      </w:pPr>
    </w:p>
    <w:p w14:paraId="00000053">
      <w:pPr>
        <w:rPr>
          <w:rFonts w:cs="Times New Roman"/>
          <w:lang w:val="en-GB"/>
        </w:rPr>
      </w:pPr>
      <w:r>
        <w:rPr>
          <w:rFonts w:cs="Times New Roman"/>
          <w:lang w:val="en-GB"/>
        </w:rPr>
        <w:t>The liquidity</w:t>
      </w:r>
      <w:r>
        <w:rPr>
          <w:rFonts w:cs="Times New Roman"/>
          <w:lang w:val="en-GB"/>
        </w:rPr>
        <w:t xml:space="preserve"> ratio, as measured by the current ratio, has exhibited a troubling declining trend over the last three years of the hotel. </w:t>
      </w:r>
      <w:r>
        <w:rPr>
          <w:rFonts w:cs="Times New Roman"/>
          <w:lang w:val="en-GB"/>
        </w:rPr>
        <w:t xml:space="preserve">For 2021, the current ratio was 1.8 indicating that the hotel had a healthy liquidity situation which means that the hotel had adequate current assets to cover its short-term obligations. But in 2022, this ratio decreased to 1.1 showing that there was a significant decrease in liquidity. This ratio reduced to 0.6 by 2023 indicating that the company had serious financial problems and could not pay for its immediate obligations. If its current ratio is below 1.0 reveals that the hotel has inadequate liquidity to meet short-term obligations and possesses poor financial health by failing to meet short-term financial debts </w:t>
      </w:r>
      <w:r>
        <w:rPr>
          <w:rFonts w:cs="Times New Roman"/>
          <w:color w:val="000000"/>
          <w:lang w:val="en-GB"/>
        </w:rPr>
        <w:t>(Santoso and Supatmi, 2021)</w:t>
      </w:r>
      <w:r>
        <w:rPr>
          <w:rFonts w:cs="Times New Roman"/>
          <w:lang w:val="en-GB"/>
        </w:rPr>
        <w:t>.</w:t>
      </w:r>
    </w:p>
    <w:p w14:paraId="00000054">
      <w:pPr>
        <w:rPr>
          <w:rFonts w:cs="Times New Roman"/>
          <w:lang w:val="en-GB"/>
        </w:rPr>
      </w:pPr>
    </w:p>
    <w:p w14:paraId="00000055">
      <w:pPr>
        <w:rPr>
          <w:rFonts w:cs="Times New Roman"/>
          <w:b/>
          <w:bCs/>
          <w:lang w:val="en-GB"/>
        </w:rPr>
      </w:pPr>
      <w:r>
        <w:rPr>
          <w:rFonts w:cs="Times New Roman"/>
          <w:b/>
          <w:bCs/>
          <w:lang w:val="en-GB"/>
        </w:rPr>
        <w:t>Solvency Ratio</w:t>
      </w:r>
    </w:p>
    <w:p w14:paraId="00000056">
      <w:pPr>
        <w:rPr>
          <w:rFonts w:cs="Times New Roman"/>
          <w:lang w:val="en-GB"/>
        </w:rPr>
      </w:pPr>
      <w:r>
        <w:rPr>
          <w:rFonts w:cs="Times New Roman"/>
          <w:lang w:val="en-GB"/>
        </w:rPr>
        <w:t>Debt-to-Equity Ratio = (Total debt / Total equity)</w:t>
      </w:r>
    </w:p>
    <w:tbl>
      <w:tblPr>
        <w:tblStyle w:val="TableGrid"/>
        <w:tblW w:w="0" w:type="auto"/>
        <w:jc w:val="center"/>
        <w:tblLook w:val="04A0"/>
      </w:tblPr>
      <w:tblGrid>
        <w:gridCol w:w="1271"/>
        <w:gridCol w:w="2279"/>
      </w:tblGrid>
      <w:tr>
        <w:trPr>
          <w:trHeight w:val="329"/>
          <w:jc w:val="center"/>
        </w:trPr>
        <w:tc>
          <w:tcPr>
            <w:cnfStyle w:val="101000000000"/>
            <w:tcW w:w="1271" w:type="dxa"/>
          </w:tcPr>
          <w:p w14:paraId="00000057">
            <w:pPr>
              <w:jc w:val="center"/>
              <w:rPr>
                <w:rFonts w:cs="Times New Roman"/>
                <w:b/>
                <w:bCs/>
                <w:lang w:val="en-GB"/>
              </w:rPr>
            </w:pPr>
            <w:r>
              <w:rPr>
                <w:rFonts w:cs="Times New Roman"/>
                <w:b/>
                <w:bCs/>
                <w:lang w:val="en-GB"/>
              </w:rPr>
              <w:t>Period</w:t>
            </w:r>
          </w:p>
        </w:tc>
        <w:tc>
          <w:tcPr>
            <w:cnfStyle w:val="100000000000"/>
            <w:tcW w:w="2279" w:type="dxa"/>
          </w:tcPr>
          <w:p w14:paraId="00000058">
            <w:pPr>
              <w:jc w:val="center"/>
              <w:rPr>
                <w:rFonts w:cs="Times New Roman"/>
                <w:b/>
                <w:bCs/>
                <w:lang w:val="en-GB"/>
              </w:rPr>
            </w:pPr>
            <w:r>
              <w:rPr>
                <w:rFonts w:cs="Times New Roman"/>
                <w:b/>
                <w:bCs/>
                <w:lang w:val="en-GB"/>
              </w:rPr>
              <w:t>D/E Ratio</w:t>
            </w:r>
          </w:p>
        </w:tc>
      </w:tr>
      <w:tr>
        <w:trPr>
          <w:trHeight w:val="329"/>
          <w:jc w:val="center"/>
        </w:trPr>
        <w:tc>
          <w:tcPr>
            <w:cnfStyle w:val="001000100000"/>
            <w:tcW w:w="1271" w:type="dxa"/>
          </w:tcPr>
          <w:p w14:paraId="00000059">
            <w:pPr>
              <w:jc w:val="center"/>
              <w:rPr>
                <w:rFonts w:cs="Times New Roman"/>
                <w:lang w:val="en-GB"/>
              </w:rPr>
            </w:pPr>
            <w:r>
              <w:rPr>
                <w:rFonts w:cs="Times New Roman"/>
                <w:lang w:val="en-GB"/>
              </w:rPr>
              <w:t>2021</w:t>
            </w:r>
          </w:p>
        </w:tc>
        <w:tc>
          <w:tcPr>
            <w:cnfStyle w:val="000000100000"/>
            <w:tcW w:w="2279" w:type="dxa"/>
          </w:tcPr>
          <w:p w14:paraId="0000005A">
            <w:pPr>
              <w:jc w:val="center"/>
              <w:rPr>
                <w:rFonts w:cs="Times New Roman"/>
                <w:lang w:val="en-GB"/>
              </w:rPr>
            </w:pPr>
            <w:r>
              <w:rPr>
                <w:rFonts w:cs="Times New Roman"/>
                <w:lang w:val="en-GB"/>
              </w:rPr>
              <w:t>1.48</w:t>
            </w:r>
          </w:p>
        </w:tc>
      </w:tr>
      <w:tr>
        <w:trPr>
          <w:trHeight w:val="329"/>
          <w:jc w:val="center"/>
        </w:trPr>
        <w:tc>
          <w:tcPr>
            <w:cnfStyle w:val="001000010000"/>
            <w:tcW w:w="1271" w:type="dxa"/>
          </w:tcPr>
          <w:p w14:paraId="0000005B">
            <w:pPr>
              <w:jc w:val="center"/>
              <w:rPr>
                <w:rFonts w:cs="Times New Roman"/>
                <w:lang w:val="en-GB"/>
              </w:rPr>
            </w:pPr>
            <w:r>
              <w:rPr>
                <w:rFonts w:cs="Times New Roman"/>
                <w:lang w:val="en-GB"/>
              </w:rPr>
              <w:t>2022</w:t>
            </w:r>
          </w:p>
        </w:tc>
        <w:tc>
          <w:tcPr>
            <w:cnfStyle w:val="000000010000"/>
            <w:tcW w:w="2279" w:type="dxa"/>
          </w:tcPr>
          <w:p w14:paraId="0000005C">
            <w:pPr>
              <w:jc w:val="center"/>
              <w:rPr>
                <w:rFonts w:cs="Times New Roman"/>
                <w:lang w:val="en-GB"/>
              </w:rPr>
            </w:pPr>
            <w:r>
              <w:rPr>
                <w:rFonts w:cs="Times New Roman"/>
                <w:lang w:val="en-GB"/>
              </w:rPr>
              <w:t>1.79</w:t>
            </w:r>
          </w:p>
        </w:tc>
      </w:tr>
      <w:tr>
        <w:trPr>
          <w:trHeight w:val="329"/>
          <w:jc w:val="center"/>
        </w:trPr>
        <w:tc>
          <w:tcPr>
            <w:cnfStyle w:val="001000100000"/>
            <w:tcW w:w="1271" w:type="dxa"/>
          </w:tcPr>
          <w:p w14:paraId="0000005D">
            <w:pPr>
              <w:jc w:val="center"/>
              <w:rPr>
                <w:rFonts w:cs="Times New Roman"/>
                <w:lang w:val="en-GB"/>
              </w:rPr>
            </w:pPr>
            <w:r>
              <w:rPr>
                <w:rFonts w:cs="Times New Roman"/>
                <w:lang w:val="en-GB"/>
              </w:rPr>
              <w:t>2023</w:t>
            </w:r>
          </w:p>
        </w:tc>
        <w:tc>
          <w:tcPr>
            <w:cnfStyle w:val="000000100000"/>
            <w:tcW w:w="2279" w:type="dxa"/>
          </w:tcPr>
          <w:p w14:paraId="0000005E">
            <w:pPr>
              <w:jc w:val="center"/>
              <w:rPr>
                <w:rFonts w:cs="Times New Roman"/>
                <w:lang w:val="en-GB"/>
              </w:rPr>
            </w:pPr>
            <w:r>
              <w:rPr>
                <w:rFonts w:cs="Times New Roman"/>
                <w:lang w:val="en-GB"/>
              </w:rPr>
              <w:t>2.39</w:t>
            </w:r>
          </w:p>
        </w:tc>
      </w:tr>
    </w:tbl>
    <w:p w14:paraId="0000005F">
      <w:pPr>
        <w:rPr>
          <w:rFonts w:cs="Times New Roman"/>
          <w:lang w:val="en-GB"/>
        </w:rPr>
      </w:pPr>
    </w:p>
    <w:p w14:paraId="00000060">
      <w:pPr>
        <w:rPr>
          <w:rFonts w:cs="Times New Roman"/>
          <w:lang w:val="en-GB"/>
        </w:rPr>
      </w:pPr>
      <w:r>
        <w:rPr>
          <w:rFonts w:cs="Times New Roman"/>
          <w:lang w:val="en-GB"/>
        </w:rPr>
        <w:t>The hotel has increased its debt-to-equity ratio from 1.48% in 2021 to 1.79% in 2022 and a rise in debt-to-equity ratio to 2.39% in 2023 which explains the higher dependence on debt financing. This pattern is indicative of declining financial fitness since higher ratios denote a higher degree of risk and the likelihood of having problems in meeting payment commitments (</w:t>
      </w:r>
      <w:r>
        <w:rPr>
          <w:rFonts w:cs="Times New Roman"/>
          <w:lang w:val="en-GB"/>
        </w:rPr>
        <w:t>Suranta</w:t>
      </w:r>
      <w:r>
        <w:rPr>
          <w:rFonts w:cs="Times New Roman"/>
          <w:lang w:val="en-GB"/>
        </w:rPr>
        <w:t xml:space="preserve"> </w:t>
      </w:r>
      <w:r>
        <w:rPr>
          <w:rFonts w:cs="Times New Roman"/>
          <w:lang w:val="en-GB"/>
        </w:rPr>
        <w:t xml:space="preserve">et al., </w:t>
      </w:r>
      <w:r>
        <w:rPr>
          <w:rFonts w:cs="Times New Roman"/>
          <w:lang w:val="en-GB"/>
        </w:rPr>
        <w:t>2023</w:t>
      </w:r>
      <w:r>
        <w:rPr>
          <w:rFonts w:cs="Times New Roman"/>
          <w:lang w:val="en-GB"/>
        </w:rPr>
        <w:t>). However, long-term debt exposes Urban Heights Hotel to an uncomfortable level of fund cost.</w:t>
      </w:r>
    </w:p>
    <w:p w14:paraId="00000061">
      <w:pPr>
        <w:rPr>
          <w:rFonts w:cs="Times New Roman"/>
          <w:lang w:val="en-GB"/>
        </w:rPr>
      </w:pPr>
    </w:p>
    <w:p w14:paraId="00000062">
      <w:pPr>
        <w:pStyle w:val="Heading1"/>
        <w:rPr>
          <w:rFonts w:cs="Times New Roman"/>
          <w:lang w:val="en-GB"/>
        </w:rPr>
      </w:pPr>
      <w:bookmarkStart w:id="3" w:name="_Toc167128465"/>
      <w:r>
        <w:rPr>
          <w:rFonts w:cs="Times New Roman"/>
          <w:lang w:val="en-GB"/>
        </w:rPr>
        <w:t>Factors Influencing Profitability</w:t>
      </w:r>
      <w:bookmarkEnd w:id="3"/>
    </w:p>
    <w:p w14:paraId="00000063">
      <w:pPr>
        <w:rPr>
          <w:rFonts w:cs="Times New Roman"/>
          <w:lang w:val="en-GB"/>
        </w:rPr>
      </w:pPr>
    </w:p>
    <w:p w14:paraId="00000064">
      <w:pPr>
        <w:rPr>
          <w:rFonts w:cs="Times New Roman"/>
          <w:lang w:val="en-GB"/>
        </w:rPr>
      </w:pPr>
      <w:r>
        <w:rPr>
          <w:rFonts w:cs="Times New Roman"/>
          <w:b/>
          <w:bCs/>
          <w:lang w:val="en-GB"/>
        </w:rPr>
        <w:t>COVID-19 Pandemic:</w:t>
      </w:r>
      <w:r>
        <w:rPr>
          <w:rFonts w:cs="Times New Roman"/>
          <w:lang w:val="en-GB"/>
        </w:rPr>
        <w:t xml:space="preserve"> </w:t>
      </w:r>
      <w:r>
        <w:rPr>
          <w:rFonts w:cs="Times New Roman"/>
          <w:lang w:val="en-GB"/>
        </w:rPr>
        <w:t>The continued spread of the pandemic significantly reduced travel demands and contributed to the drop in occupancy rates and revenue of the Urban Heights Hotel. The heightened financial struggles at the hotel were also contributed by the negative impacts of travel restrictions, lockdowns, and health concerns on both leisure and business travellers</w:t>
      </w:r>
      <w:r>
        <w:rPr>
          <w:rFonts w:cs="Times New Roman"/>
          <w:lang w:val="en-GB"/>
        </w:rPr>
        <w:t xml:space="preserve"> </w:t>
      </w:r>
      <w:r>
        <w:rPr>
          <w:rFonts w:cs="Times New Roman"/>
          <w:lang w:val="en-GB"/>
        </w:rPr>
        <w:t xml:space="preserve"> </w:t>
      </w:r>
      <w:r>
        <w:rPr>
          <w:rFonts w:cs="Times New Roman"/>
          <w:color w:val="000000"/>
          <w:lang w:val="en-GB"/>
        </w:rPr>
        <w:t>(</w:t>
      </w:r>
      <w:r>
        <w:rPr>
          <w:rFonts w:cs="Times New Roman"/>
          <w:lang w:val="en-GB"/>
        </w:rPr>
        <w:t xml:space="preserve">Sharma </w:t>
      </w:r>
      <w:r>
        <w:rPr>
          <w:rFonts w:cs="Times New Roman"/>
          <w:color w:val="000000"/>
          <w:lang w:val="en-GB"/>
        </w:rPr>
        <w:t>et al., 2021)</w:t>
      </w:r>
      <w:r>
        <w:rPr>
          <w:rFonts w:cs="Times New Roman"/>
          <w:lang w:val="en-GB"/>
        </w:rPr>
        <w:t>.</w:t>
      </w:r>
    </w:p>
    <w:p w14:paraId="00000065">
      <w:pPr>
        <w:rPr>
          <w:rFonts w:cs="Times New Roman"/>
          <w:lang w:val="en-GB"/>
        </w:rPr>
      </w:pPr>
      <w:r>
        <w:rPr>
          <w:rFonts w:cs="Times New Roman"/>
          <w:b/>
          <w:bCs/>
          <w:lang w:val="en-GB"/>
        </w:rPr>
        <w:t>Declining Demand</w:t>
      </w:r>
      <w:r>
        <w:rPr>
          <w:rFonts w:cs="Times New Roman"/>
          <w:lang w:val="en-GB"/>
        </w:rPr>
        <w:t xml:space="preserve">: </w:t>
      </w:r>
      <w:r>
        <w:rPr>
          <w:rFonts w:cs="Times New Roman"/>
          <w:lang w:val="en-GB"/>
        </w:rPr>
        <w:t xml:space="preserve">The decline in demand for conventional hotel rooms was also due to changing customer preferences occasioned by among other factors the Covid-19 pandemic. In </w:t>
      </w:r>
      <w:r>
        <w:rPr>
          <w:rFonts w:cs="Times New Roman"/>
          <w:lang w:val="en-GB"/>
        </w:rPr>
        <w:t>response to this, customers shifted their interests to bigger and more private residential accommodations, creating a demand for alternative accommodations such as rental rooms and home exchange platforms</w:t>
      </w:r>
      <w:r>
        <w:rPr>
          <w:rFonts w:cs="Times New Roman"/>
          <w:lang w:val="en-GB"/>
        </w:rPr>
        <w:t xml:space="preserve"> </w:t>
      </w:r>
      <w:r>
        <w:rPr>
          <w:rFonts w:cs="Times New Roman"/>
          <w:lang w:val="en-GB"/>
        </w:rPr>
        <w:t>(</w:t>
      </w:r>
      <w:r>
        <w:rPr>
          <w:rFonts w:cs="Times New Roman" w:eastAsia="Times New Roman"/>
          <w:color w:val="000000"/>
          <w:szCs w:val="24"/>
          <w:lang w:val="en-GB" w:eastAsia="en-GB"/>
        </w:rPr>
        <w:t>Demir</w:t>
      </w:r>
      <w:r>
        <w:rPr>
          <w:rFonts w:cs="Times New Roman" w:eastAsia="Times New Roman"/>
          <w:color w:val="000000"/>
          <w:szCs w:val="24"/>
          <w:lang w:val="en-GB" w:eastAsia="en-GB"/>
        </w:rPr>
        <w:t xml:space="preserve"> et al., 2021)</w:t>
      </w:r>
      <w:r>
        <w:rPr>
          <w:rFonts w:cs="Times New Roman"/>
          <w:lang w:val="en-GB"/>
        </w:rPr>
        <w:t>.</w:t>
      </w:r>
    </w:p>
    <w:p w14:paraId="00000066">
      <w:pPr>
        <w:rPr>
          <w:rFonts w:cs="Times New Roman"/>
          <w:lang w:val="en-GB"/>
        </w:rPr>
      </w:pPr>
      <w:r>
        <w:rPr>
          <w:rFonts w:cs="Times New Roman"/>
          <w:b/>
          <w:bCs/>
          <w:lang w:val="en-GB"/>
        </w:rPr>
        <w:t>Increasing Operational Costs</w:t>
      </w:r>
      <w:r>
        <w:rPr>
          <w:rFonts w:cs="Times New Roman"/>
          <w:lang w:val="en-GB"/>
        </w:rPr>
        <w:t xml:space="preserve">: </w:t>
      </w:r>
      <w:r>
        <w:rPr>
          <w:rFonts w:cs="Times New Roman"/>
          <w:lang w:val="en-GB"/>
        </w:rPr>
        <w:t>The Urban Heights Hotel had to face the increase in expenditure of implementing strict health and safety measures that were stipulated by law. Costs of operations were higher as there was investment in PPE, regular sanitization methods, and staff hygiene awareness data due to the pandemic situation.</w:t>
      </w:r>
    </w:p>
    <w:p w14:paraId="00000067">
      <w:pPr>
        <w:rPr>
          <w:rFonts w:cs="Times New Roman"/>
          <w:lang w:val="en-GB"/>
        </w:rPr>
      </w:pPr>
      <w:r>
        <w:rPr>
          <w:rFonts w:cs="Times New Roman"/>
          <w:lang w:val="en-GB"/>
        </w:rPr>
        <w:t xml:space="preserve"> </w:t>
      </w:r>
      <w:r>
        <w:rPr>
          <w:rFonts w:cs="Times New Roman"/>
          <w:color w:val="000000"/>
          <w:lang w:val="en-GB"/>
        </w:rPr>
        <w:t>(</w:t>
      </w:r>
      <w:r>
        <w:rPr>
          <w:rFonts w:cs="Times New Roman"/>
          <w:lang w:val="en-GB"/>
        </w:rPr>
        <w:t>Sharma</w:t>
      </w:r>
      <w:r>
        <w:rPr>
          <w:rFonts w:cs="Times New Roman"/>
          <w:lang w:val="en-GB"/>
        </w:rPr>
        <w:t xml:space="preserve"> </w:t>
      </w:r>
      <w:r>
        <w:rPr>
          <w:rFonts w:cs="Times New Roman"/>
          <w:color w:val="000000"/>
          <w:lang w:val="en-GB"/>
        </w:rPr>
        <w:t>et al., 2021)</w:t>
      </w:r>
      <w:r>
        <w:rPr>
          <w:rFonts w:cs="Times New Roman"/>
          <w:lang w:val="en-GB"/>
        </w:rPr>
        <w:t>.</w:t>
      </w:r>
    </w:p>
    <w:p w14:paraId="00000068">
      <w:pPr>
        <w:rPr>
          <w:rFonts w:cs="Times New Roman"/>
          <w:lang w:val="en-GB"/>
        </w:rPr>
      </w:pPr>
      <w:r>
        <w:rPr>
          <w:rFonts w:cs="Times New Roman"/>
          <w:b/>
          <w:bCs/>
          <w:lang w:val="en-GB"/>
        </w:rPr>
        <w:t>Labour Shortages</w:t>
      </w:r>
      <w:r>
        <w:rPr>
          <w:rFonts w:cs="Times New Roman"/>
          <w:lang w:val="en-GB"/>
        </w:rPr>
        <w:t xml:space="preserve">: </w:t>
      </w:r>
      <w:r>
        <w:rPr>
          <w:rFonts w:cs="Times New Roman"/>
          <w:lang w:val="en-GB"/>
        </w:rPr>
        <w:t>Shortage of manpower was also a challenge to Urban Heights Hotel since qualified staff were not readily available or retained. Short of staff impaired service and forced the restaurant to pay higher wages to staff which might impose a negative impact on customers’ satisfaction</w:t>
      </w:r>
      <w:r>
        <w:rPr>
          <w:rFonts w:cs="Times New Roman"/>
          <w:lang w:val="en-GB"/>
        </w:rPr>
        <w:t xml:space="preserve"> (</w:t>
      </w:r>
      <w:r>
        <w:rPr>
          <w:rFonts w:cs="Times New Roman" w:eastAsia="Times New Roman"/>
          <w:color w:val="000000"/>
          <w:szCs w:val="24"/>
          <w:lang w:val="en-GB" w:eastAsia="en-GB"/>
        </w:rPr>
        <w:t>Das</w:t>
      </w:r>
      <w:r>
        <w:rPr>
          <w:rFonts w:cs="Times New Roman" w:eastAsia="Times New Roman"/>
          <w:color w:val="000000"/>
          <w:szCs w:val="24"/>
          <w:lang w:val="en-GB" w:eastAsia="en-GB"/>
        </w:rPr>
        <w:t>, 2023).</w:t>
      </w:r>
    </w:p>
    <w:p w14:paraId="00000069">
      <w:pPr>
        <w:rPr>
          <w:rFonts w:cs="Times New Roman"/>
          <w:lang w:val="en-GB"/>
        </w:rPr>
      </w:pPr>
      <w:r>
        <w:rPr>
          <w:rFonts w:cs="Times New Roman"/>
          <w:b/>
          <w:bCs/>
          <w:lang w:val="en-GB"/>
        </w:rPr>
        <w:t>Market Saturation</w:t>
      </w:r>
      <w:r>
        <w:rPr>
          <w:rFonts w:cs="Times New Roman"/>
          <w:lang w:val="en-GB"/>
        </w:rPr>
        <w:t xml:space="preserve">: </w:t>
      </w:r>
      <w:r>
        <w:rPr>
          <w:rFonts w:cs="Times New Roman"/>
          <w:lang w:val="en-GB"/>
        </w:rPr>
        <w:t xml:space="preserve">Average room rates and occupancy levels at the Urban Heights Hotel were under pressure to reduce because of growing competition in the urban hospitality industry. It was reported that competition from new boutique hotels existing boutique hotels and other major hotel chains significantly reduced operating margins </w:t>
      </w:r>
      <w:r>
        <w:rPr>
          <w:rFonts w:cs="Times New Roman"/>
          <w:color w:val="000000"/>
          <w:lang w:val="en-GB"/>
        </w:rPr>
        <w:t>(</w:t>
      </w:r>
      <w:r>
        <w:rPr>
          <w:rFonts w:cs="Times New Roman" w:eastAsia="Times New Roman"/>
          <w:color w:val="000000"/>
          <w:szCs w:val="24"/>
          <w:lang w:val="en-GB" w:eastAsia="en-GB"/>
        </w:rPr>
        <w:t>Hayes</w:t>
      </w:r>
      <w:r>
        <w:rPr>
          <w:rFonts w:cs="Times New Roman" w:eastAsia="Times New Roman"/>
          <w:color w:val="000000"/>
          <w:szCs w:val="24"/>
          <w:lang w:val="en-GB" w:eastAsia="en-GB"/>
        </w:rPr>
        <w:t xml:space="preserve"> et al.</w:t>
      </w:r>
      <w:r>
        <w:rPr>
          <w:rFonts w:cs="Times New Roman"/>
          <w:color w:val="000000"/>
          <w:lang w:val="en-GB"/>
        </w:rPr>
        <w:t xml:space="preserve">, </w:t>
      </w:r>
      <w:r>
        <w:rPr>
          <w:rFonts w:cs="Times New Roman"/>
          <w:color w:val="000000"/>
          <w:lang w:val="en-GB"/>
        </w:rPr>
        <w:t>2021</w:t>
      </w:r>
      <w:r>
        <w:rPr>
          <w:rFonts w:cs="Times New Roman"/>
          <w:color w:val="000000"/>
          <w:lang w:val="en-GB"/>
        </w:rPr>
        <w:t>)</w:t>
      </w:r>
      <w:r>
        <w:rPr>
          <w:rFonts w:cs="Times New Roman"/>
          <w:lang w:val="en-GB"/>
        </w:rPr>
        <w:t>.</w:t>
      </w:r>
    </w:p>
    <w:p w14:paraId="0000006A">
      <w:pPr>
        <w:rPr>
          <w:rFonts w:cs="Times New Roman"/>
          <w:lang w:val="en-GB"/>
        </w:rPr>
      </w:pPr>
      <w:r>
        <w:rPr>
          <w:rFonts w:cs="Times New Roman"/>
          <w:b/>
          <w:bCs/>
          <w:lang w:val="en-GB"/>
        </w:rPr>
        <w:t>Shifts in Consumer Behaviour</w:t>
      </w:r>
      <w:r>
        <w:rPr>
          <w:rFonts w:cs="Times New Roman"/>
          <w:lang w:val="en-GB"/>
        </w:rPr>
        <w:t xml:space="preserve">: </w:t>
      </w:r>
      <w:r>
        <w:rPr>
          <w:rFonts w:cs="Times New Roman"/>
          <w:lang w:val="en-GB"/>
        </w:rPr>
        <w:t xml:space="preserve">Some changes, such as the advent of contactless services and digital experiences </w:t>
      </w:r>
      <w:r>
        <w:rPr>
          <w:rFonts w:cs="Times New Roman"/>
          <w:lang w:val="en-GB"/>
        </w:rPr>
        <w:t>instead of</w:t>
      </w:r>
      <w:r>
        <w:rPr>
          <w:rFonts w:cs="Times New Roman"/>
          <w:lang w:val="en-GB"/>
        </w:rPr>
        <w:t xml:space="preserve"> traditional hospitality services that the guests preferred, demanded alterations in the operations and investments into the technology for the hotel (</w:t>
      </w:r>
      <w:r>
        <w:rPr>
          <w:rFonts w:cs="Times New Roman"/>
          <w:lang w:val="en-GB"/>
        </w:rPr>
        <w:t>Das,</w:t>
      </w:r>
      <w:r>
        <w:rPr>
          <w:rFonts w:cs="Times New Roman"/>
          <w:lang w:val="en-GB"/>
        </w:rPr>
        <w:t xml:space="preserve"> </w:t>
      </w:r>
      <w:r>
        <w:rPr>
          <w:rFonts w:cs="Times New Roman"/>
          <w:lang w:val="en-GB"/>
        </w:rPr>
        <w:t>2023</w:t>
      </w:r>
      <w:r>
        <w:rPr>
          <w:rFonts w:cs="Times New Roman"/>
          <w:lang w:val="en-GB"/>
        </w:rPr>
        <w:t>). Thus, the offers of the Urban Heights Hotel had to be adapted accordingly as far as the sphere of customers’ security and convenience guarantees was concerned.</w:t>
      </w:r>
    </w:p>
    <w:p w14:paraId="0000006B">
      <w:pPr>
        <w:rPr>
          <w:rFonts w:cs="Times New Roman"/>
          <w:lang w:val="en-GB"/>
        </w:rPr>
      </w:pPr>
      <w:r>
        <w:rPr>
          <w:rFonts w:cs="Times New Roman"/>
          <w:b/>
          <w:bCs/>
          <w:lang w:val="en-GB"/>
        </w:rPr>
        <w:t>Economic Recession</w:t>
      </w:r>
      <w:r>
        <w:rPr>
          <w:rFonts w:cs="Times New Roman"/>
          <w:lang w:val="en-GB"/>
        </w:rPr>
        <w:t xml:space="preserve">: </w:t>
      </w:r>
      <w:r>
        <w:rPr>
          <w:rFonts w:cs="Times New Roman"/>
          <w:lang w:val="en-GB"/>
        </w:rPr>
        <w:t>The larger economic slowdown due to the epidemic led to lower consumer spending and company travel budgets</w:t>
      </w:r>
      <w:r>
        <w:rPr>
          <w:rFonts w:cs="Times New Roman"/>
          <w:lang w:val="en-GB"/>
        </w:rPr>
        <w:t xml:space="preserve"> </w:t>
      </w:r>
      <w:r>
        <w:rPr>
          <w:rFonts w:cs="Times New Roman"/>
          <w:color w:val="000000"/>
          <w:lang w:val="en-GB"/>
        </w:rPr>
        <w:t>(Walker, 2021)</w:t>
      </w:r>
      <w:r>
        <w:rPr>
          <w:rFonts w:cs="Times New Roman"/>
          <w:lang w:val="en-GB"/>
        </w:rPr>
        <w:t>. Consequently, the Urban Heights Hotel faced a decline in the number of bookings for both corporate and tourism events.</w:t>
      </w:r>
    </w:p>
    <w:p w14:paraId="0000006C">
      <w:pPr>
        <w:rPr>
          <w:rFonts w:cs="Times New Roman"/>
          <w:lang w:val="en-GB"/>
        </w:rPr>
      </w:pPr>
      <w:r>
        <w:rPr>
          <w:rFonts w:cs="Times New Roman"/>
          <w:b/>
          <w:bCs/>
          <w:lang w:val="en-GB"/>
        </w:rPr>
        <w:t>Disruptions to the Global Supply Chain</w:t>
      </w:r>
      <w:r>
        <w:rPr>
          <w:rFonts w:cs="Times New Roman"/>
          <w:lang w:val="en-GB"/>
        </w:rPr>
        <w:t xml:space="preserve">: </w:t>
      </w:r>
      <w:r>
        <w:rPr>
          <w:rFonts w:cs="Times New Roman"/>
          <w:lang w:val="en-GB"/>
        </w:rPr>
        <w:t>These events led to delays in procuring commodities and materials that hospitality organizations use. The absence of high-quality linens and amenities and, at the same time, cleaning supplies further impeded service provision and intensified operating inefficiencies</w:t>
      </w:r>
      <w:r>
        <w:rPr>
          <w:rFonts w:cs="Times New Roman"/>
          <w:lang w:val="en-GB"/>
        </w:rPr>
        <w:t xml:space="preserve"> (</w:t>
      </w:r>
      <w:r>
        <w:rPr>
          <w:rFonts w:cs="Times New Roman" w:eastAsia="Times New Roman"/>
          <w:color w:val="000000"/>
          <w:szCs w:val="24"/>
          <w:lang w:val="en-GB" w:eastAsia="en-GB"/>
        </w:rPr>
        <w:t>Aydogan</w:t>
      </w:r>
      <w:r>
        <w:rPr>
          <w:rFonts w:cs="Times New Roman" w:eastAsia="Times New Roman"/>
          <w:color w:val="000000"/>
          <w:szCs w:val="24"/>
          <w:lang w:val="en-GB" w:eastAsia="en-GB"/>
        </w:rPr>
        <w:t xml:space="preserve"> et al., 2024)</w:t>
      </w:r>
      <w:r>
        <w:rPr>
          <w:rFonts w:cs="Times New Roman"/>
          <w:lang w:val="en-GB"/>
        </w:rPr>
        <w:t>.</w:t>
      </w:r>
    </w:p>
    <w:p w14:paraId="0000006D">
      <w:pPr>
        <w:rPr>
          <w:rFonts w:cs="Times New Roman"/>
          <w:lang w:val="en-GB"/>
        </w:rPr>
      </w:pPr>
      <w:r>
        <w:rPr>
          <w:rFonts w:cs="Times New Roman"/>
          <w:b/>
          <w:bCs/>
          <w:lang w:val="en-GB"/>
        </w:rPr>
        <w:t>Regulatory Challenges</w:t>
      </w:r>
      <w:r>
        <w:rPr>
          <w:rFonts w:cs="Times New Roman"/>
          <w:lang w:val="en-GB"/>
        </w:rPr>
        <w:t xml:space="preserve">: </w:t>
      </w:r>
      <w:r>
        <w:rPr>
          <w:rFonts w:cs="Times New Roman"/>
          <w:lang w:val="en-GB"/>
        </w:rPr>
        <w:t xml:space="preserve">The Urban Heights Hotel must bear additional costs of bureaucracy and administrative requirements in adjusting to the new health and safety standards. This required a high level of planning and allocation of resources to guarantee that guidelines on a maximum number of occupants and social distancing and cleaning due to the recent pandemic situation were adhered to </w:t>
      </w:r>
      <w:r>
        <w:rPr>
          <w:rFonts w:cs="Times New Roman"/>
          <w:color w:val="000000"/>
          <w:lang w:val="en-GB"/>
        </w:rPr>
        <w:t>(</w:t>
      </w:r>
      <w:r>
        <w:rPr>
          <w:rFonts w:cs="Times New Roman"/>
          <w:color w:val="000000"/>
          <w:lang w:val="en-GB"/>
        </w:rPr>
        <w:t>Walker</w:t>
      </w:r>
      <w:r>
        <w:rPr>
          <w:rFonts w:cs="Times New Roman"/>
          <w:color w:val="000000"/>
          <w:lang w:val="en-GB"/>
        </w:rPr>
        <w:t>, 202</w:t>
      </w:r>
      <w:r>
        <w:rPr>
          <w:rFonts w:cs="Times New Roman"/>
          <w:color w:val="000000"/>
          <w:lang w:val="en-GB"/>
        </w:rPr>
        <w:t>1</w:t>
      </w:r>
      <w:r>
        <w:rPr>
          <w:rFonts w:cs="Times New Roman"/>
          <w:color w:val="000000"/>
          <w:lang w:val="en-GB"/>
        </w:rPr>
        <w:t>)</w:t>
      </w:r>
      <w:r>
        <w:rPr>
          <w:rFonts w:cs="Times New Roman"/>
          <w:lang w:val="en-GB"/>
        </w:rPr>
        <w:t>.</w:t>
      </w:r>
    </w:p>
    <w:p w14:paraId="0000006E">
      <w:pPr>
        <w:rPr>
          <w:rFonts w:cs="Times New Roman"/>
          <w:lang w:val="en-GB"/>
        </w:rPr>
      </w:pPr>
      <w:r>
        <w:rPr>
          <w:rFonts w:cs="Times New Roman"/>
          <w:b/>
          <w:bCs/>
          <w:lang w:val="en-GB"/>
        </w:rPr>
        <w:t>Increase in Interest Rates</w:t>
      </w:r>
      <w:r>
        <w:rPr>
          <w:rFonts w:cs="Times New Roman"/>
          <w:lang w:val="en-GB"/>
        </w:rPr>
        <w:t xml:space="preserve">: </w:t>
      </w:r>
      <w:r>
        <w:rPr>
          <w:rFonts w:cs="Times New Roman"/>
          <w:lang w:val="en-GB"/>
        </w:rPr>
        <w:t>Rising interest rates also affected the Urban Heights Hotel’s borrowing expenses because they influence the debt payment obligations and the financial standing of the business. Decreasing revenues and increased costs of financing further pressure the profit margin</w:t>
      </w:r>
      <w:r>
        <w:rPr>
          <w:rFonts w:cs="Times New Roman"/>
          <w:lang w:val="en-GB"/>
        </w:rPr>
        <w:t xml:space="preserve"> (</w:t>
      </w:r>
      <w:r>
        <w:rPr>
          <w:rFonts w:cs="Times New Roman" w:eastAsia="Times New Roman"/>
          <w:color w:val="000000"/>
          <w:szCs w:val="24"/>
          <w:lang w:val="en-GB" w:eastAsia="en-GB"/>
        </w:rPr>
        <w:t>Suranta</w:t>
      </w:r>
      <w:r>
        <w:rPr>
          <w:rFonts w:cs="Times New Roman" w:eastAsia="Times New Roman"/>
          <w:color w:val="000000"/>
          <w:szCs w:val="24"/>
          <w:lang w:val="en-GB" w:eastAsia="en-GB"/>
        </w:rPr>
        <w:t xml:space="preserve"> et al., 2023).</w:t>
      </w:r>
    </w:p>
    <w:p w14:paraId="0000006F">
      <w:pPr>
        <w:rPr>
          <w:rFonts w:cs="Times New Roman"/>
          <w:lang w:val="en-GB"/>
        </w:rPr>
      </w:pPr>
      <w:r>
        <w:rPr>
          <w:rFonts w:cs="Times New Roman"/>
          <w:b/>
          <w:bCs/>
          <w:lang w:val="en-GB"/>
        </w:rPr>
        <w:t>Inflation</w:t>
      </w:r>
      <w:r>
        <w:rPr>
          <w:rFonts w:cs="Times New Roman"/>
          <w:lang w:val="en-GB"/>
        </w:rPr>
        <w:t xml:space="preserve">: </w:t>
      </w:r>
      <w:r>
        <w:rPr>
          <w:rFonts w:cs="Times New Roman"/>
          <w:lang w:val="en-GB"/>
        </w:rPr>
        <w:t>The Urban Heights Hotel was also affected by inflation because it had an effect on the operating costs especially when acquiring products and services. Higher food and energy prices and rising prices for maintenance supplies squeezed profit and constrained important investments</w:t>
      </w:r>
      <w:r>
        <w:rPr>
          <w:rFonts w:cs="Times New Roman"/>
          <w:lang w:val="en-GB"/>
        </w:rPr>
        <w:t xml:space="preserve"> </w:t>
      </w:r>
      <w:r>
        <w:rPr>
          <w:rFonts w:cs="Times New Roman"/>
          <w:lang w:val="en-GB"/>
        </w:rPr>
        <w:t>(</w:t>
      </w:r>
      <w:r>
        <w:rPr>
          <w:rFonts w:cs="Times New Roman"/>
          <w:color w:val="000000"/>
          <w:lang w:val="en-GB"/>
        </w:rPr>
        <w:t>Santoso</w:t>
      </w:r>
      <w:r>
        <w:rPr>
          <w:rFonts w:cs="Times New Roman"/>
          <w:color w:val="000000"/>
          <w:lang w:val="en-GB"/>
        </w:rPr>
        <w:t xml:space="preserve"> </w:t>
      </w:r>
      <w:r>
        <w:rPr>
          <w:rFonts w:cs="Times New Roman"/>
          <w:color w:val="000000"/>
          <w:lang w:val="en-GB"/>
        </w:rPr>
        <w:t>and Supatmi</w:t>
      </w:r>
      <w:r>
        <w:rPr>
          <w:rFonts w:cs="Times New Roman"/>
          <w:color w:val="000000"/>
          <w:lang w:val="en-GB"/>
        </w:rPr>
        <w:t>, 2021).</w:t>
      </w:r>
    </w:p>
    <w:p w14:paraId="00000070">
      <w:pPr>
        <w:pStyle w:val="Heading1"/>
        <w:rPr>
          <w:rFonts w:cs="Times New Roman"/>
          <w:lang w:val="en-GB"/>
        </w:rPr>
      </w:pPr>
      <w:bookmarkStart w:id="4" w:name="_Toc167128466"/>
      <w:r>
        <w:rPr>
          <w:rFonts w:cs="Times New Roman"/>
          <w:lang w:val="en-GB"/>
        </w:rPr>
        <w:t>Turnaround Strategy for Urban Heights Hotel</w:t>
      </w:r>
      <w:bookmarkEnd w:id="4"/>
      <w:r>
        <w:rPr>
          <w:rFonts w:cs="Times New Roman"/>
          <w:lang w:val="en-GB"/>
        </w:rPr>
        <w:t xml:space="preserve"> </w:t>
      </w:r>
    </w:p>
    <w:p w14:paraId="00000071">
      <w:pPr>
        <w:rPr>
          <w:rFonts w:cs="Times New Roman"/>
          <w:lang w:val="en-GB"/>
        </w:rPr>
      </w:pPr>
      <w:r>
        <w:rPr>
          <w:rFonts w:cs="Times New Roman"/>
          <w:lang w:val="en-GB"/>
        </w:rPr>
        <w:t xml:space="preserve">To overcome declining profitability and revitalize the financial health and reputation of the </w:t>
      </w:r>
      <w:r>
        <w:rPr>
          <w:rFonts w:cs="Times New Roman"/>
          <w:lang w:val="en-GB"/>
        </w:rPr>
        <w:t>hospitality organization</w:t>
      </w:r>
      <w:r>
        <w:rPr>
          <w:rFonts w:cs="Times New Roman"/>
          <w:lang w:val="en-GB"/>
        </w:rPr>
        <w:t xml:space="preserve">, a comprehensive </w:t>
      </w:r>
      <w:r>
        <w:rPr>
          <w:rFonts w:cs="Times New Roman"/>
          <w:lang w:val="en-GB"/>
        </w:rPr>
        <w:t>turnaround</w:t>
      </w:r>
      <w:r>
        <w:rPr>
          <w:rFonts w:cs="Times New Roman"/>
          <w:lang w:val="en-GB"/>
        </w:rPr>
        <w:t xml:space="preserve"> strategy is essential</w:t>
      </w:r>
      <w:r>
        <w:rPr>
          <w:rFonts w:cs="Times New Roman"/>
          <w:lang w:val="en-GB"/>
        </w:rPr>
        <w:t xml:space="preserve"> </w:t>
      </w:r>
      <w:r>
        <w:rPr>
          <w:rFonts w:cs="Times New Roman"/>
          <w:color w:val="000000"/>
          <w:lang w:val="en-GB"/>
        </w:rPr>
        <w:t>(</w:t>
      </w:r>
      <w:r>
        <w:rPr>
          <w:rFonts w:cs="Times New Roman" w:eastAsia="Times New Roman"/>
          <w:color w:val="000000"/>
          <w:szCs w:val="24"/>
          <w:lang w:val="en-GB" w:eastAsia="en-GB"/>
        </w:rPr>
        <w:t>Artana</w:t>
      </w:r>
      <w:r>
        <w:rPr>
          <w:rFonts w:cs="Times New Roman" w:eastAsia="Times New Roman"/>
          <w:color w:val="000000"/>
          <w:szCs w:val="24"/>
          <w:lang w:val="en-GB" w:eastAsia="en-GB"/>
        </w:rPr>
        <w:t xml:space="preserve"> </w:t>
      </w:r>
      <w:r>
        <w:rPr>
          <w:rFonts w:cs="Times New Roman" w:eastAsia="Times New Roman"/>
          <w:color w:val="000000"/>
          <w:szCs w:val="24"/>
          <w:lang w:val="en-GB" w:eastAsia="en-GB"/>
        </w:rPr>
        <w:t>and Wiagustini</w:t>
      </w:r>
      <w:r>
        <w:rPr>
          <w:rFonts w:cs="Times New Roman"/>
          <w:lang w:val="en-GB"/>
        </w:rPr>
        <w:t xml:space="preserve">, </w:t>
      </w:r>
      <w:r>
        <w:rPr>
          <w:rFonts w:cs="Times New Roman"/>
          <w:color w:val="000000"/>
          <w:lang w:val="en-GB"/>
        </w:rPr>
        <w:t>2018)</w:t>
      </w:r>
      <w:r>
        <w:rPr>
          <w:rFonts w:cs="Times New Roman"/>
          <w:lang w:val="en-GB"/>
        </w:rPr>
        <w:t>.</w:t>
      </w:r>
      <w:r>
        <w:rPr>
          <w:rFonts w:cs="Times New Roman"/>
          <w:lang w:val="en-GB"/>
        </w:rPr>
        <w:t xml:space="preserve"> The organization also should implement the below strategy because it has all the necessary aspects that </w:t>
      </w:r>
      <w:r>
        <w:rPr>
          <w:rFonts w:cs="Times New Roman"/>
          <w:lang w:val="en-GB"/>
        </w:rPr>
        <w:t>need</w:t>
      </w:r>
      <w:r>
        <w:rPr>
          <w:rFonts w:cs="Times New Roman"/>
          <w:lang w:val="en-GB"/>
        </w:rPr>
        <w:t xml:space="preserve"> to be fixed.</w:t>
      </w:r>
    </w:p>
    <w:p w14:paraId="00000072">
      <w:pPr>
        <w:rPr>
          <w:rFonts w:cs="Times New Roman"/>
          <w:lang w:val="en-GB"/>
        </w:rPr>
      </w:pPr>
    </w:p>
    <w:p w14:paraId="00000073">
      <w:pPr>
        <w:pStyle w:val="Heading2"/>
        <w:rPr>
          <w:rFonts w:cs="Times New Roman"/>
          <w:b w:val="off"/>
          <w:lang w:val="en-GB"/>
        </w:rPr>
      </w:pPr>
      <w:bookmarkStart w:id="5" w:name="_Toc167128467"/>
      <w:r>
        <w:rPr>
          <w:rFonts w:cs="Times New Roman"/>
          <w:lang w:val="en-GB"/>
        </w:rPr>
        <w:t>SWOT Analysis</w:t>
      </w:r>
      <w:bookmarkEnd w:id="5"/>
    </w:p>
    <w:p w14:paraId="00000074">
      <w:pPr>
        <w:rPr>
          <w:rFonts w:cs="Times New Roman"/>
          <w:lang w:val="en-GB"/>
        </w:rPr>
      </w:pPr>
      <w:r>
        <w:rPr>
          <w:rFonts w:cs="Times New Roman"/>
          <w:lang w:val="en-GB"/>
        </w:rPr>
        <w:t>A comprehensive SWOT (Strengths, Weaknesses, Opportunities, Threats) analysis must be carried out in order to determine the internal and external elements influencing the hotel’s performance prior to putting any turnaround strategy into action</w:t>
      </w:r>
      <w:r>
        <w:rPr>
          <w:rFonts w:cs="Times New Roman"/>
          <w:lang w:val="en-GB"/>
        </w:rPr>
        <w:t xml:space="preserve"> </w:t>
      </w:r>
      <w:r>
        <w:rPr>
          <w:rFonts w:cs="Times New Roman"/>
          <w:color w:val="000000"/>
          <w:lang w:val="en-GB"/>
        </w:rPr>
        <w:t>(</w:t>
      </w:r>
      <w:r>
        <w:rPr>
          <w:rFonts w:cs="Times New Roman"/>
          <w:lang w:val="en-GB"/>
        </w:rPr>
        <w:t>Evans</w:t>
      </w:r>
      <w:r>
        <w:rPr>
          <w:rFonts w:cs="Times New Roman"/>
          <w:color w:val="000000"/>
          <w:lang w:val="en-GB"/>
        </w:rPr>
        <w:t xml:space="preserve">, </w:t>
      </w:r>
      <w:r>
        <w:rPr>
          <w:rFonts w:cs="Times New Roman"/>
          <w:color w:val="000000"/>
          <w:lang w:val="en-GB"/>
        </w:rPr>
        <w:t>2015</w:t>
      </w:r>
      <w:r>
        <w:rPr>
          <w:rFonts w:cs="Times New Roman"/>
          <w:color w:val="000000"/>
          <w:lang w:val="en-GB"/>
        </w:rPr>
        <w:t>)</w:t>
      </w:r>
      <w:r>
        <w:rPr>
          <w:rFonts w:cs="Times New Roman"/>
          <w:lang w:val="en-GB"/>
        </w:rPr>
        <w:t>.</w:t>
      </w:r>
    </w:p>
    <w:p w14:paraId="00000075">
      <w:pPr>
        <w:rPr>
          <w:rFonts w:cs="Times New Roman"/>
          <w:b/>
          <w:bCs/>
          <w:lang w:val="en-GB"/>
        </w:rPr>
      </w:pPr>
      <w:r>
        <w:rPr>
          <w:rFonts w:cs="Times New Roman"/>
          <w:b/>
          <w:bCs/>
          <w:lang w:val="en-GB"/>
        </w:rPr>
        <w:drawing xmlns:mc="http://schemas.openxmlformats.org/markup-compatibility/2006">
          <wp:inline distT="0" distB="0" distL="0" distR="0">
            <wp:extent cx="5731510" cy="3226435"/>
            <wp:effectExtent l="0" t="0" r="0" b="0"/>
            <wp:docPr id="1041401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01168" name="Picture 1"/>
                    <pic:cNvPicPr/>
                  </pic:nvPicPr>
                  <pic:blipFill>
                    <a:blip r:embed="rId12"/>
                    <a:srcRect/>
                    <a:stretch>
                      <a:fillRect/>
                    </a:stretch>
                  </pic:blipFill>
                  <pic:spPr>
                    <a:xfrm>
                      <a:off x="0" y="0"/>
                      <a:ext cx="5731510" cy="3226435"/>
                    </a:xfrm>
                    <a:prstGeom prst="rect">
                      <a:avLst/>
                    </a:prstGeom>
                  </pic:spPr>
                </pic:pic>
              </a:graphicData>
            </a:graphic>
          </wp:inline>
        </w:drawing>
      </w:r>
    </w:p>
    <w:p w14:paraId="00000076">
      <w:pPr>
        <w:rPr>
          <w:rFonts w:cs="Times New Roman"/>
          <w:b/>
          <w:bCs/>
          <w:lang w:val="en-GB"/>
        </w:rPr>
      </w:pPr>
      <w:r>
        <w:rPr>
          <w:rFonts w:cs="Times New Roman"/>
          <w:b/>
          <w:bCs/>
          <w:lang w:val="en-GB"/>
        </w:rPr>
        <w:t>Source: (Author)</w:t>
      </w:r>
    </w:p>
    <w:p w14:paraId="00000077">
      <w:pPr>
        <w:pStyle w:val="Heading2"/>
        <w:rPr>
          <w:rFonts w:cs="Times New Roman"/>
          <w:b w:val="off"/>
          <w:lang w:val="en-GB"/>
        </w:rPr>
      </w:pPr>
      <w:bookmarkStart w:id="6" w:name="_Toc167128468"/>
      <w:r>
        <w:rPr>
          <w:rFonts w:cs="Times New Roman"/>
          <w:lang w:val="en-GB"/>
        </w:rPr>
        <w:t>Restructuring and Operational Transformation</w:t>
      </w:r>
      <w:bookmarkEnd w:id="6"/>
    </w:p>
    <w:p w14:paraId="00000078">
      <w:pPr>
        <w:rPr>
          <w:rFonts w:cs="Times New Roman"/>
          <w:lang w:val="en-GB"/>
        </w:rPr>
      </w:pPr>
      <w:r>
        <w:rPr>
          <w:rFonts w:cs="Times New Roman"/>
          <w:lang w:val="en-GB"/>
        </w:rPr>
        <w:t>Organizational transformations such as improving the effectiveness of operations and internal processes by lowering costs and enhancing efficiency are core to operational restructuring</w:t>
      </w:r>
      <w:r>
        <w:rPr>
          <w:rFonts w:cs="Times New Roman"/>
          <w:lang w:val="en-GB"/>
        </w:rPr>
        <w:t xml:space="preserve"> </w:t>
      </w:r>
      <w:r>
        <w:rPr>
          <w:rFonts w:cs="Times New Roman"/>
          <w:lang w:val="en-GB"/>
        </w:rPr>
        <w:t>(</w:t>
      </w:r>
      <w:r>
        <w:rPr>
          <w:rFonts w:cs="Times New Roman" w:eastAsia="Times New Roman"/>
          <w:color w:val="000000"/>
          <w:szCs w:val="24"/>
          <w:lang w:val="en-GB" w:eastAsia="en-GB"/>
        </w:rPr>
        <w:t>Artana and Wiagustini</w:t>
      </w:r>
      <w:r>
        <w:rPr>
          <w:rFonts w:cs="Times New Roman" w:eastAsia="Times New Roman"/>
          <w:color w:val="000000"/>
          <w:szCs w:val="24"/>
          <w:lang w:val="en-GB" w:eastAsia="en-GB"/>
        </w:rPr>
        <w:t>, 2018).</w:t>
      </w:r>
      <w:r>
        <w:rPr>
          <w:rFonts w:cs="Times New Roman"/>
          <w:lang w:val="en-GB"/>
        </w:rPr>
        <w:t xml:space="preserve"> </w:t>
      </w:r>
      <w:r>
        <w:rPr>
          <w:rFonts w:cs="Times New Roman"/>
          <w:lang w:val="en-GB"/>
        </w:rPr>
        <w:t>The Urban Heights Hotel might accomplish this through supply chain management programs, staff level satisfaction, structured training programs and efficiency-enhancing the operation. The hotel can make large savings in the costs of operation and also enhance the level of profitability through the elimination of waste and the introduction of more production</w:t>
      </w:r>
      <w:r>
        <w:rPr>
          <w:rFonts w:cs="Times New Roman"/>
          <w:lang w:val="en-GB"/>
        </w:rPr>
        <w:t xml:space="preserve"> </w:t>
      </w:r>
      <w:r>
        <w:rPr>
          <w:rFonts w:cs="Times New Roman"/>
          <w:lang w:val="en-GB"/>
        </w:rPr>
        <w:t xml:space="preserve">(Ibrahim et al., 2023). </w:t>
      </w:r>
      <w:r>
        <w:rPr>
          <w:rFonts w:cs="Times New Roman"/>
          <w:lang w:val="en-GB"/>
        </w:rPr>
        <w:t>Exploration of all activities in areas of food and beverage services, front office, accommodation, engineering, and any other issues related to the efficient operation of the Urban Heights Hotel may be considered as the operation restructuring of the hotel. The areas of productivity as well as cost reduction are vital in attaining efficiency as well as removing waste through the attainment and also implementation of improvements</w:t>
      </w:r>
      <w:r>
        <w:rPr>
          <w:rFonts w:cs="Times New Roman"/>
          <w:lang w:val="en-GB"/>
        </w:rPr>
        <w:t xml:space="preserve"> </w:t>
      </w:r>
      <w:r>
        <w:rPr>
          <w:rFonts w:cs="Times New Roman"/>
          <w:lang w:val="en-GB"/>
        </w:rPr>
        <w:t>(</w:t>
      </w:r>
      <w:r>
        <w:rPr>
          <w:rFonts w:cs="Times New Roman" w:eastAsia="Times New Roman"/>
          <w:color w:val="000000"/>
          <w:szCs w:val="24"/>
          <w:lang w:val="en-GB" w:eastAsia="en-GB"/>
        </w:rPr>
        <w:t>Xu</w:t>
      </w:r>
      <w:r>
        <w:rPr>
          <w:rFonts w:cs="Times New Roman" w:eastAsia="Times New Roman"/>
          <w:color w:val="000000"/>
          <w:szCs w:val="24"/>
          <w:lang w:val="en-GB" w:eastAsia="en-GB"/>
        </w:rPr>
        <w:t xml:space="preserve"> </w:t>
      </w:r>
      <w:r>
        <w:rPr>
          <w:rFonts w:cs="Times New Roman" w:eastAsia="Times New Roman"/>
          <w:color w:val="000000"/>
          <w:szCs w:val="24"/>
          <w:lang w:val="en-GB" w:eastAsia="en-GB"/>
        </w:rPr>
        <w:t>and Gursoy</w:t>
      </w:r>
      <w:r>
        <w:rPr>
          <w:rFonts w:cs="Times New Roman" w:eastAsia="Times New Roman"/>
          <w:color w:val="000000"/>
          <w:szCs w:val="24"/>
          <w:lang w:val="en-GB" w:eastAsia="en-GB"/>
        </w:rPr>
        <w:t>, 2015).</w:t>
      </w:r>
      <w:r>
        <w:rPr>
          <w:rFonts w:cs="Times New Roman"/>
          <w:lang w:val="en-GB"/>
        </w:rPr>
        <w:t xml:space="preserve"> Seasonality and demand patterns also help the Urban Heights Hotel in deciding the most appropriate approach to maintaining its staffing needs. Workforce management can also be employed to reduce </w:t>
      </w:r>
      <w:r>
        <w:rPr>
          <w:rFonts w:cs="Times New Roman"/>
          <w:lang w:val="en-GB"/>
        </w:rPr>
        <w:t>labo</w:t>
      </w:r>
      <w:r>
        <w:rPr>
          <w:rFonts w:cs="Times New Roman"/>
          <w:lang w:val="en-GB"/>
        </w:rPr>
        <w:t>u</w:t>
      </w:r>
      <w:r>
        <w:rPr>
          <w:rFonts w:cs="Times New Roman"/>
          <w:lang w:val="en-GB"/>
        </w:rPr>
        <w:t>r</w:t>
      </w:r>
      <w:r>
        <w:rPr>
          <w:rFonts w:cs="Times New Roman"/>
          <w:lang w:val="en-GB"/>
        </w:rPr>
        <w:t xml:space="preserve"> expenses on the basis of quality services by arriving at the correct </w:t>
      </w:r>
      <w:r>
        <w:rPr>
          <w:rFonts w:cs="Times New Roman"/>
          <w:lang w:val="en-GB"/>
        </w:rPr>
        <w:t>labo</w:t>
      </w:r>
      <w:r>
        <w:rPr>
          <w:rFonts w:cs="Times New Roman"/>
          <w:lang w:val="en-GB"/>
        </w:rPr>
        <w:t>u</w:t>
      </w:r>
      <w:r>
        <w:rPr>
          <w:rFonts w:cs="Times New Roman"/>
          <w:lang w:val="en-GB"/>
        </w:rPr>
        <w:t>r</w:t>
      </w:r>
      <w:r>
        <w:rPr>
          <w:rFonts w:cs="Times New Roman"/>
          <w:lang w:val="en-GB"/>
        </w:rPr>
        <w:t xml:space="preserve"> needs of a hospitality enterprise and applying those needs in the operation through the provision of the correct number of workers at any given moment. The purchasing costs can be lowered in the hotel because it can increase trust-based relations with suppliers and get some privileged conditions</w:t>
      </w:r>
      <w:r>
        <w:rPr>
          <w:rFonts w:cs="Times New Roman"/>
          <w:lang w:val="en-GB"/>
        </w:rPr>
        <w:t xml:space="preserve"> </w:t>
      </w:r>
      <w:r>
        <w:rPr>
          <w:rFonts w:cs="Times New Roman"/>
          <w:lang w:val="en-GB"/>
        </w:rPr>
        <w:t>(</w:t>
      </w:r>
      <w:r>
        <w:rPr>
          <w:rFonts w:cs="Times New Roman"/>
          <w:lang w:val="en-GB"/>
        </w:rPr>
        <w:t>Ibrahim</w:t>
      </w:r>
      <w:r>
        <w:rPr>
          <w:rFonts w:cs="Times New Roman"/>
          <w:lang w:val="en-GB"/>
        </w:rPr>
        <w:t xml:space="preserve"> et al., 2023).</w:t>
      </w:r>
      <w:r>
        <w:rPr>
          <w:rFonts w:cs="Times New Roman"/>
          <w:lang w:val="en-GB"/>
        </w:rPr>
        <w:t xml:space="preserve"> Other cost-saving measures are the incorporation of procedures for inventory control which would enhance the level of inventory, the incidence of stock-outs and the cost associated with inventory.</w:t>
      </w:r>
    </w:p>
    <w:p w14:paraId="00000079">
      <w:pPr>
        <w:rPr>
          <w:rFonts w:cs="Times New Roman"/>
          <w:lang w:val="en-GB"/>
        </w:rPr>
      </w:pPr>
    </w:p>
    <w:p w14:paraId="0000007A">
      <w:pPr>
        <w:pStyle w:val="Heading2"/>
        <w:rPr>
          <w:rFonts w:cs="Times New Roman"/>
          <w:b w:val="off"/>
          <w:lang w:val="en-GB"/>
        </w:rPr>
      </w:pPr>
      <w:bookmarkStart w:id="7" w:name="_Toc167128469"/>
      <w:r>
        <w:rPr>
          <w:rFonts w:cs="Times New Roman"/>
          <w:lang w:val="en-GB"/>
        </w:rPr>
        <w:t>Revitalization of Finance and Restructuring Plan</w:t>
      </w:r>
      <w:bookmarkEnd w:id="7"/>
    </w:p>
    <w:p w14:paraId="0000007B">
      <w:pPr>
        <w:rPr>
          <w:rFonts w:cs="Times New Roman"/>
          <w:lang w:val="en-GB"/>
        </w:rPr>
      </w:pPr>
      <w:r>
        <w:rPr>
          <w:rFonts w:cs="Times New Roman"/>
          <w:lang w:val="en-GB"/>
        </w:rPr>
        <w:t xml:space="preserve">Financial restructuring means improved financial governance of the hotel for better liquidity and also a decrease in the overall debt level. Look into debts that have already been incurred and potentially re-lending at terms that are less </w:t>
      </w:r>
      <w:r>
        <w:rPr>
          <w:rFonts w:cs="Times New Roman"/>
          <w:lang w:val="en-GB"/>
        </w:rPr>
        <w:t>favo</w:t>
      </w:r>
      <w:r>
        <w:rPr>
          <w:rFonts w:cs="Times New Roman"/>
          <w:lang w:val="en-GB"/>
        </w:rPr>
        <w:t>u</w:t>
      </w:r>
      <w:r>
        <w:rPr>
          <w:rFonts w:cs="Times New Roman"/>
          <w:lang w:val="en-GB"/>
        </w:rPr>
        <w:t>rable</w:t>
      </w:r>
      <w:r>
        <w:rPr>
          <w:rFonts w:cs="Times New Roman"/>
          <w:lang w:val="en-GB"/>
        </w:rPr>
        <w:t>, perhaps in terms of longer repayment periods or interest rates.</w:t>
      </w:r>
      <w:r>
        <w:rPr>
          <w:rFonts w:cs="Times New Roman"/>
          <w:lang w:val="en-GB"/>
        </w:rPr>
        <w:t xml:space="preserve"> This can help improve cash flow and reduce the amount of interest expenses needed to be paid and this can provide the hotel with more financial freedom </w:t>
      </w:r>
      <w:r>
        <w:rPr>
          <w:rFonts w:cs="Times New Roman"/>
          <w:color w:val="000000"/>
          <w:lang w:val="en-GB"/>
        </w:rPr>
        <w:t>(</w:t>
      </w:r>
      <w:r>
        <w:rPr>
          <w:rFonts w:cs="Times New Roman"/>
          <w:lang w:val="en-GB"/>
        </w:rPr>
        <w:t>Artana</w:t>
      </w:r>
      <w:r>
        <w:rPr>
          <w:rFonts w:cs="Times New Roman"/>
          <w:lang w:val="en-GB"/>
        </w:rPr>
        <w:t xml:space="preserve"> </w:t>
      </w:r>
      <w:r>
        <w:rPr>
          <w:rFonts w:cs="Times New Roman"/>
          <w:lang w:val="en-GB"/>
        </w:rPr>
        <w:t>and Wiagustini</w:t>
      </w:r>
      <w:r>
        <w:rPr>
          <w:rFonts w:cs="Times New Roman"/>
          <w:color w:val="000000"/>
          <w:lang w:val="en-GB"/>
        </w:rPr>
        <w:t>, 201</w:t>
      </w:r>
      <w:r>
        <w:rPr>
          <w:rFonts w:cs="Times New Roman"/>
          <w:color w:val="000000"/>
          <w:lang w:val="en-GB"/>
        </w:rPr>
        <w:t>8</w:t>
      </w:r>
      <w:r>
        <w:rPr>
          <w:rFonts w:cs="Times New Roman"/>
          <w:color w:val="000000"/>
          <w:lang w:val="en-GB"/>
        </w:rPr>
        <w:t>)</w:t>
      </w:r>
      <w:r>
        <w:rPr>
          <w:rFonts w:cs="Times New Roman"/>
          <w:lang w:val="en-GB"/>
        </w:rPr>
        <w:t xml:space="preserve">. To find areas where expenses might be cut without sacrificing service quality or the visitor experience, do a thorough cost audit. </w:t>
      </w:r>
      <w:r>
        <w:rPr>
          <w:rFonts w:cs="Times New Roman"/>
          <w:lang w:val="en-GB"/>
        </w:rPr>
        <w:t xml:space="preserve">Reduce costs by renegotiating contracts, merging services, or subcontracting nonessential processes to more affordable providers. Determine capital expenditure priorities based on their ability to generate </w:t>
      </w:r>
      <w:r>
        <w:rPr>
          <w:rFonts w:cs="Times New Roman"/>
          <w:lang w:val="en-GB"/>
        </w:rPr>
        <w:t>returns and assist in the long-term growth of the hotel.</w:t>
      </w:r>
      <w:r>
        <w:rPr>
          <w:rFonts w:cs="Times New Roman"/>
          <w:lang w:val="en-GB"/>
        </w:rPr>
        <w:t xml:space="preserve"> Delay or abandon non-essential projects in </w:t>
      </w:r>
      <w:r>
        <w:rPr>
          <w:rFonts w:cs="Times New Roman"/>
          <w:lang w:val="en-GB"/>
        </w:rPr>
        <w:t>favour</w:t>
      </w:r>
      <w:r>
        <w:rPr>
          <w:rFonts w:cs="Times New Roman"/>
          <w:lang w:val="en-GB"/>
        </w:rPr>
        <w:t xml:space="preserve"> of investments that would improve the visitor experience, increase operational effectiveness, or support efforts aimed at generating money</w:t>
      </w:r>
      <w:r>
        <w:rPr>
          <w:rFonts w:cs="Times New Roman"/>
          <w:lang w:val="en-GB"/>
        </w:rPr>
        <w:t xml:space="preserve"> </w:t>
      </w:r>
      <w:r>
        <w:rPr>
          <w:rFonts w:cs="Times New Roman"/>
          <w:lang w:val="en-GB"/>
        </w:rPr>
        <w:t>(Aydogan et al., 2024)</w:t>
      </w:r>
      <w:r>
        <w:rPr>
          <w:rFonts w:cs="Times New Roman"/>
          <w:lang w:val="en-GB"/>
        </w:rPr>
        <w:t xml:space="preserve">. </w:t>
      </w:r>
      <w:r>
        <w:rPr>
          <w:rFonts w:cs="Times New Roman"/>
          <w:lang w:val="en-GB"/>
        </w:rPr>
        <w:t xml:space="preserve">Strong cash flow management techniques should be implemented to allow for maximum input and outflow of cash. Some of these efforts may involve renegotiating payment terms with vendors or streamlining accounts receivable collection procedures in order to alleviate liquidity problems. </w:t>
      </w:r>
    </w:p>
    <w:p w14:paraId="0000007C">
      <w:pPr>
        <w:rPr>
          <w:rFonts w:cs="Times New Roman"/>
          <w:lang w:val="en-GB"/>
        </w:rPr>
      </w:pPr>
    </w:p>
    <w:p w14:paraId="0000007D">
      <w:pPr>
        <w:pStyle w:val="Heading2"/>
        <w:rPr>
          <w:rFonts w:cs="Times New Roman"/>
          <w:b w:val="off"/>
          <w:lang w:val="en-GB"/>
        </w:rPr>
      </w:pPr>
      <w:bookmarkStart w:id="8" w:name="_Toc167128470"/>
      <w:r>
        <w:rPr>
          <w:rFonts w:cs="Times New Roman"/>
          <w:lang w:val="en-GB"/>
        </w:rPr>
        <w:t>Improving Brand Perception and Customer Satisfaction</w:t>
      </w:r>
      <w:bookmarkEnd w:id="8"/>
    </w:p>
    <w:p w14:paraId="0000007E">
      <w:pPr>
        <w:rPr>
          <w:rFonts w:cs="Times New Roman"/>
          <w:lang w:val="en-GB"/>
        </w:rPr>
      </w:pPr>
      <w:r>
        <w:rPr>
          <w:rFonts w:cs="Times New Roman"/>
          <w:lang w:val="en-GB"/>
        </w:rPr>
        <w:t xml:space="preserve">Long-term sustainability requires measures to enhance customer and brand relationships as well as changing organizational and financial management. Fund infrastructure developments that will enhance the entire visitor journey, from booking to departure. To maximize the attention of visitors and exceed their expectations, you should apply digital tools such as mobile check-in/check-out, guest feedback platforms, and communication channels </w:t>
      </w:r>
      <w:r>
        <w:rPr>
          <w:rFonts w:cs="Times New Roman"/>
          <w:lang w:val="en-GB"/>
        </w:rPr>
        <w:t>(</w:t>
      </w:r>
      <w:r>
        <w:rPr>
          <w:rFonts w:cs="Times New Roman"/>
          <w:lang w:val="en-GB"/>
        </w:rPr>
        <w:t>Xu</w:t>
      </w:r>
      <w:r>
        <w:rPr>
          <w:rFonts w:cs="Times New Roman"/>
          <w:lang w:val="en-GB"/>
        </w:rPr>
        <w:t xml:space="preserve"> </w:t>
      </w:r>
      <w:r>
        <w:rPr>
          <w:rFonts w:cs="Times New Roman"/>
          <w:lang w:val="en-GB"/>
        </w:rPr>
        <w:t>and Gursoy</w:t>
      </w:r>
      <w:r>
        <w:rPr>
          <w:rFonts w:cs="Times New Roman"/>
          <w:lang w:val="en-GB"/>
        </w:rPr>
        <w:t>, 201</w:t>
      </w:r>
      <w:r>
        <w:rPr>
          <w:rFonts w:cs="Times New Roman"/>
          <w:lang w:val="en-GB"/>
        </w:rPr>
        <w:t>5</w:t>
      </w:r>
      <w:r>
        <w:rPr>
          <w:rFonts w:cs="Times New Roman"/>
          <w:lang w:val="en-GB"/>
        </w:rPr>
        <w:t>)</w:t>
      </w:r>
      <w:r>
        <w:rPr>
          <w:rFonts w:cs="Times New Roman"/>
          <w:lang w:val="en-GB"/>
        </w:rPr>
        <w:t xml:space="preserve">. </w:t>
      </w:r>
      <w:r>
        <w:rPr>
          <w:rFonts w:cs="Times New Roman"/>
          <w:lang w:val="en-GB"/>
        </w:rPr>
        <w:t>Quality assurance is a strict program that should be put in place to ensure that there is consistency in the delivery of services as well as adherence to the brand standards. Conduct routine audits and inspections in order to identify areas of deficiency and action required to rectify the situation. Develop specific marketing campaigns that showcase the uniqueness of the hotel and separate it from competitors</w:t>
      </w:r>
      <w:r>
        <w:rPr>
          <w:rFonts w:cs="Times New Roman"/>
          <w:lang w:val="en-GB"/>
        </w:rPr>
        <w:t xml:space="preserve"> </w:t>
      </w:r>
      <w:r>
        <w:rPr>
          <w:rFonts w:cs="Times New Roman"/>
          <w:lang w:val="en-GB"/>
        </w:rPr>
        <w:t>(Tsviliy et al., 2021)</w:t>
      </w:r>
      <w:r>
        <w:rPr>
          <w:rFonts w:cs="Times New Roman"/>
          <w:lang w:val="en-GB"/>
        </w:rPr>
        <w:t>. To achieve the target customers and enhance reservation, employ digital marketing through social media, email marketing and search engine optimization</w:t>
      </w:r>
      <w:r>
        <w:rPr>
          <w:rFonts w:cs="Times New Roman"/>
          <w:lang w:val="en-GB"/>
        </w:rPr>
        <w:t>.</w:t>
      </w:r>
    </w:p>
    <w:p w14:paraId="0000007F">
      <w:pPr>
        <w:pStyle w:val="Heading1"/>
        <w:rPr>
          <w:rFonts w:cs="Times New Roman"/>
          <w:lang w:val="en-GB"/>
        </w:rPr>
      </w:pPr>
      <w:bookmarkStart w:id="9" w:name="_Toc167128471"/>
      <w:r>
        <w:rPr>
          <w:rFonts w:cs="Times New Roman"/>
          <w:lang w:val="en-GB"/>
        </w:rPr>
        <w:t>Conclusion</w:t>
      </w:r>
      <w:bookmarkEnd w:id="9"/>
    </w:p>
    <w:p w14:paraId="00000080">
      <w:pPr>
        <w:rPr>
          <w:rFonts w:cs="Times New Roman"/>
          <w:lang w:val="en-GB"/>
        </w:rPr>
      </w:pPr>
      <w:r>
        <w:rPr>
          <w:rFonts w:cs="Times New Roman"/>
          <w:lang w:val="en-GB"/>
        </w:rPr>
        <w:t xml:space="preserve">Urban Heights Hotel has several issues such as ineffective financial management that led to decreased profits and losses in 2023. These challenges notwithstanding, the hotel has a good foundation and lots of opportunities for growth in strategic areas. Urban Heights Hotel may manage to overcome the challenges it faces today and become a powerful competitive profit-making hotel by implementing all the necessary steps of the turnaround strategy: restructuring the operations, improving finances, and building a strong reputation. </w:t>
      </w:r>
    </w:p>
    <w:p w14:paraId="00000081">
      <w:pPr>
        <w:rPr>
          <w:rFonts w:cs="Times New Roman"/>
          <w:lang w:val="en-GB"/>
        </w:rPr>
      </w:pPr>
    </w:p>
    <w:p w14:paraId="00000082">
      <w:pPr>
        <w:pStyle w:val="Heading1"/>
        <w:rPr>
          <w:rFonts w:cs="Times New Roman"/>
          <w:lang w:val="en-GB"/>
        </w:rPr>
      </w:pPr>
      <w:bookmarkStart w:id="10" w:name="_Toc167128472"/>
      <w:r>
        <w:rPr>
          <w:rFonts w:cs="Times New Roman"/>
          <w:lang w:val="en-GB"/>
        </w:rPr>
        <w:t>Reference List</w:t>
      </w:r>
      <w:bookmarkEnd w:id="10"/>
    </w:p>
    <w:p w14:paraId="00000083">
      <w:pPr>
        <w:pStyle w:val="Normal(Web)"/>
        <w:spacing w:after="240" w:line="360" w:lineRule="auto"/>
        <w:jc w:val="both"/>
        <w:rPr>
          <w:color w:val="000000"/>
          <w:lang w:val="en-GB"/>
        </w:rPr>
      </w:pPr>
      <w:r>
        <w:rPr>
          <w:color w:val="000000"/>
          <w:lang w:val="en-GB"/>
        </w:rPr>
        <w:t>Artana, I.M. and Wiagustini, L.P.</w:t>
      </w:r>
      <w:r>
        <w:rPr>
          <w:color w:val="000000"/>
          <w:lang w:val="en-GB"/>
        </w:rPr>
        <w:t xml:space="preserve"> (</w:t>
      </w:r>
      <w:r>
        <w:rPr>
          <w:color w:val="000000"/>
          <w:lang w:val="en-GB"/>
        </w:rPr>
        <w:t>2018</w:t>
      </w:r>
      <w:r>
        <w:rPr>
          <w:color w:val="000000"/>
          <w:lang w:val="en-GB"/>
        </w:rPr>
        <w:t xml:space="preserve">) </w:t>
      </w:r>
      <w:r>
        <w:rPr>
          <w:color w:val="000000"/>
          <w:lang w:val="en-GB"/>
        </w:rPr>
        <w:t xml:space="preserve">Formulation Process Of Turnaround Strategy To Overcome Financial Distress In Pt. Pn. </w:t>
      </w:r>
      <w:r>
        <w:rPr>
          <w:i/>
          <w:iCs/>
          <w:color w:val="000000"/>
          <w:lang w:val="en-GB"/>
        </w:rPr>
        <w:t>International Journal of Novel Research in Marketing Management and Economics</w:t>
      </w:r>
      <w:r>
        <w:rPr>
          <w:color w:val="000000"/>
          <w:lang w:val="en-GB"/>
        </w:rPr>
        <w:t xml:space="preserve">, </w:t>
      </w:r>
      <w:r>
        <w:rPr>
          <w:i/>
          <w:iCs/>
          <w:color w:val="000000"/>
          <w:lang w:val="en-GB"/>
        </w:rPr>
        <w:t>5</w:t>
      </w:r>
      <w:r>
        <w:rPr>
          <w:color w:val="000000"/>
          <w:lang w:val="en-GB"/>
        </w:rPr>
        <w:t>(3), pp.36-45.</w:t>
      </w:r>
    </w:p>
    <w:p w14:paraId="00000084">
      <w:pPr>
        <w:pStyle w:val="Normal(Web)"/>
        <w:spacing w:after="240" w:line="360" w:lineRule="auto"/>
        <w:jc w:val="both"/>
        <w:rPr>
          <w:color w:val="000000"/>
          <w:lang w:val="en-GB"/>
        </w:rPr>
      </w:pPr>
      <w:r>
        <w:rPr>
          <w:color w:val="000000"/>
          <w:lang w:val="en-GB"/>
        </w:rPr>
        <w:t>Aydogan, M., de Esteban Curiel, J., Antonovica, A. and Cetin, G.</w:t>
      </w:r>
      <w:r>
        <w:rPr>
          <w:color w:val="000000"/>
          <w:lang w:val="en-GB"/>
        </w:rPr>
        <w:t xml:space="preserve"> (</w:t>
      </w:r>
      <w:r>
        <w:rPr>
          <w:color w:val="000000"/>
          <w:lang w:val="en-GB"/>
        </w:rPr>
        <w:t>2024</w:t>
      </w:r>
      <w:r>
        <w:rPr>
          <w:color w:val="000000"/>
          <w:lang w:val="en-GB"/>
        </w:rPr>
        <w:t>)</w:t>
      </w:r>
      <w:r>
        <w:rPr>
          <w:color w:val="000000"/>
          <w:lang w:val="en-GB"/>
        </w:rPr>
        <w:t xml:space="preserve"> Characteristics of crises resilient organizations in the hospitality and tourism industry. </w:t>
      </w:r>
      <w:r>
        <w:rPr>
          <w:i/>
          <w:iCs/>
          <w:color w:val="000000"/>
          <w:lang w:val="en-GB"/>
        </w:rPr>
        <w:t>International Journal of Contemporary Hospitality Management</w:t>
      </w:r>
      <w:r>
        <w:rPr>
          <w:color w:val="000000"/>
          <w:lang w:val="en-GB"/>
        </w:rPr>
        <w:t xml:space="preserve">, </w:t>
      </w:r>
      <w:r>
        <w:rPr>
          <w:i/>
          <w:iCs/>
          <w:color w:val="000000"/>
          <w:lang w:val="en-GB"/>
        </w:rPr>
        <w:t>36</w:t>
      </w:r>
      <w:r>
        <w:rPr>
          <w:color w:val="000000"/>
          <w:lang w:val="en-GB"/>
        </w:rPr>
        <w:t>(4), pp.1432-1453.</w:t>
      </w:r>
    </w:p>
    <w:p w14:paraId="00000085">
      <w:pPr>
        <w:pStyle w:val="Normal(Web)"/>
        <w:spacing w:after="240" w:line="360" w:lineRule="auto"/>
        <w:jc w:val="both"/>
        <w:rPr>
          <w:color w:val="000000"/>
          <w:lang w:val="en-GB"/>
        </w:rPr>
      </w:pPr>
      <w:r>
        <w:rPr>
          <w:color w:val="000000"/>
          <w:lang w:val="en-GB"/>
        </w:rPr>
        <w:t>Das, M. P. (2023)</w:t>
      </w:r>
      <w:r>
        <w:rPr>
          <w:color w:val="000000"/>
          <w:lang w:val="en-GB"/>
        </w:rPr>
        <w:t xml:space="preserve"> </w:t>
      </w:r>
      <w:r>
        <w:rPr>
          <w:color w:val="000000"/>
          <w:lang w:val="en-GB"/>
        </w:rPr>
        <w:t xml:space="preserve">Technology and Guest experience: innovations reshaping hotel management. </w:t>
      </w:r>
      <w:r>
        <w:rPr>
          <w:i/>
          <w:iCs/>
          <w:color w:val="000000"/>
          <w:lang w:val="en-GB"/>
        </w:rPr>
        <w:t>International Journal for Multidimensional Research Perspectives</w:t>
      </w:r>
      <w:r>
        <w:rPr>
          <w:color w:val="000000"/>
          <w:lang w:val="en-GB"/>
        </w:rPr>
        <w:t xml:space="preserve">, </w:t>
      </w:r>
      <w:r>
        <w:rPr>
          <w:i/>
          <w:iCs/>
          <w:color w:val="000000"/>
          <w:lang w:val="en-GB"/>
        </w:rPr>
        <w:t>1</w:t>
      </w:r>
      <w:r>
        <w:rPr>
          <w:color w:val="000000"/>
          <w:lang w:val="en-GB"/>
        </w:rPr>
        <w:t>(3), 76-95.</w:t>
      </w:r>
    </w:p>
    <w:p w14:paraId="00000086">
      <w:pPr>
        <w:pStyle w:val="Normal(Web)"/>
        <w:spacing w:after="240" w:line="360" w:lineRule="auto"/>
        <w:jc w:val="both"/>
        <w:rPr>
          <w:color w:val="000000"/>
          <w:lang w:val="en-GB"/>
        </w:rPr>
      </w:pPr>
      <w:r>
        <w:rPr>
          <w:color w:val="000000"/>
          <w:lang w:val="en-GB"/>
        </w:rPr>
        <w:t>Demir, M., Demir, Ş.Ş., Dalgıç, A. and Ergen, F.D.</w:t>
      </w:r>
      <w:r>
        <w:rPr>
          <w:color w:val="000000"/>
          <w:lang w:val="en-GB"/>
        </w:rPr>
        <w:t xml:space="preserve"> (</w:t>
      </w:r>
      <w:r>
        <w:rPr>
          <w:color w:val="000000"/>
          <w:lang w:val="en-GB"/>
        </w:rPr>
        <w:t>2021</w:t>
      </w:r>
      <w:r>
        <w:rPr>
          <w:color w:val="000000"/>
          <w:lang w:val="en-GB"/>
        </w:rPr>
        <w:t>)</w:t>
      </w:r>
      <w:r>
        <w:rPr>
          <w:color w:val="000000"/>
          <w:lang w:val="en-GB"/>
        </w:rPr>
        <w:t xml:space="preserve"> Impact of COVID-19 pandemic on the tourism industry: An evaluation from the hotel managers' perspective. </w:t>
      </w:r>
      <w:r>
        <w:rPr>
          <w:i/>
          <w:iCs/>
          <w:color w:val="000000"/>
          <w:lang w:val="en-GB"/>
        </w:rPr>
        <w:t>Journal of Tourism Theory and Research</w:t>
      </w:r>
      <w:r>
        <w:rPr>
          <w:color w:val="000000"/>
          <w:lang w:val="en-GB"/>
        </w:rPr>
        <w:t xml:space="preserve">, </w:t>
      </w:r>
      <w:r>
        <w:rPr>
          <w:i/>
          <w:iCs/>
          <w:color w:val="000000"/>
          <w:lang w:val="en-GB"/>
        </w:rPr>
        <w:t>7</w:t>
      </w:r>
      <w:r>
        <w:rPr>
          <w:color w:val="000000"/>
          <w:lang w:val="en-GB"/>
        </w:rPr>
        <w:t>(1), pp.44-57.</w:t>
      </w:r>
    </w:p>
    <w:p w14:paraId="00000087">
      <w:pPr>
        <w:pStyle w:val="Normal(Web)"/>
        <w:spacing w:after="240" w:line="360" w:lineRule="auto"/>
        <w:jc w:val="both"/>
        <w:rPr>
          <w:color w:val="000000"/>
          <w:lang w:val="en-GB"/>
        </w:rPr>
      </w:pPr>
      <w:r>
        <w:rPr>
          <w:color w:val="000000"/>
          <w:lang w:val="en-GB"/>
        </w:rPr>
        <w:t xml:space="preserve">Evans, N. G. (2015) </w:t>
      </w:r>
      <w:r>
        <w:rPr>
          <w:i/>
          <w:iCs/>
          <w:color w:val="000000"/>
          <w:lang w:val="en-GB"/>
        </w:rPr>
        <w:t>Strategic management for tourism, hospitality and events</w:t>
      </w:r>
      <w:r>
        <w:rPr>
          <w:color w:val="000000"/>
          <w:lang w:val="en-GB"/>
        </w:rPr>
        <w:t>. Routledge.</w:t>
      </w:r>
    </w:p>
    <w:p w14:paraId="00000088">
      <w:pPr>
        <w:pStyle w:val="Normal(Web)"/>
        <w:spacing w:after="240" w:line="360" w:lineRule="auto"/>
        <w:jc w:val="both"/>
        <w:rPr>
          <w:color w:val="000000"/>
          <w:lang w:val="en-GB"/>
        </w:rPr>
      </w:pPr>
      <w:r>
        <w:rPr>
          <w:color w:val="000000"/>
          <w:lang w:val="en-GB"/>
        </w:rPr>
        <w:t>Hayes, D.K., Hayes, J.D. and Hayes, P.A.</w:t>
      </w:r>
      <w:r>
        <w:rPr>
          <w:color w:val="000000"/>
          <w:lang w:val="en-GB"/>
        </w:rPr>
        <w:t xml:space="preserve"> (2</w:t>
      </w:r>
      <w:r>
        <w:rPr>
          <w:color w:val="000000"/>
          <w:lang w:val="en-GB"/>
        </w:rPr>
        <w:t>021</w:t>
      </w:r>
      <w:r>
        <w:rPr>
          <w:color w:val="000000"/>
          <w:lang w:val="en-GB"/>
        </w:rPr>
        <w:t>)</w:t>
      </w:r>
      <w:r>
        <w:rPr>
          <w:color w:val="000000"/>
          <w:lang w:val="en-GB"/>
        </w:rPr>
        <w:t xml:space="preserve"> </w:t>
      </w:r>
      <w:r>
        <w:rPr>
          <w:i/>
          <w:iCs/>
          <w:color w:val="000000"/>
          <w:lang w:val="en-GB"/>
        </w:rPr>
        <w:t>Revenue management for the hospitality industry</w:t>
      </w:r>
      <w:r>
        <w:rPr>
          <w:color w:val="000000"/>
          <w:lang w:val="en-GB"/>
        </w:rPr>
        <w:t>. John Wiley &amp; Sons.</w:t>
      </w:r>
    </w:p>
    <w:p w14:paraId="00000089">
      <w:pPr>
        <w:pStyle w:val="Normal(Web)"/>
        <w:spacing w:before="0" w:after="240" w:line="360" w:lineRule="auto"/>
        <w:jc w:val="both"/>
        <w:rPr>
          <w:color w:val="000000"/>
          <w:lang w:val="en-GB"/>
        </w:rPr>
      </w:pPr>
      <w:r>
        <w:rPr>
          <w:lang w:val="en-GB"/>
        </w:rPr>
        <w:t>Ibrahim, E., Khraisat, Q., Alghizzawi, M., Omain, S.Z., Humaid, A.M. and Ismail, N.B.</w:t>
      </w:r>
      <w:r>
        <w:rPr>
          <w:lang w:val="en-GB"/>
        </w:rPr>
        <w:t xml:space="preserve"> (</w:t>
      </w:r>
      <w:r>
        <w:rPr>
          <w:lang w:val="en-GB"/>
        </w:rPr>
        <w:t>2023</w:t>
      </w:r>
      <w:r>
        <w:rPr>
          <w:lang w:val="en-GB"/>
        </w:rPr>
        <w:t>)</w:t>
      </w:r>
      <w:r>
        <w:rPr>
          <w:lang w:val="en-GB"/>
        </w:rPr>
        <w:t xml:space="preserve"> The impact of outsourcing model on supply chain efficiency and performance in SMES: a case of the hospitality industry. </w:t>
      </w:r>
      <w:r>
        <w:rPr>
          <w:i/>
          <w:iCs/>
          <w:lang w:val="en-GB"/>
        </w:rPr>
        <w:t>International Journal of Professional Business Review: Int. J. Prof. Bus. Rev.</w:t>
      </w:r>
      <w:r>
        <w:rPr>
          <w:lang w:val="en-GB"/>
        </w:rPr>
        <w:t xml:space="preserve">, </w:t>
      </w:r>
      <w:r>
        <w:rPr>
          <w:i/>
          <w:iCs/>
          <w:lang w:val="en-GB"/>
        </w:rPr>
        <w:t>8</w:t>
      </w:r>
      <w:r>
        <w:rPr>
          <w:lang w:val="en-GB"/>
        </w:rPr>
        <w:t>(6), p.6.</w:t>
      </w:r>
    </w:p>
    <w:p w14:paraId="0000008A">
      <w:pPr>
        <w:pStyle w:val="Normal(Web)"/>
        <w:spacing w:before="0" w:after="240" w:line="360" w:lineRule="auto"/>
        <w:jc w:val="both"/>
        <w:rPr>
          <w:color w:val="000000"/>
          <w:lang w:val="en-GB"/>
        </w:rPr>
      </w:pPr>
      <w:r>
        <w:rPr>
          <w:color w:val="000000"/>
          <w:lang w:val="en-GB"/>
        </w:rPr>
        <w:t>Santoso, T.G. and Supatmi, S. (2021) Financial Ratio Analysis to Assess Financial Performance of the Hotel Industry.</w:t>
      </w:r>
      <w:r>
        <w:rPr>
          <w:rStyle w:val="Apple-converted-space"/>
          <w:rFonts w:eastAsiaTheme="majorEastAsia"/>
          <w:color w:val="000000"/>
          <w:lang w:val="en-GB"/>
        </w:rPr>
        <w:t> </w:t>
      </w:r>
      <w:r>
        <w:rPr>
          <w:i/>
          <w:iCs/>
          <w:color w:val="000000"/>
          <w:lang w:val="en-GB"/>
        </w:rPr>
        <w:t>International Journal of Social Science and Business</w:t>
      </w:r>
      <w:r>
        <w:rPr>
          <w:color w:val="000000"/>
          <w:lang w:val="en-GB"/>
        </w:rPr>
        <w:t>, 5(3), pp.346–353.</w:t>
      </w:r>
    </w:p>
    <w:p w14:paraId="0000008B">
      <w:pPr>
        <w:pStyle w:val="Normal(Web)"/>
        <w:spacing w:after="240" w:line="360" w:lineRule="auto"/>
        <w:jc w:val="both"/>
        <w:rPr>
          <w:color w:val="000000"/>
          <w:lang w:val="en-GB"/>
        </w:rPr>
      </w:pPr>
      <w:r>
        <w:rPr>
          <w:color w:val="000000"/>
          <w:lang w:val="en-GB"/>
        </w:rPr>
        <w:t>Sharma, A., Shin, H., Santa-María, M.J. and Nicolau, J.L.</w:t>
      </w:r>
      <w:r>
        <w:rPr>
          <w:color w:val="000000"/>
          <w:lang w:val="en-GB"/>
        </w:rPr>
        <w:t xml:space="preserve"> (</w:t>
      </w:r>
      <w:r>
        <w:rPr>
          <w:color w:val="000000"/>
          <w:lang w:val="en-GB"/>
        </w:rPr>
        <w:t>2021</w:t>
      </w:r>
      <w:r>
        <w:rPr>
          <w:color w:val="000000"/>
          <w:lang w:val="en-GB"/>
        </w:rPr>
        <w:t>)</w:t>
      </w:r>
      <w:r>
        <w:rPr>
          <w:color w:val="000000"/>
          <w:lang w:val="en-GB"/>
        </w:rPr>
        <w:t xml:space="preserve"> Hotels' COVID-19 innovation and performance. </w:t>
      </w:r>
      <w:r>
        <w:rPr>
          <w:i/>
          <w:iCs/>
          <w:color w:val="000000"/>
          <w:lang w:val="en-GB"/>
        </w:rPr>
        <w:t>Annals of Tourism Research</w:t>
      </w:r>
      <w:r>
        <w:rPr>
          <w:color w:val="000000"/>
          <w:lang w:val="en-GB"/>
        </w:rPr>
        <w:t xml:space="preserve">, </w:t>
      </w:r>
      <w:r>
        <w:rPr>
          <w:i/>
          <w:iCs/>
          <w:color w:val="000000"/>
          <w:lang w:val="en-GB"/>
        </w:rPr>
        <w:t>88</w:t>
      </w:r>
      <w:r>
        <w:rPr>
          <w:color w:val="000000"/>
          <w:lang w:val="en-GB"/>
        </w:rPr>
        <w:t>, p.103180.</w:t>
      </w:r>
    </w:p>
    <w:p w14:paraId="0000008C">
      <w:pPr>
        <w:pStyle w:val="Normal(Web)"/>
        <w:spacing w:before="0" w:after="240" w:line="360" w:lineRule="auto"/>
        <w:jc w:val="both"/>
        <w:rPr>
          <w:color w:val="000000"/>
          <w:lang w:val="en-GB"/>
        </w:rPr>
      </w:pPr>
      <w:r>
        <w:rPr>
          <w:color w:val="000000"/>
          <w:lang w:val="en-GB"/>
        </w:rPr>
        <w:t>Sheel, A. (2016) 2016 – A Year in Review for Hotel Industry Firms.</w:t>
      </w:r>
      <w:r>
        <w:rPr>
          <w:rStyle w:val="Apple-converted-space"/>
          <w:rFonts w:eastAsiaTheme="majorEastAsia"/>
          <w:color w:val="000000"/>
          <w:lang w:val="en-GB"/>
        </w:rPr>
        <w:t> </w:t>
      </w:r>
      <w:r>
        <w:rPr>
          <w:i/>
          <w:iCs/>
          <w:color w:val="000000"/>
          <w:lang w:val="en-GB"/>
        </w:rPr>
        <w:t>The Journal of Hospitality Financial Management</w:t>
      </w:r>
      <w:r>
        <w:rPr>
          <w:color w:val="000000"/>
          <w:lang w:val="en-GB"/>
        </w:rPr>
        <w:t xml:space="preserve">, 24(2), pp.89–91. </w:t>
      </w:r>
    </w:p>
    <w:p w14:paraId="0000008D">
      <w:pPr>
        <w:pStyle w:val="Normal(Web)"/>
        <w:spacing w:after="240" w:line="360" w:lineRule="auto"/>
        <w:jc w:val="both"/>
        <w:rPr>
          <w:color w:val="000000"/>
          <w:lang w:val="en-GB"/>
        </w:rPr>
      </w:pPr>
      <w:r>
        <w:rPr>
          <w:color w:val="000000"/>
          <w:lang w:val="en-GB"/>
        </w:rPr>
        <w:t>Suranta, E., Satrio, M.A.B. and Midiastuty, P.P.</w:t>
      </w:r>
      <w:r>
        <w:rPr>
          <w:color w:val="000000"/>
          <w:lang w:val="en-GB"/>
        </w:rPr>
        <w:t xml:space="preserve"> (</w:t>
      </w:r>
      <w:r>
        <w:rPr>
          <w:color w:val="000000"/>
          <w:lang w:val="en-GB"/>
        </w:rPr>
        <w:t>2023</w:t>
      </w:r>
      <w:r>
        <w:rPr>
          <w:color w:val="000000"/>
          <w:lang w:val="en-GB"/>
        </w:rPr>
        <w:t>)</w:t>
      </w:r>
      <w:r>
        <w:rPr>
          <w:color w:val="000000"/>
          <w:lang w:val="en-GB"/>
        </w:rPr>
        <w:t xml:space="preserve"> Effect of Investment, Free Cash Flow, Earnings Management, Interest Coverage Ratio, Liquidity, and Leverage on Financial Distress. </w:t>
      </w:r>
      <w:r>
        <w:rPr>
          <w:i/>
          <w:iCs/>
          <w:color w:val="000000"/>
          <w:lang w:val="en-GB"/>
        </w:rPr>
        <w:t>Ilomata International Journal of Tax and Accounting</w:t>
      </w:r>
      <w:r>
        <w:rPr>
          <w:color w:val="000000"/>
          <w:lang w:val="en-GB"/>
        </w:rPr>
        <w:t xml:space="preserve">, </w:t>
      </w:r>
      <w:r>
        <w:rPr>
          <w:i/>
          <w:iCs/>
          <w:color w:val="000000"/>
          <w:lang w:val="en-GB"/>
        </w:rPr>
        <w:t>4</w:t>
      </w:r>
      <w:r>
        <w:rPr>
          <w:color w:val="000000"/>
          <w:lang w:val="en-GB"/>
        </w:rPr>
        <w:t>(2), pp.283-295.</w:t>
      </w:r>
    </w:p>
    <w:p w14:paraId="0000008E">
      <w:pPr>
        <w:pStyle w:val="Normal(Web)"/>
        <w:spacing w:before="0" w:after="240" w:line="360" w:lineRule="auto"/>
        <w:jc w:val="both"/>
        <w:rPr>
          <w:color w:val="000000"/>
          <w:lang w:val="en-GB"/>
        </w:rPr>
      </w:pPr>
      <w:r>
        <w:rPr>
          <w:color w:val="000000"/>
          <w:lang w:val="en-GB"/>
        </w:rPr>
        <w:t>Tranter,</w:t>
      </w:r>
      <w:r>
        <w:rPr>
          <w:color w:val="000000"/>
          <w:lang w:val="en-GB"/>
        </w:rPr>
        <w:t xml:space="preserve"> </w:t>
      </w:r>
      <w:r>
        <w:rPr>
          <w:color w:val="000000"/>
          <w:lang w:val="en-GB"/>
        </w:rPr>
        <w:t>K.</w:t>
      </w:r>
      <w:r>
        <w:rPr>
          <w:color w:val="000000"/>
          <w:lang w:val="en-GB"/>
        </w:rPr>
        <w:t>,</w:t>
      </w:r>
      <w:r>
        <w:rPr>
          <w:color w:val="000000"/>
          <w:lang w:val="en-GB"/>
        </w:rPr>
        <w:t xml:space="preserve"> Stuart-Hill,</w:t>
      </w:r>
      <w:r>
        <w:rPr>
          <w:color w:val="000000"/>
          <w:lang w:val="en-GB"/>
        </w:rPr>
        <w:t xml:space="preserve"> </w:t>
      </w:r>
      <w:r>
        <w:rPr>
          <w:color w:val="000000"/>
          <w:lang w:val="en-GB"/>
        </w:rPr>
        <w:t xml:space="preserve">T. </w:t>
      </w:r>
      <w:r>
        <w:rPr>
          <w:color w:val="000000"/>
          <w:lang w:val="en-GB"/>
        </w:rPr>
        <w:t xml:space="preserve">and </w:t>
      </w:r>
      <w:r>
        <w:rPr>
          <w:color w:val="000000"/>
          <w:lang w:val="en-GB"/>
        </w:rPr>
        <w:t>Parker,</w:t>
      </w:r>
      <w:r>
        <w:rPr>
          <w:color w:val="000000"/>
          <w:lang w:val="en-GB"/>
        </w:rPr>
        <w:t xml:space="preserve"> </w:t>
      </w:r>
      <w:r>
        <w:rPr>
          <w:color w:val="000000"/>
          <w:lang w:val="en-GB"/>
        </w:rPr>
        <w:t xml:space="preserve">J. (2014) </w:t>
      </w:r>
      <w:r>
        <w:rPr>
          <w:i/>
          <w:iCs/>
          <w:color w:val="000000"/>
          <w:lang w:val="en-GB"/>
        </w:rPr>
        <w:t>Introduction to</w:t>
      </w:r>
      <w:r>
        <w:rPr>
          <w:i/>
          <w:iCs/>
          <w:color w:val="000000"/>
          <w:lang w:val="en-GB"/>
        </w:rPr>
        <w:t xml:space="preserve"> </w:t>
      </w:r>
      <w:r>
        <w:rPr>
          <w:i/>
          <w:iCs/>
          <w:color w:val="000000"/>
          <w:lang w:val="en-GB"/>
        </w:rPr>
        <w:t>Revenue Management for the Hospitality Industry</w:t>
      </w:r>
      <w:r>
        <w:rPr>
          <w:i/>
          <w:iCs/>
          <w:color w:val="000000"/>
          <w:lang w:val="en-GB"/>
        </w:rPr>
        <w:t>.</w:t>
      </w:r>
      <w:r>
        <w:rPr>
          <w:color w:val="000000"/>
          <w:lang w:val="en-GB"/>
        </w:rPr>
        <w:t xml:space="preserve"> London,</w:t>
      </w:r>
      <w:r>
        <w:rPr>
          <w:color w:val="000000"/>
          <w:lang w:val="en-GB"/>
        </w:rPr>
        <w:t xml:space="preserve"> </w:t>
      </w:r>
      <w:r>
        <w:rPr>
          <w:color w:val="000000"/>
          <w:lang w:val="en-GB"/>
        </w:rPr>
        <w:t>Pearson</w:t>
      </w:r>
      <w:r>
        <w:rPr>
          <w:color w:val="000000"/>
          <w:lang w:val="en-GB"/>
        </w:rPr>
        <w:t>.</w:t>
      </w:r>
    </w:p>
    <w:p w14:paraId="0000008F">
      <w:pPr>
        <w:pStyle w:val="Normal(Web)"/>
        <w:spacing w:before="0" w:after="240" w:line="360" w:lineRule="auto"/>
        <w:jc w:val="both"/>
        <w:rPr>
          <w:lang w:val="en-GB"/>
        </w:rPr>
      </w:pPr>
      <w:r>
        <w:rPr>
          <w:lang w:val="en-GB"/>
        </w:rPr>
        <w:t>Tsviliy, S., Gurova, D. and Kuklina, T.</w:t>
      </w:r>
      <w:r>
        <w:rPr>
          <w:lang w:val="en-GB"/>
        </w:rPr>
        <w:t xml:space="preserve"> (</w:t>
      </w:r>
      <w:r>
        <w:rPr>
          <w:lang w:val="en-GB"/>
        </w:rPr>
        <w:t>2021</w:t>
      </w:r>
      <w:r>
        <w:rPr>
          <w:lang w:val="en-GB"/>
        </w:rPr>
        <w:t>)</w:t>
      </w:r>
      <w:r>
        <w:rPr>
          <w:lang w:val="en-GB"/>
        </w:rPr>
        <w:t xml:space="preserve"> Marketing competitiveness of hotel and restaurant enterprise: theoretical approach and methods of definition. </w:t>
      </w:r>
      <w:r>
        <w:rPr>
          <w:i/>
          <w:iCs/>
          <w:lang w:val="en-GB"/>
        </w:rPr>
        <w:t>VUZF Review</w:t>
      </w:r>
      <w:r>
        <w:rPr>
          <w:lang w:val="en-GB"/>
        </w:rPr>
        <w:t xml:space="preserve">, </w:t>
      </w:r>
      <w:r>
        <w:rPr>
          <w:i/>
          <w:iCs/>
          <w:lang w:val="en-GB"/>
        </w:rPr>
        <w:t>6</w:t>
      </w:r>
      <w:r>
        <w:rPr>
          <w:lang w:val="en-GB"/>
        </w:rPr>
        <w:t>(2), p.30.</w:t>
      </w:r>
    </w:p>
    <w:p w14:paraId="00000090">
      <w:pPr>
        <w:pStyle w:val="Normal(Web)"/>
        <w:spacing w:after="240" w:line="360" w:lineRule="auto"/>
        <w:jc w:val="both"/>
        <w:rPr>
          <w:color w:val="000000"/>
          <w:lang w:val="en-GB"/>
        </w:rPr>
      </w:pPr>
      <w:r>
        <w:rPr>
          <w:color w:val="000000"/>
          <w:lang w:val="en-GB"/>
        </w:rPr>
        <w:t>Walker</w:t>
      </w:r>
      <w:r>
        <w:rPr>
          <w:color w:val="000000"/>
          <w:lang w:val="en-GB"/>
        </w:rPr>
        <w:t>,</w:t>
      </w:r>
      <w:r>
        <w:rPr>
          <w:color w:val="000000"/>
          <w:lang w:val="en-GB"/>
        </w:rPr>
        <w:t xml:space="preserve"> J</w:t>
      </w:r>
      <w:r>
        <w:rPr>
          <w:color w:val="000000"/>
          <w:lang w:val="en-GB"/>
        </w:rPr>
        <w:t>.</w:t>
      </w:r>
      <w:r>
        <w:rPr>
          <w:color w:val="000000"/>
          <w:lang w:val="en-GB"/>
        </w:rPr>
        <w:t xml:space="preserve"> (2021) </w:t>
      </w:r>
      <w:r>
        <w:rPr>
          <w:i/>
          <w:iCs/>
          <w:color w:val="000000"/>
          <w:lang w:val="en-GB"/>
        </w:rPr>
        <w:t>Introduction to Hospitality</w:t>
      </w:r>
      <w:r>
        <w:rPr>
          <w:color w:val="000000"/>
          <w:lang w:val="en-GB"/>
        </w:rPr>
        <w:t xml:space="preserve">. </w:t>
      </w:r>
      <w:r>
        <w:rPr>
          <w:color w:val="000000"/>
          <w:lang w:val="en-GB"/>
        </w:rPr>
        <w:t>Harlow, Pearson</w:t>
      </w:r>
      <w:r>
        <w:rPr>
          <w:color w:val="000000"/>
          <w:lang w:val="en-GB"/>
        </w:rPr>
        <w:t>.</w:t>
      </w:r>
    </w:p>
    <w:p w14:paraId="00000091">
      <w:pPr>
        <w:pStyle w:val="Normal(Web)"/>
        <w:spacing w:before="0" w:after="240" w:line="360" w:lineRule="auto"/>
        <w:jc w:val="both"/>
        <w:rPr>
          <w:color w:val="000000"/>
          <w:lang w:val="en-GB"/>
        </w:rPr>
      </w:pPr>
      <w:r>
        <w:rPr>
          <w:color w:val="000000"/>
          <w:lang w:val="en-GB"/>
        </w:rPr>
        <w:t>Xu, X. and Gursoy, D.</w:t>
      </w:r>
      <w:r>
        <w:rPr>
          <w:color w:val="000000"/>
          <w:lang w:val="en-GB"/>
        </w:rPr>
        <w:t xml:space="preserve"> (</w:t>
      </w:r>
      <w:r>
        <w:rPr>
          <w:color w:val="000000"/>
          <w:lang w:val="en-GB"/>
        </w:rPr>
        <w:t>2015</w:t>
      </w:r>
      <w:r>
        <w:rPr>
          <w:color w:val="000000"/>
          <w:lang w:val="en-GB"/>
        </w:rPr>
        <w:t>)</w:t>
      </w:r>
      <w:r>
        <w:rPr>
          <w:color w:val="000000"/>
          <w:lang w:val="en-GB"/>
        </w:rPr>
        <w:t xml:space="preserve"> Influence of sustainable hospitality supply chain management on customers’ attitudes and behaviors. </w:t>
      </w:r>
      <w:r>
        <w:rPr>
          <w:i/>
          <w:iCs/>
          <w:color w:val="000000"/>
          <w:lang w:val="en-GB"/>
        </w:rPr>
        <w:t>International journal of hospitality management</w:t>
      </w:r>
      <w:r>
        <w:rPr>
          <w:color w:val="000000"/>
          <w:lang w:val="en-GB"/>
        </w:rPr>
        <w:t xml:space="preserve">, </w:t>
      </w:r>
      <w:r>
        <w:rPr>
          <w:i/>
          <w:iCs/>
          <w:color w:val="000000"/>
          <w:lang w:val="en-GB"/>
        </w:rPr>
        <w:t>49</w:t>
      </w:r>
      <w:r>
        <w:rPr>
          <w:color w:val="000000"/>
          <w:lang w:val="en-GB"/>
        </w:rPr>
        <w:t>, pp.105-116.</w:t>
      </w:r>
    </w:p>
    <w:p w14:paraId="00000092">
      <w:pPr>
        <w:rPr>
          <w:rFonts w:cs="Times New Roman"/>
          <w:lang w:val="en-GB"/>
        </w:rPr>
      </w:pPr>
    </w:p>
    <w:sectPr>
      <w:footerReference w:type="default" r:id="rId13"/>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line="240" w:lineRule="auto"/>
        <w:rPr/>
      </w:pPr>
      <w:r>
        <w:rPr/>
        <w:separator/>
      </w:r>
    </w:p>
  </w:endnote>
  <w:endnote w:type="continuationSeparator" w:id="1">
    <w:p w14:paraId="00000004">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93">
    <w:pPr>
      <w:pStyle w:val="Footer"/>
      <w:jc w:val="right"/>
      <w:rPr/>
    </w:pPr>
    <w:r>
      <w:rPr>
        <w:lang w:val="en-GB"/>
      </w:rPr>
      <w:fldChar w:fldCharType="begin"/>
    </w:r>
    <w:r>
      <w:rPr>
        <w:lang w:val="en-GB"/>
      </w:rPr>
      <w:instrText xml:space="preserve">PAGE   \* MERGEFORMAT</w:instrText>
    </w:r>
    <w:r>
      <w:rPr>
        <w:lang w:val="en-GB"/>
      </w:rPr>
      <w:fldChar w:fldCharType="separate"/>
    </w:r>
    <w:r>
      <w:rPr>
        <w:lang w:val="en-GB"/>
      </w:rPr>
      <w:t>2</w:t>
    </w:r>
    <w:r>
      <w:fldChar w:fldCharType="end"/>
    </w:r>
  </w:p>
  <w:p w14:paraId="00000094">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line="240" w:lineRule="auto"/>
        <w:rPr/>
      </w:pPr>
      <w:r>
        <w:rPr/>
        <w:separator/>
      </w:r>
    </w:p>
  </w:footnote>
  <w:footnote w:type="continuationSeparator" w:id="1">
    <w:p w14:paraId="00000002">
      <w:pPr>
        <w:spacing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multiLevelType w:val="hybridMultilevel"/>
    <w:lvl w:ilvl="0" w:tentative="0">
      <w:start w:val="1"/>
      <w:numFmt w:val="bullet"/>
      <w:lvlText w:val=""/>
      <w:lvlJc w:val="left"/>
      <w:pPr>
        <w:ind w:left="502"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zMLW0tDQ1NLE0MzNT0lEKTi0uzszPAykwrAUAGhGAtSwAAAA="/>
  </w:docVars>
  <w:rsids>
    <w:rsidRoot w:val="007212FB"/>
    <w:rsid w:val="000270EB"/>
    <w:rsid w:val="0003222B"/>
    <w:rsid w:val="0003466F"/>
    <w:rsid w:val="0004617A"/>
    <w:rsid w:val="00054FCE"/>
    <w:rsid w:val="00067FA9"/>
    <w:rsid w:val="000C6582"/>
    <w:rsid w:val="000E343B"/>
    <w:rsid w:val="00135D09"/>
    <w:rsid w:val="0015229B"/>
    <w:rsid w:val="00177DA1"/>
    <w:rsid w:val="001A07AE"/>
    <w:rsid w:val="001A5A30"/>
    <w:rsid w:val="001D0AA3"/>
    <w:rsid w:val="001E5322"/>
    <w:rsid w:val="001F419E"/>
    <w:rsid w:val="00247F0C"/>
    <w:rsid w:val="002A4B53"/>
    <w:rsid w:val="002B74A1"/>
    <w:rsid w:val="002E3161"/>
    <w:rsid w:val="00326D5A"/>
    <w:rsid w:val="003526AB"/>
    <w:rsid w:val="00364D04"/>
    <w:rsid w:val="00387259"/>
    <w:rsid w:val="003A46EF"/>
    <w:rsid w:val="003B0E66"/>
    <w:rsid w:val="004A0809"/>
    <w:rsid w:val="00511ED0"/>
    <w:rsid w:val="00512778"/>
    <w:rsid w:val="00515F50"/>
    <w:rsid w:val="0052748E"/>
    <w:rsid w:val="005532CB"/>
    <w:rsid w:val="005838E4"/>
    <w:rsid w:val="005C683A"/>
    <w:rsid w:val="005C718A"/>
    <w:rsid w:val="005F5DD3"/>
    <w:rsid w:val="0062040E"/>
    <w:rsid w:val="00655E78"/>
    <w:rsid w:val="00670846"/>
    <w:rsid w:val="006C2054"/>
    <w:rsid w:val="006C44F5"/>
    <w:rsid w:val="006F0297"/>
    <w:rsid w:val="00702693"/>
    <w:rsid w:val="007212FB"/>
    <w:rsid w:val="00744E09"/>
    <w:rsid w:val="00761D1A"/>
    <w:rsid w:val="00797D3D"/>
    <w:rsid w:val="007E5BCC"/>
    <w:rsid w:val="0082132A"/>
    <w:rsid w:val="00825FA9"/>
    <w:rsid w:val="00854697"/>
    <w:rsid w:val="00860D45"/>
    <w:rsid w:val="0088141C"/>
    <w:rsid w:val="008F6A39"/>
    <w:rsid w:val="00942D45"/>
    <w:rsid w:val="009956C8"/>
    <w:rsid w:val="009D16E3"/>
    <w:rsid w:val="009D3C3D"/>
    <w:rsid w:val="00A11A63"/>
    <w:rsid w:val="00A3294C"/>
    <w:rsid w:val="00AD11F5"/>
    <w:rsid w:val="00AD7AB3"/>
    <w:rsid w:val="00B2551F"/>
    <w:rsid w:val="00B9774E"/>
    <w:rsid w:val="00BC48DA"/>
    <w:rsid w:val="00BD7AF0"/>
    <w:rsid w:val="00BE02A0"/>
    <w:rsid w:val="00BF684F"/>
    <w:rsid w:val="00C00F73"/>
    <w:rsid w:val="00C321F1"/>
    <w:rsid w:val="00C761CE"/>
    <w:rsid w:val="00CB4F22"/>
    <w:rsid w:val="00CC3782"/>
    <w:rsid w:val="00CD56C9"/>
    <w:rsid w:val="00CE25A3"/>
    <w:rsid w:val="00CF366A"/>
    <w:rsid w:val="00D05428"/>
    <w:rsid w:val="00D05EB4"/>
    <w:rsid w:val="00D073C1"/>
    <w:rsid w:val="00D24CE6"/>
    <w:rsid w:val="00D43309"/>
    <w:rsid w:val="00DB61D3"/>
    <w:rsid w:val="00DF1343"/>
    <w:rsid w:val="00DF72D8"/>
    <w:rsid w:val="00E01E53"/>
    <w:rsid w:val="00E364CF"/>
    <w:rsid w:val="00E77B1E"/>
    <w:rsid w:val="00E85E06"/>
    <w:rsid w:val="00EA3AF6"/>
    <w:rsid w:val="00ED0674"/>
    <w:rsid w:val="00ED3C86"/>
    <w:rsid w:val="00EF1B52"/>
    <w:rsid w:val="00F30540"/>
    <w:rsid w:val="00F75F99"/>
    <w:rsid w:val="00F97A05"/>
    <w:rsid w:val="00FA476C"/>
    <w:rsid w:val="00FC4898"/>
    <w:rsid w:val="00FC5FC5"/>
    <w:rsid w:val="00FE7428"/>
    <w:rsid w:val="00FF3A3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B499DB"/>
  <w15:chartTrackingRefBase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Mangal" w:eastAsiaTheme="minorHAnsi" w:hAnsi="Times New Roman"/>
        <w:b/>
        <w:sz w:val="24"/>
        <w:szCs w:val="28"/>
        <w:lang w:val="en-US" w:bidi="hi-IN" w:eastAsia="en-US"/>
        <w14:ligatures w14:val="standardContextual"/>
      </w:rPr>
    </w:rPrDefault>
    <w:pPrDefault/>
  </w:docDefaults>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line="360" w:lineRule="auto"/>
      <w:jc w:val="both"/>
    </w:pPr>
    <w:rPr>
      <w:b w:val="off"/>
    </w:rPr>
  </w:style>
  <w:style w:type="paragraph" w:styleId="Heading1">
    <w:name w:val="Heading 1"/>
    <w:basedOn w:val="Normal"/>
    <w:next w:val="Normal"/>
    <w:link w:val="Heading1Char"/>
    <w:uiPriority w:val="9"/>
    <w:qFormat w:val="on"/>
    <w:pPr>
      <w:keepNext w:val="on"/>
      <w:keepLines w:val="on"/>
      <w:spacing w:before="240"/>
    </w:pPr>
    <w:rPr>
      <w:rFonts w:cstheme="majorBidi" w:eastAsiaTheme="majorEastAsia"/>
      <w:b/>
      <w:color w:val="000000" w:themeColor="text1"/>
      <w:sz w:val="32"/>
      <w:szCs w:val="29"/>
    </w:rPr>
  </w:style>
  <w:style w:type="paragraph" w:styleId="Heading2">
    <w:name w:val="Heading 2"/>
    <w:basedOn w:val="Normal"/>
    <w:next w:val="Normal"/>
    <w:link w:val="Heading2Char"/>
    <w:uiPriority w:val="9"/>
    <w:unhideWhenUsed w:val="on"/>
    <w:qFormat w:val="on"/>
    <w:pPr>
      <w:keepNext w:val="on"/>
      <w:keepLines w:val="on"/>
      <w:spacing w:before="40"/>
    </w:pPr>
    <w:rPr>
      <w:rFonts w:cstheme="majorBidi" w:eastAsiaTheme="majorEastAsia"/>
      <w:b/>
      <w:color w:val="000000" w:themeColor="text1"/>
      <w:sz w:val="28"/>
      <w:szCs w:val="23"/>
    </w:rPr>
  </w:style>
  <w:style w:type="paragraph" w:styleId="Heading3">
    <w:name w:val="Heading 3"/>
    <w:basedOn w:val="Normal"/>
    <w:next w:val="Normal"/>
    <w:link w:val="Heading3Char"/>
    <w:uiPriority w:val="9"/>
    <w:unhideWhenUsed w:val="on"/>
    <w:qFormat w:val="on"/>
    <w:pPr>
      <w:keepNext w:val="on"/>
      <w:keepLines w:val="on"/>
      <w:spacing w:before="40"/>
    </w:pPr>
    <w:rPr>
      <w:rFonts w:cstheme="majorBidi" w:eastAsiaTheme="majorEastAsia"/>
      <w:color w:val="000000" w:themeColor="text1"/>
      <w:szCs w:val="21"/>
    </w:rPr>
  </w:style>
  <w:style w:type="paragraph" w:styleId="Heading4">
    <w:name w:val="Heading 4"/>
    <w:aliases w:val="Table paragraph"/>
    <w:basedOn w:val="Normal"/>
    <w:next w:val="Tableofauthorities"/>
    <w:link w:val="Heading4Char"/>
    <w:uiPriority w:val="9"/>
    <w:semiHidden w:val="on"/>
    <w:unhideWhenUsed w:val="on"/>
    <w:qFormat w:val="on"/>
    <w:pPr>
      <w:keepNext w:val="on"/>
      <w:keepLines w:val="on"/>
      <w:spacing w:before="40" w:line="240" w:lineRule="auto"/>
      <w:jc w:val="left"/>
    </w:pPr>
    <w:rPr>
      <w:rFonts w:cstheme="majorBidi" w:eastAsiaTheme="majorEastAsia"/>
      <w:i/>
      <w:iCs/>
      <w:color w:val="000000" w:themeColor="text1"/>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cstheme="majorBidi" w:eastAsiaTheme="majorEastAsia"/>
      <w:color w:val="000000" w:themeColor="text1"/>
      <w:sz w:val="32"/>
      <w:szCs w:val="29"/>
    </w:rPr>
  </w:style>
  <w:style w:type="character" w:customStyle="1" w:styleId="Heading2Char">
    <w:name w:val="Heading 2 Char"/>
    <w:basedOn w:val="DefaultParagraphFont"/>
    <w:link w:val="Heading2"/>
    <w:uiPriority w:val="9"/>
    <w:rPr>
      <w:rFonts w:cstheme="majorBidi" w:eastAsiaTheme="majorEastAsia"/>
      <w:color w:val="000000" w:themeColor="text1"/>
      <w:sz w:val="28"/>
      <w:szCs w:val="23"/>
    </w:rPr>
  </w:style>
  <w:style w:type="character" w:customStyle="1" w:styleId="Heading3Char">
    <w:name w:val="Heading 3 Char"/>
    <w:basedOn w:val="DefaultParagraphFont"/>
    <w:link w:val="Heading3"/>
    <w:uiPriority w:val="9"/>
    <w:rPr>
      <w:rFonts w:cstheme="majorBidi" w:eastAsiaTheme="majorEastAsia"/>
      <w:color w:val="000000" w:themeColor="text1"/>
      <w:szCs w:val="21"/>
    </w:rPr>
  </w:style>
  <w:style w:type="paragraph" w:styleId="NoSpacing">
    <w:name w:val="No Spacing"/>
    <w:uiPriority w:val="1"/>
    <w:qFormat w:val="on"/>
    <w:pPr>
      <w:jc w:val="both"/>
    </w:pPr>
    <w:rPr>
      <w:b w:val="off"/>
    </w:rPr>
  </w:style>
  <w:style w:type="table" w:styleId="TableGrid">
    <w:name w:val="Table Grid"/>
    <w:basedOn w:val="NormalTable"/>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val="on"/>
    <w:qFormat w:val="on"/>
    <w:pPr>
      <w:spacing w:before="480" w:line="276" w:lineRule="auto"/>
      <w:jc w:val="center"/>
    </w:pPr>
    <w:rPr>
      <w:bCs/>
      <w:szCs w:val="28"/>
      <w:lang w:bidi="ar-SA"/>
    </w:rPr>
  </w:style>
  <w:style w:type="paragraph" w:styleId="Toc1">
    <w:name w:val="Toc 1"/>
    <w:basedOn w:val="Normal"/>
    <w:next w:val="Normal"/>
    <w:uiPriority w:val="39"/>
    <w:unhideWhenUsed w:val="on"/>
    <w:qFormat w:val="on"/>
    <w:pPr>
      <w:spacing w:before="120"/>
      <w:jc w:val="left"/>
    </w:pPr>
    <w:rPr>
      <w:bCs/>
      <w:iCs/>
      <w:color w:val="000000" w:themeColor="text1"/>
      <w:szCs w:val="20"/>
    </w:rPr>
  </w:style>
  <w:style w:type="paragraph" w:styleId="Toc2">
    <w:name w:val="Toc 2"/>
    <w:basedOn w:val="Normal"/>
    <w:next w:val="Normal"/>
    <w:uiPriority w:val="39"/>
    <w:unhideWhenUsed w:val="on"/>
    <w:qFormat w:val="on"/>
    <w:pPr>
      <w:spacing w:before="120"/>
      <w:ind w:left="240"/>
      <w:jc w:val="left"/>
    </w:pPr>
    <w:rPr>
      <w:bCs/>
      <w:color w:val="000000" w:themeColor="text1"/>
      <w:szCs w:val="18"/>
    </w:rPr>
  </w:style>
  <w:style w:type="paragraph" w:styleId="Toc3">
    <w:name w:val="Toc 3"/>
    <w:basedOn w:val="Normal"/>
    <w:next w:val="Normal"/>
    <w:uiPriority w:val="39"/>
    <w:semiHidden w:val="on"/>
    <w:unhideWhenUsed w:val="on"/>
    <w:qFormat w:val="on"/>
    <w:pPr>
      <w:ind w:left="480"/>
      <w:jc w:val="left"/>
    </w:pPr>
    <w:rPr>
      <w:color w:val="000000" w:themeColor="text1"/>
      <w:sz w:val="22"/>
      <w:szCs w:val="16"/>
    </w:rPr>
  </w:style>
  <w:style w:type="paragraph" w:styleId="Toc4">
    <w:name w:val="Toc 4"/>
    <w:basedOn w:val="Normal"/>
    <w:next w:val="Normal"/>
    <w:uiPriority w:val="39"/>
    <w:semiHidden w:val="on"/>
    <w:unhideWhenUsed w:val="on"/>
    <w:pPr>
      <w:ind w:left="720"/>
      <w:jc w:val="left"/>
    </w:pPr>
    <w:rPr>
      <w:rFonts w:asciiTheme="minorHAnsi" w:hAnsiTheme="minorHAnsi"/>
      <w:sz w:val="20"/>
      <w:szCs w:val="16"/>
    </w:rPr>
  </w:style>
  <w:style w:type="paragraph" w:styleId="Toc5">
    <w:name w:val="Toc 5"/>
    <w:basedOn w:val="Normal"/>
    <w:next w:val="Normal"/>
    <w:uiPriority w:val="39"/>
    <w:semiHidden w:val="on"/>
    <w:unhideWhenUsed w:val="on"/>
    <w:pPr>
      <w:ind w:left="960"/>
      <w:jc w:val="left"/>
    </w:pPr>
    <w:rPr>
      <w:rFonts w:asciiTheme="minorHAnsi" w:hAnsiTheme="minorHAnsi"/>
      <w:sz w:val="20"/>
      <w:szCs w:val="16"/>
    </w:rPr>
  </w:style>
  <w:style w:type="paragraph" w:styleId="Toc6">
    <w:name w:val="Toc 6"/>
    <w:basedOn w:val="Normal"/>
    <w:next w:val="Normal"/>
    <w:uiPriority w:val="39"/>
    <w:semiHidden w:val="on"/>
    <w:unhideWhenUsed w:val="on"/>
    <w:pPr>
      <w:ind w:left="1200"/>
      <w:jc w:val="left"/>
    </w:pPr>
    <w:rPr>
      <w:rFonts w:asciiTheme="minorHAnsi" w:hAnsiTheme="minorHAnsi"/>
      <w:sz w:val="20"/>
      <w:szCs w:val="16"/>
    </w:rPr>
  </w:style>
  <w:style w:type="paragraph" w:styleId="Toc7">
    <w:name w:val="Toc 7"/>
    <w:basedOn w:val="Normal"/>
    <w:next w:val="Normal"/>
    <w:uiPriority w:val="39"/>
    <w:semiHidden w:val="on"/>
    <w:unhideWhenUsed w:val="on"/>
    <w:pPr>
      <w:ind w:left="1440"/>
      <w:jc w:val="left"/>
    </w:pPr>
    <w:rPr>
      <w:rFonts w:asciiTheme="minorHAnsi" w:hAnsiTheme="minorHAnsi"/>
      <w:sz w:val="20"/>
      <w:szCs w:val="16"/>
    </w:rPr>
  </w:style>
  <w:style w:type="paragraph" w:styleId="Toc8">
    <w:name w:val="Toc 8"/>
    <w:basedOn w:val="Normal"/>
    <w:next w:val="Normal"/>
    <w:uiPriority w:val="39"/>
    <w:semiHidden w:val="on"/>
    <w:unhideWhenUsed w:val="on"/>
    <w:pPr>
      <w:ind w:left="1680"/>
      <w:jc w:val="left"/>
    </w:pPr>
    <w:rPr>
      <w:rFonts w:asciiTheme="minorHAnsi" w:hAnsiTheme="minorHAnsi"/>
      <w:sz w:val="20"/>
      <w:szCs w:val="16"/>
    </w:rPr>
  </w:style>
  <w:style w:type="paragraph" w:styleId="Toc9">
    <w:name w:val="Toc 9"/>
    <w:basedOn w:val="Normal"/>
    <w:next w:val="Normal"/>
    <w:uiPriority w:val="39"/>
    <w:semiHidden w:val="on"/>
    <w:unhideWhenUsed w:val="on"/>
    <w:pPr>
      <w:ind w:left="1920"/>
      <w:jc w:val="left"/>
    </w:pPr>
    <w:rPr>
      <w:rFonts w:asciiTheme="minorHAnsi" w:hAnsiTheme="minorHAnsi"/>
      <w:sz w:val="20"/>
      <w:szCs w:val="16"/>
    </w:rPr>
  </w:style>
  <w:style w:type="character" w:styleId="Hyperlink">
    <w:name w:val="Hyperlink"/>
    <w:basedOn w:val="DefaultParagraphFont"/>
    <w:uiPriority w:val="99"/>
    <w:unhideWhenUsed w:val="on"/>
    <w:rPr>
      <w:color w:val="0563c1" w:themeColor="hyperlink"/>
      <w:u w:val="single"/>
    </w:rPr>
  </w:style>
  <w:style w:type="character" w:customStyle="1" w:styleId="Heading4Char">
    <w:name w:val="Heading 4 Char"/>
    <w:aliases w:val="Table paragraph Char"/>
    <w:basedOn w:val="DefaultParagraphFont"/>
    <w:link w:val="Heading4"/>
    <w:uiPriority w:val="9"/>
    <w:semiHidden w:val="on"/>
    <w:rPr>
      <w:rFonts w:cstheme="majorBidi" w:eastAsiaTheme="majorEastAsia"/>
      <w:b w:val="off"/>
      <w:i/>
      <w:iCs/>
      <w:color w:val="000000" w:themeColor="text1"/>
    </w:rPr>
  </w:style>
  <w:style w:type="paragraph" w:styleId="Tableofauthorities">
    <w:name w:val="Table of authorities"/>
    <w:basedOn w:val="Normal"/>
    <w:next w:val="Normal"/>
    <w:uiPriority w:val="99"/>
    <w:semiHidden w:val="on"/>
    <w:unhideWhenUsed w:val="on"/>
    <w:pPr>
      <w:ind w:left="240" w:hanging="240"/>
    </w:pPr>
  </w:style>
  <w:style w:type="paragraph" w:styleId="ListParagraph">
    <w:name w:val="List Paragraph"/>
    <w:basedOn w:val="Normal"/>
    <w:uiPriority w:val="34"/>
    <w:qFormat w:val="on"/>
    <w:pPr>
      <w:ind w:left="720"/>
      <w:contextualSpacing w:val="on"/>
    </w:pPr>
  </w:style>
  <w:style w:type="paragraph" w:styleId="Normal(Web)">
    <w:name w:val="Normal (Web)"/>
    <w:basedOn w:val="Normal"/>
    <w:uiPriority w:val="99"/>
    <w:unhideWhenUsed w:val="on"/>
    <w:pPr>
      <w:spacing w:before="100" w:after="100" w:line="240" w:lineRule="auto"/>
      <w:jc w:val="left"/>
    </w:pPr>
    <w:rPr>
      <w:rFonts w:cs="Times New Roman" w:eastAsia="Times New Roman"/>
      <w:szCs w:val="24"/>
      <w:lang w:eastAsia="en-GB"/>
    </w:rPr>
  </w:style>
  <w:style w:type="character" w:customStyle="1" w:styleId="Apple-converted-space">
    <w:name w:val="Apple-converted-space"/>
    <w:basedOn w:val="DefaultParagraphFont"/>
    <w:uiPriority w:val="99"/>
  </w:style>
  <w:style w:type="paragraph" w:styleId="Header">
    <w:name w:val="Header"/>
    <w:basedOn w:val="Normal"/>
    <w:link w:val="HeaderChar"/>
    <w:uiPriority w:val="99"/>
    <w:unhideWhenUsed w:val="on"/>
    <w:pPr>
      <w:tabs>
        <w:tab w:val="center" w:pos="4513"/>
        <w:tab w:val="right" w:pos="9026"/>
      </w:tabs>
      <w:spacing w:line="240" w:lineRule="auto"/>
    </w:pPr>
  </w:style>
  <w:style w:type="character" w:customStyle="1" w:styleId="HeaderChar">
    <w:name w:val="Header Char"/>
    <w:basedOn w:val="DefaultParagraphFont"/>
    <w:link w:val="Header"/>
    <w:uiPriority w:val="99"/>
    <w:rPr>
      <w:b w:val="off"/>
    </w:rPr>
  </w:style>
  <w:style w:type="paragraph" w:styleId="Footer">
    <w:name w:val="Footer"/>
    <w:basedOn w:val="Normal"/>
    <w:link w:val="FooterChar"/>
    <w:uiPriority w:val="99"/>
    <w:unhideWhenUsed w:val="on"/>
    <w:pPr>
      <w:tabs>
        <w:tab w:val="center" w:pos="4513"/>
        <w:tab w:val="right" w:pos="9026"/>
      </w:tabs>
      <w:spacing w:line="240" w:lineRule="auto"/>
    </w:pPr>
  </w:style>
  <w:style w:type="character" w:customStyle="1" w:styleId="FooterChar">
    <w:name w:val="Footer Char"/>
    <w:basedOn w:val="DefaultParagraphFont"/>
    <w:link w:val="Footer"/>
    <w:uiPriority w:val="99"/>
    <w:rPr>
      <w:b w:val="o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922952">
      <w:bodyDiv w:val="1"/>
      <w:marLeft w:val="0"/>
      <w:marRight w:val="0"/>
      <w:marTop w:val="0"/>
      <w:marBottom w:val="0"/>
      <w:divBdr>
        <w:top w:val="none" w:sz="0" w:space="0" w:color="auto"/>
        <w:left w:val="none" w:sz="0" w:space="0" w:color="auto"/>
        <w:bottom w:val="none" w:sz="0" w:space="0" w:color="auto"/>
        <w:right w:val="none" w:sz="0" w:space="0" w:color="auto"/>
      </w:divBdr>
      <w:divsChild>
        <w:div w:id="274483753">
          <w:marLeft w:val="0"/>
          <w:marRight w:val="0"/>
          <w:marTop w:val="0"/>
          <w:marBottom w:val="0"/>
          <w:divBdr>
            <w:top w:val="none" w:sz="0" w:space="0" w:color="auto"/>
            <w:left w:val="none" w:sz="0" w:space="0" w:color="auto"/>
            <w:bottom w:val="none" w:sz="0" w:space="0" w:color="auto"/>
            <w:right w:val="none" w:sz="0" w:space="0" w:color="auto"/>
          </w:divBdr>
        </w:div>
      </w:divsChild>
    </w:div>
    <w:div w:id="537355604">
      <w:bodyDiv w:val="1"/>
      <w:marLeft w:val="0"/>
      <w:marRight w:val="0"/>
      <w:marTop w:val="0"/>
      <w:marBottom w:val="0"/>
      <w:divBdr>
        <w:top w:val="none" w:sz="0" w:space="0" w:color="auto"/>
        <w:left w:val="none" w:sz="0" w:space="0" w:color="auto"/>
        <w:bottom w:val="none" w:sz="0" w:space="0" w:color="auto"/>
        <w:right w:val="none" w:sz="0" w:space="0" w:color="auto"/>
      </w:divBdr>
    </w:div>
    <w:div w:id="668286414">
      <w:bodyDiv w:val="1"/>
      <w:marLeft w:val="0"/>
      <w:marRight w:val="0"/>
      <w:marTop w:val="0"/>
      <w:marBottom w:val="0"/>
      <w:divBdr>
        <w:top w:val="none" w:sz="0" w:space="0" w:color="auto"/>
        <w:left w:val="none" w:sz="0" w:space="0" w:color="auto"/>
        <w:bottom w:val="none" w:sz="0" w:space="0" w:color="auto"/>
        <w:right w:val="none" w:sz="0" w:space="0" w:color="auto"/>
      </w:divBdr>
      <w:divsChild>
        <w:div w:id="2058158641">
          <w:marLeft w:val="0"/>
          <w:marRight w:val="0"/>
          <w:marTop w:val="0"/>
          <w:marBottom w:val="0"/>
          <w:divBdr>
            <w:top w:val="none" w:sz="0" w:space="0" w:color="auto"/>
            <w:left w:val="none" w:sz="0" w:space="0" w:color="auto"/>
            <w:bottom w:val="none" w:sz="0" w:space="0" w:color="auto"/>
            <w:right w:val="none" w:sz="0" w:space="0" w:color="auto"/>
          </w:divBdr>
        </w:div>
      </w:divsChild>
    </w:div>
    <w:div w:id="832571898">
      <w:bodyDiv w:val="1"/>
      <w:marLeft w:val="0"/>
      <w:marRight w:val="0"/>
      <w:marTop w:val="0"/>
      <w:marBottom w:val="0"/>
      <w:divBdr>
        <w:top w:val="none" w:sz="0" w:space="0" w:color="auto"/>
        <w:left w:val="none" w:sz="0" w:space="0" w:color="auto"/>
        <w:bottom w:val="none" w:sz="0" w:space="0" w:color="auto"/>
        <w:right w:val="none" w:sz="0" w:space="0" w:color="auto"/>
      </w:divBdr>
      <w:divsChild>
        <w:div w:id="990672255">
          <w:marLeft w:val="0"/>
          <w:marRight w:val="0"/>
          <w:marTop w:val="0"/>
          <w:marBottom w:val="0"/>
          <w:divBdr>
            <w:top w:val="none" w:sz="0" w:space="0" w:color="auto"/>
            <w:left w:val="none" w:sz="0" w:space="0" w:color="auto"/>
            <w:bottom w:val="none" w:sz="0" w:space="0" w:color="auto"/>
            <w:right w:val="none" w:sz="0" w:space="0" w:color="auto"/>
          </w:divBdr>
        </w:div>
      </w:divsChild>
    </w:div>
    <w:div w:id="837501963">
      <w:bodyDiv w:val="1"/>
      <w:marLeft w:val="0"/>
      <w:marRight w:val="0"/>
      <w:marTop w:val="0"/>
      <w:marBottom w:val="0"/>
      <w:divBdr>
        <w:top w:val="none" w:sz="0" w:space="0" w:color="auto"/>
        <w:left w:val="none" w:sz="0" w:space="0" w:color="auto"/>
        <w:bottom w:val="none" w:sz="0" w:space="0" w:color="auto"/>
        <w:right w:val="none" w:sz="0" w:space="0" w:color="auto"/>
      </w:divBdr>
      <w:divsChild>
        <w:div w:id="1113549319">
          <w:marLeft w:val="0"/>
          <w:marRight w:val="0"/>
          <w:marTop w:val="0"/>
          <w:marBottom w:val="0"/>
          <w:divBdr>
            <w:top w:val="none" w:sz="0" w:space="0" w:color="auto"/>
            <w:left w:val="none" w:sz="0" w:space="0" w:color="auto"/>
            <w:bottom w:val="none" w:sz="0" w:space="0" w:color="auto"/>
            <w:right w:val="none" w:sz="0" w:space="0" w:color="auto"/>
          </w:divBdr>
        </w:div>
      </w:divsChild>
    </w:div>
    <w:div w:id="973680685">
      <w:bodyDiv w:val="1"/>
      <w:marLeft w:val="0"/>
      <w:marRight w:val="0"/>
      <w:marTop w:val="0"/>
      <w:marBottom w:val="0"/>
      <w:divBdr>
        <w:top w:val="none" w:sz="0" w:space="0" w:color="auto"/>
        <w:left w:val="none" w:sz="0" w:space="0" w:color="auto"/>
        <w:bottom w:val="none" w:sz="0" w:space="0" w:color="auto"/>
        <w:right w:val="none" w:sz="0" w:space="0" w:color="auto"/>
      </w:divBdr>
      <w:divsChild>
        <w:div w:id="1421683626">
          <w:marLeft w:val="0"/>
          <w:marRight w:val="0"/>
          <w:marTop w:val="0"/>
          <w:marBottom w:val="0"/>
          <w:divBdr>
            <w:top w:val="none" w:sz="0" w:space="0" w:color="auto"/>
            <w:left w:val="none" w:sz="0" w:space="0" w:color="auto"/>
            <w:bottom w:val="none" w:sz="0" w:space="0" w:color="auto"/>
            <w:right w:val="none" w:sz="0" w:space="0" w:color="auto"/>
          </w:divBdr>
        </w:div>
      </w:divsChild>
    </w:div>
    <w:div w:id="1053819626">
      <w:bodyDiv w:val="1"/>
      <w:marLeft w:val="0"/>
      <w:marRight w:val="0"/>
      <w:marTop w:val="0"/>
      <w:marBottom w:val="0"/>
      <w:divBdr>
        <w:top w:val="none" w:sz="0" w:space="0" w:color="auto"/>
        <w:left w:val="none" w:sz="0" w:space="0" w:color="auto"/>
        <w:bottom w:val="none" w:sz="0" w:space="0" w:color="auto"/>
        <w:right w:val="none" w:sz="0" w:space="0" w:color="auto"/>
      </w:divBdr>
      <w:divsChild>
        <w:div w:id="1000963930">
          <w:marLeft w:val="0"/>
          <w:marRight w:val="0"/>
          <w:marTop w:val="0"/>
          <w:marBottom w:val="0"/>
          <w:divBdr>
            <w:top w:val="none" w:sz="0" w:space="0" w:color="auto"/>
            <w:left w:val="none" w:sz="0" w:space="0" w:color="auto"/>
            <w:bottom w:val="none" w:sz="0" w:space="0" w:color="auto"/>
            <w:right w:val="none" w:sz="0" w:space="0" w:color="auto"/>
          </w:divBdr>
        </w:div>
      </w:divsChild>
    </w:div>
    <w:div w:id="1100223122">
      <w:bodyDiv w:val="1"/>
      <w:marLeft w:val="0"/>
      <w:marRight w:val="0"/>
      <w:marTop w:val="0"/>
      <w:marBottom w:val="0"/>
      <w:divBdr>
        <w:top w:val="none" w:sz="0" w:space="0" w:color="auto"/>
        <w:left w:val="none" w:sz="0" w:space="0" w:color="auto"/>
        <w:bottom w:val="none" w:sz="0" w:space="0" w:color="auto"/>
        <w:right w:val="none" w:sz="0" w:space="0" w:color="auto"/>
      </w:divBdr>
    </w:div>
    <w:div w:id="1173643594">
      <w:bodyDiv w:val="1"/>
      <w:marLeft w:val="0"/>
      <w:marRight w:val="0"/>
      <w:marTop w:val="0"/>
      <w:marBottom w:val="0"/>
      <w:divBdr>
        <w:top w:val="none" w:sz="0" w:space="0" w:color="auto"/>
        <w:left w:val="none" w:sz="0" w:space="0" w:color="auto"/>
        <w:bottom w:val="none" w:sz="0" w:space="0" w:color="auto"/>
        <w:right w:val="none" w:sz="0" w:space="0" w:color="auto"/>
      </w:divBdr>
      <w:divsChild>
        <w:div w:id="2020618021">
          <w:marLeft w:val="0"/>
          <w:marRight w:val="0"/>
          <w:marTop w:val="0"/>
          <w:marBottom w:val="0"/>
          <w:divBdr>
            <w:top w:val="none" w:sz="0" w:space="0" w:color="auto"/>
            <w:left w:val="none" w:sz="0" w:space="0" w:color="auto"/>
            <w:bottom w:val="none" w:sz="0" w:space="0" w:color="auto"/>
            <w:right w:val="none" w:sz="0" w:space="0" w:color="auto"/>
          </w:divBdr>
        </w:div>
      </w:divsChild>
    </w:div>
    <w:div w:id="1559977622">
      <w:bodyDiv w:val="1"/>
      <w:marLeft w:val="0"/>
      <w:marRight w:val="0"/>
      <w:marTop w:val="0"/>
      <w:marBottom w:val="0"/>
      <w:divBdr>
        <w:top w:val="none" w:sz="0" w:space="0" w:color="auto"/>
        <w:left w:val="none" w:sz="0" w:space="0" w:color="auto"/>
        <w:bottom w:val="none" w:sz="0" w:space="0" w:color="auto"/>
        <w:right w:val="none" w:sz="0" w:space="0" w:color="auto"/>
      </w:divBdr>
      <w:divsChild>
        <w:div w:id="1412892711">
          <w:marLeft w:val="0"/>
          <w:marRight w:val="0"/>
          <w:marTop w:val="0"/>
          <w:marBottom w:val="0"/>
          <w:divBdr>
            <w:top w:val="none" w:sz="0" w:space="0" w:color="auto"/>
            <w:left w:val="none" w:sz="0" w:space="0" w:color="auto"/>
            <w:bottom w:val="none" w:sz="0" w:space="0" w:color="auto"/>
            <w:right w:val="none" w:sz="0" w:space="0" w:color="auto"/>
          </w:divBdr>
        </w:div>
      </w:divsChild>
    </w:div>
    <w:div w:id="1573002847">
      <w:bodyDiv w:val="1"/>
      <w:marLeft w:val="0"/>
      <w:marRight w:val="0"/>
      <w:marTop w:val="0"/>
      <w:marBottom w:val="0"/>
      <w:divBdr>
        <w:top w:val="none" w:sz="0" w:space="0" w:color="auto"/>
        <w:left w:val="none" w:sz="0" w:space="0" w:color="auto"/>
        <w:bottom w:val="none" w:sz="0" w:space="0" w:color="auto"/>
        <w:right w:val="none" w:sz="0" w:space="0" w:color="auto"/>
      </w:divBdr>
      <w:divsChild>
        <w:div w:id="1984576385">
          <w:marLeft w:val="0"/>
          <w:marRight w:val="0"/>
          <w:marTop w:val="0"/>
          <w:marBottom w:val="0"/>
          <w:divBdr>
            <w:top w:val="none" w:sz="0" w:space="0" w:color="auto"/>
            <w:left w:val="none" w:sz="0" w:space="0" w:color="auto"/>
            <w:bottom w:val="none" w:sz="0" w:space="0" w:color="auto"/>
            <w:right w:val="none" w:sz="0" w:space="0" w:color="auto"/>
          </w:divBdr>
        </w:div>
      </w:divsChild>
    </w:div>
    <w:div w:id="1580746173">
      <w:bodyDiv w:val="1"/>
      <w:marLeft w:val="0"/>
      <w:marRight w:val="0"/>
      <w:marTop w:val="0"/>
      <w:marBottom w:val="0"/>
      <w:divBdr>
        <w:top w:val="none" w:sz="0" w:space="0" w:color="auto"/>
        <w:left w:val="none" w:sz="0" w:space="0" w:color="auto"/>
        <w:bottom w:val="none" w:sz="0" w:space="0" w:color="auto"/>
        <w:right w:val="none" w:sz="0" w:space="0" w:color="auto"/>
      </w:divBdr>
      <w:divsChild>
        <w:div w:id="831407662">
          <w:marLeft w:val="0"/>
          <w:marRight w:val="0"/>
          <w:marTop w:val="0"/>
          <w:marBottom w:val="0"/>
          <w:divBdr>
            <w:top w:val="none" w:sz="0" w:space="0" w:color="auto"/>
            <w:left w:val="none" w:sz="0" w:space="0" w:color="auto"/>
            <w:bottom w:val="none" w:sz="0" w:space="0" w:color="auto"/>
            <w:right w:val="none" w:sz="0" w:space="0" w:color="auto"/>
          </w:divBdr>
        </w:div>
      </w:divsChild>
    </w:div>
    <w:div w:id="1719012198">
      <w:bodyDiv w:val="1"/>
      <w:marLeft w:val="0"/>
      <w:marRight w:val="0"/>
      <w:marTop w:val="0"/>
      <w:marBottom w:val="0"/>
      <w:divBdr>
        <w:top w:val="none" w:sz="0" w:space="0" w:color="auto"/>
        <w:left w:val="none" w:sz="0" w:space="0" w:color="auto"/>
        <w:bottom w:val="none" w:sz="0" w:space="0" w:color="auto"/>
        <w:right w:val="none" w:sz="0" w:space="0" w:color="auto"/>
      </w:divBdr>
      <w:divsChild>
        <w:div w:id="879973565">
          <w:marLeft w:val="0"/>
          <w:marRight w:val="0"/>
          <w:marTop w:val="0"/>
          <w:marBottom w:val="0"/>
          <w:divBdr>
            <w:top w:val="none" w:sz="0" w:space="0" w:color="auto"/>
            <w:left w:val="none" w:sz="0" w:space="0" w:color="auto"/>
            <w:bottom w:val="none" w:sz="0" w:space="0" w:color="auto"/>
            <w:right w:val="none" w:sz="0" w:space="0" w:color="auto"/>
          </w:divBdr>
        </w:div>
      </w:divsChild>
    </w:div>
    <w:div w:id="2131702506">
      <w:bodyDiv w:val="1"/>
      <w:marLeft w:val="0"/>
      <w:marRight w:val="0"/>
      <w:marTop w:val="0"/>
      <w:marBottom w:val="0"/>
      <w:divBdr>
        <w:top w:val="none" w:sz="0" w:space="0" w:color="auto"/>
        <w:left w:val="none" w:sz="0" w:space="0" w:color="auto"/>
        <w:bottom w:val="none" w:sz="0" w:space="0" w:color="auto"/>
        <w:right w:val="none" w:sz="0" w:space="0" w:color="auto"/>
      </w:divBdr>
      <w:divsChild>
        <w:div w:id="124349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0" Type="http://schemas.openxmlformats.org/officeDocument/2006/relationships/fontTable" Target="fontTable.xml"/><Relationship Id="rId11" Type="http://schemas.openxmlformats.org/officeDocument/2006/relationships/theme" Target="theme/theme1.xml"/><Relationship Id="rId12" Type="http://schemas.openxmlformats.org/officeDocument/2006/relationships/image" Target="media/image2.png"/><Relationship Id="rId13"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ABED1-AB8B-7844-B3BF-AF35CE7CD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2721</Words>
  <Characters>15511</Characters>
  <Application>Microsoft Office Word</Application>
  <DocSecurity>0</DocSecurity>
  <Lines>129</Lines>
  <Paragraphs>36</Paragraphs>
  <ScaleCrop>false</ScaleCrop>
  <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Pitirici</dc:creator>
  <cp:lastModifiedBy>Vasile Pitirici</cp:lastModifiedBy>
</cp:coreProperties>
</file>