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A83EDE" w14:textId="2238B00F" w:rsidR="00BE6E8A" w:rsidRPr="0024229F" w:rsidRDefault="00BC1C0C" w:rsidP="0024229F">
      <w:pPr>
        <w:jc w:val="center"/>
        <w:rPr>
          <w:rFonts w:cs="Arial"/>
          <w:b/>
          <w:bCs/>
          <w:noProof/>
          <w:sz w:val="32"/>
          <w:szCs w:val="32"/>
        </w:rPr>
      </w:pPr>
      <w:r w:rsidRPr="0024229F">
        <w:rPr>
          <w:rFonts w:cs="Arial"/>
          <w:b/>
          <w:bCs/>
          <w:noProof/>
          <w:sz w:val="32"/>
          <w:szCs w:val="32"/>
        </w:rPr>
        <w:t>Programme:</w:t>
      </w:r>
      <w:r w:rsidR="001C51F2" w:rsidRPr="0024229F">
        <w:rPr>
          <w:rFonts w:cs="Arial"/>
          <w:b/>
          <w:bCs/>
          <w:noProof/>
          <w:sz w:val="32"/>
          <w:szCs w:val="32"/>
        </w:rPr>
        <w:t xml:space="preserve"> </w:t>
      </w:r>
      <w:r w:rsidR="00BE6E8A" w:rsidRPr="0024229F">
        <w:rPr>
          <w:rFonts w:cs="Arial"/>
          <w:b/>
          <w:bCs/>
          <w:noProof/>
          <w:sz w:val="32"/>
          <w:szCs w:val="32"/>
        </w:rPr>
        <w:t>BA (Hons) International Hotel Management</w:t>
      </w:r>
    </w:p>
    <w:p w14:paraId="7BEF7A46" w14:textId="2B1098C6" w:rsidR="00BE6E8A" w:rsidRPr="0024229F" w:rsidRDefault="00BE6E8A" w:rsidP="0024229F">
      <w:pPr>
        <w:jc w:val="center"/>
        <w:rPr>
          <w:rFonts w:cs="Arial"/>
          <w:b/>
          <w:bCs/>
          <w:noProof/>
          <w:sz w:val="32"/>
          <w:szCs w:val="32"/>
        </w:rPr>
      </w:pPr>
      <w:r w:rsidRPr="0024229F">
        <w:rPr>
          <w:rFonts w:cs="Arial"/>
          <w:b/>
          <w:bCs/>
          <w:noProof/>
          <w:sz w:val="32"/>
          <w:szCs w:val="32"/>
        </w:rPr>
        <w:t>Module title: Personnel Resourcing and Development</w:t>
      </w:r>
    </w:p>
    <w:p w14:paraId="01D48B29" w14:textId="255F0429" w:rsidR="00BE6E8A" w:rsidRPr="0024229F" w:rsidRDefault="00BE6E8A" w:rsidP="0024229F">
      <w:pPr>
        <w:jc w:val="center"/>
        <w:rPr>
          <w:rFonts w:cs="Arial"/>
          <w:b/>
          <w:bCs/>
          <w:noProof/>
          <w:sz w:val="32"/>
          <w:szCs w:val="32"/>
        </w:rPr>
      </w:pPr>
      <w:r w:rsidRPr="0024229F">
        <w:rPr>
          <w:rFonts w:cs="Arial"/>
          <w:b/>
          <w:bCs/>
          <w:noProof/>
          <w:sz w:val="32"/>
          <w:szCs w:val="32"/>
        </w:rPr>
        <w:t>Module code: BMIH5005</w:t>
      </w:r>
    </w:p>
    <w:p w14:paraId="0DFCAD15" w14:textId="77777777" w:rsidR="0063276E" w:rsidRPr="0024229F" w:rsidRDefault="0063276E" w:rsidP="0024229F">
      <w:pPr>
        <w:jc w:val="center"/>
        <w:rPr>
          <w:rFonts w:cs="Arial"/>
          <w:b/>
          <w:bCs/>
          <w:noProof/>
          <w:sz w:val="32"/>
          <w:szCs w:val="32"/>
        </w:rPr>
      </w:pPr>
    </w:p>
    <w:p w14:paraId="1CCF507D" w14:textId="5D31350A" w:rsidR="00052E49" w:rsidRPr="0024229F" w:rsidRDefault="00052E49" w:rsidP="0024229F">
      <w:pPr>
        <w:jc w:val="center"/>
        <w:rPr>
          <w:rFonts w:cs="Arial"/>
          <w:b/>
          <w:bCs/>
          <w:noProof/>
          <w:sz w:val="32"/>
          <w:szCs w:val="32"/>
        </w:rPr>
      </w:pPr>
      <w:r w:rsidRPr="0024229F">
        <w:rPr>
          <w:rFonts w:cs="Arial"/>
          <w:b/>
          <w:bCs/>
          <w:noProof/>
          <w:sz w:val="32"/>
          <w:szCs w:val="32"/>
        </w:rPr>
        <w:t>Essay Title: Discuss how the evolution of HRM facilitates the strategic development of an international hotel brand through workforce planning, recruitment and selection.</w:t>
      </w:r>
    </w:p>
    <w:p w14:paraId="1C65B916" w14:textId="77777777" w:rsidR="00052E49" w:rsidRPr="0024229F" w:rsidRDefault="00052E49" w:rsidP="0024229F">
      <w:pPr>
        <w:jc w:val="center"/>
        <w:rPr>
          <w:rFonts w:cs="Arial"/>
          <w:b/>
          <w:bCs/>
          <w:noProof/>
          <w:sz w:val="28"/>
          <w:szCs w:val="28"/>
        </w:rPr>
      </w:pPr>
    </w:p>
    <w:p w14:paraId="51EB44F0" w14:textId="71881E3B" w:rsidR="00BE6E8A" w:rsidRPr="0024229F" w:rsidRDefault="00BE6E8A" w:rsidP="0024229F">
      <w:pPr>
        <w:jc w:val="center"/>
        <w:rPr>
          <w:rFonts w:cs="Arial"/>
          <w:b/>
          <w:bCs/>
          <w:noProof/>
          <w:sz w:val="32"/>
          <w:szCs w:val="32"/>
        </w:rPr>
      </w:pPr>
      <w:r w:rsidRPr="0024229F">
        <w:rPr>
          <w:rFonts w:cs="Arial"/>
          <w:b/>
          <w:bCs/>
          <w:noProof/>
          <w:sz w:val="32"/>
          <w:szCs w:val="32"/>
        </w:rPr>
        <w:t>Lecturer: Helen Lee</w:t>
      </w:r>
    </w:p>
    <w:p w14:paraId="49C08900" w14:textId="4D9A4FFD" w:rsidR="00BE6E8A" w:rsidRPr="0024229F" w:rsidRDefault="00BE6E8A" w:rsidP="0024229F">
      <w:pPr>
        <w:jc w:val="center"/>
        <w:rPr>
          <w:rFonts w:cs="Arial"/>
          <w:b/>
          <w:bCs/>
          <w:noProof/>
          <w:sz w:val="32"/>
          <w:szCs w:val="32"/>
        </w:rPr>
      </w:pPr>
      <w:r w:rsidRPr="0024229F">
        <w:rPr>
          <w:rFonts w:cs="Arial"/>
          <w:b/>
          <w:bCs/>
          <w:noProof/>
          <w:sz w:val="32"/>
          <w:szCs w:val="32"/>
        </w:rPr>
        <w:t>Student’s name:</w:t>
      </w:r>
      <w:r w:rsidR="007E4212">
        <w:rPr>
          <w:rFonts w:cs="Arial"/>
          <w:b/>
          <w:bCs/>
          <w:noProof/>
          <w:sz w:val="32"/>
          <w:szCs w:val="32"/>
        </w:rPr>
        <w:t xml:space="preserve"> Andreea Gama</w:t>
      </w:r>
    </w:p>
    <w:p w14:paraId="3A78F8A0" w14:textId="1C9A0165" w:rsidR="009054CD" w:rsidRPr="0024229F" w:rsidRDefault="00BE6E8A" w:rsidP="0024229F">
      <w:pPr>
        <w:jc w:val="center"/>
        <w:rPr>
          <w:rFonts w:cs="Arial"/>
          <w:b/>
          <w:bCs/>
          <w:noProof/>
          <w:sz w:val="32"/>
          <w:szCs w:val="32"/>
        </w:rPr>
      </w:pPr>
      <w:r w:rsidRPr="0024229F">
        <w:rPr>
          <w:rFonts w:cs="Arial"/>
          <w:b/>
          <w:bCs/>
          <w:noProof/>
          <w:sz w:val="32"/>
          <w:szCs w:val="32"/>
        </w:rPr>
        <w:t>Student ID:</w:t>
      </w:r>
      <w:r w:rsidR="007E4212">
        <w:rPr>
          <w:rFonts w:cs="Arial"/>
          <w:b/>
          <w:bCs/>
          <w:noProof/>
          <w:sz w:val="32"/>
          <w:szCs w:val="32"/>
        </w:rPr>
        <w:t xml:space="preserve"> 2219781</w:t>
      </w:r>
    </w:p>
    <w:p w14:paraId="62201EC2" w14:textId="77777777" w:rsidR="0063276E" w:rsidRPr="0024229F" w:rsidRDefault="0063276E" w:rsidP="0024229F">
      <w:pPr>
        <w:jc w:val="center"/>
        <w:rPr>
          <w:rFonts w:cs="Arial"/>
          <w:b/>
          <w:bCs/>
          <w:noProof/>
          <w:sz w:val="32"/>
          <w:szCs w:val="32"/>
        </w:rPr>
      </w:pPr>
    </w:p>
    <w:p w14:paraId="11079217" w14:textId="6B3715FA" w:rsidR="00032ACB" w:rsidRPr="0024229F" w:rsidRDefault="00BE6E8A" w:rsidP="0024229F">
      <w:pPr>
        <w:jc w:val="center"/>
        <w:rPr>
          <w:rFonts w:cs="Arial"/>
          <w:b/>
          <w:bCs/>
          <w:noProof/>
          <w:sz w:val="32"/>
          <w:szCs w:val="32"/>
        </w:rPr>
      </w:pPr>
      <w:r w:rsidRPr="0024229F">
        <w:rPr>
          <w:rFonts w:cs="Arial"/>
          <w:b/>
          <w:bCs/>
          <w:noProof/>
          <w:sz w:val="32"/>
          <w:szCs w:val="32"/>
        </w:rPr>
        <w:t>Word Count:</w:t>
      </w:r>
      <w:r w:rsidR="00C86D01" w:rsidRPr="0024229F">
        <w:rPr>
          <w:rFonts w:cs="Arial"/>
          <w:b/>
          <w:bCs/>
          <w:noProof/>
          <w:sz w:val="32"/>
          <w:szCs w:val="32"/>
        </w:rPr>
        <w:t xml:space="preserve"> </w:t>
      </w:r>
      <w:r w:rsidR="00851BAE">
        <w:rPr>
          <w:rFonts w:cs="Arial"/>
          <w:b/>
          <w:bCs/>
          <w:noProof/>
          <w:sz w:val="32"/>
          <w:szCs w:val="32"/>
        </w:rPr>
        <w:t>2</w:t>
      </w:r>
      <w:r w:rsidR="0060226C">
        <w:rPr>
          <w:rFonts w:cs="Arial"/>
          <w:b/>
          <w:bCs/>
          <w:noProof/>
          <w:sz w:val="32"/>
          <w:szCs w:val="32"/>
        </w:rPr>
        <w:t>11</w:t>
      </w:r>
      <w:r w:rsidR="006143A6">
        <w:rPr>
          <w:rFonts w:cs="Arial"/>
          <w:b/>
          <w:bCs/>
          <w:noProof/>
          <w:sz w:val="32"/>
          <w:szCs w:val="32"/>
        </w:rPr>
        <w:t>7</w:t>
      </w:r>
      <w:r w:rsidR="00032ACB" w:rsidRPr="0024229F">
        <w:rPr>
          <w:rFonts w:cs="Arial"/>
          <w:noProof/>
        </w:rPr>
        <w:br w:type="page"/>
      </w:r>
    </w:p>
    <w:p w14:paraId="5265CCFC" w14:textId="53FC5912" w:rsidR="00BE6E8A" w:rsidRPr="0024229F" w:rsidRDefault="00575023" w:rsidP="0024229F">
      <w:pPr>
        <w:ind w:firstLine="720"/>
        <w:rPr>
          <w:rFonts w:cs="Arial"/>
          <w:noProof/>
        </w:rPr>
      </w:pPr>
      <w:r w:rsidRPr="0024229F">
        <w:rPr>
          <w:rFonts w:cs="Arial"/>
          <w:noProof/>
        </w:rPr>
        <w:lastRenderedPageBreak/>
        <w:t xml:space="preserve">This essay investigates the strategic dimensions of HRM (Human Resource Management) within the context of Hilton Hotels and Resorts which is a prominent international hotel brand. Comprehensive management of the human capital of an </w:t>
      </w:r>
      <w:r w:rsidR="008675DD" w:rsidRPr="0024229F">
        <w:rPr>
          <w:rFonts w:cs="Arial"/>
          <w:noProof/>
        </w:rPr>
        <w:t>organis</w:t>
      </w:r>
      <w:r w:rsidRPr="0024229F">
        <w:rPr>
          <w:rFonts w:cs="Arial"/>
          <w:noProof/>
        </w:rPr>
        <w:t xml:space="preserve">ation is involved in HRM to align with strategic business objectives. This essay explores how HRM functions including workforce planning, recruitment and selection contribute to the development and success of this brand’s various business units. </w:t>
      </w:r>
      <w:r w:rsidR="0065501E" w:rsidRPr="0024229F">
        <w:rPr>
          <w:rFonts w:cs="Arial"/>
          <w:noProof/>
        </w:rPr>
        <w:t xml:space="preserve">Strategic HRM encompasses the formulation and execution of HR strategies which are aimed at achieving </w:t>
      </w:r>
      <w:r w:rsidR="008675DD" w:rsidRPr="0024229F">
        <w:rPr>
          <w:rFonts w:cs="Arial"/>
          <w:noProof/>
        </w:rPr>
        <w:t>organis</w:t>
      </w:r>
      <w:r w:rsidR="0065501E" w:rsidRPr="0024229F">
        <w:rPr>
          <w:rFonts w:cs="Arial"/>
          <w:noProof/>
        </w:rPr>
        <w:t xml:space="preserve">ational goals and sustaining competitive advantages. It includes </w:t>
      </w:r>
      <w:r w:rsidR="00DC0EDB" w:rsidRPr="0024229F">
        <w:rPr>
          <w:rFonts w:cs="Arial"/>
          <w:noProof/>
        </w:rPr>
        <w:t>forward-thinking</w:t>
      </w:r>
      <w:r w:rsidR="0065501E" w:rsidRPr="0024229F">
        <w:rPr>
          <w:rFonts w:cs="Arial"/>
          <w:noProof/>
        </w:rPr>
        <w:t xml:space="preserve">, talent management, employee engagement and </w:t>
      </w:r>
      <w:r w:rsidR="008675DD" w:rsidRPr="0024229F">
        <w:rPr>
          <w:rFonts w:cs="Arial"/>
          <w:noProof/>
        </w:rPr>
        <w:t>organis</w:t>
      </w:r>
      <w:r w:rsidR="0065501E" w:rsidRPr="0024229F">
        <w:rPr>
          <w:rFonts w:cs="Arial"/>
          <w:noProof/>
        </w:rPr>
        <w:t xml:space="preserve">ational development circling all crucial sectors within Hilton’s operations in the hospitality industry. </w:t>
      </w:r>
    </w:p>
    <w:p w14:paraId="274E9CB7" w14:textId="7FC13C3C" w:rsidR="00D504E2" w:rsidRPr="0024229F" w:rsidRDefault="0065501E" w:rsidP="0024229F">
      <w:pPr>
        <w:rPr>
          <w:rFonts w:cs="Arial"/>
          <w:noProof/>
        </w:rPr>
      </w:pPr>
      <w:r w:rsidRPr="0024229F">
        <w:rPr>
          <w:rFonts w:cs="Arial"/>
          <w:noProof/>
        </w:rPr>
        <w:t xml:space="preserve">This essay addresses the key terms including workforce planning where the systematic process of anticipating workers’ needs and aligning them with the </w:t>
      </w:r>
      <w:r w:rsidR="008675DD" w:rsidRPr="0024229F">
        <w:rPr>
          <w:rFonts w:cs="Arial"/>
          <w:noProof/>
        </w:rPr>
        <w:t>organis</w:t>
      </w:r>
      <w:r w:rsidRPr="0024229F">
        <w:rPr>
          <w:rFonts w:cs="Arial"/>
          <w:noProof/>
        </w:rPr>
        <w:t xml:space="preserve">ational objectives are discussed, recruitment process where attracting, identifying and selecting qualified candidates are chosen to fill the vacant positions of this </w:t>
      </w:r>
      <w:r w:rsidR="008675DD" w:rsidRPr="0024229F">
        <w:rPr>
          <w:rFonts w:cs="Arial"/>
          <w:noProof/>
        </w:rPr>
        <w:t>organis</w:t>
      </w:r>
      <w:r w:rsidRPr="0024229F">
        <w:rPr>
          <w:rFonts w:cs="Arial"/>
          <w:noProof/>
        </w:rPr>
        <w:t xml:space="preserve">ation and finally the selection process where the evaluation and choosing the most suitable ones based on predetermined criteria and </w:t>
      </w:r>
      <w:r w:rsidR="008675DD" w:rsidRPr="0024229F">
        <w:rPr>
          <w:rFonts w:cs="Arial"/>
          <w:noProof/>
        </w:rPr>
        <w:t>organis</w:t>
      </w:r>
      <w:r w:rsidRPr="0024229F">
        <w:rPr>
          <w:rFonts w:cs="Arial"/>
          <w:noProof/>
        </w:rPr>
        <w:t xml:space="preserve">ational requirements are done. </w:t>
      </w:r>
      <w:r w:rsidR="00940316" w:rsidRPr="0024229F">
        <w:rPr>
          <w:rFonts w:cs="Arial"/>
          <w:noProof/>
        </w:rPr>
        <w:t>Through this exploration, the essay delves into shedding light on the fundamental HRM functions of Hilton and its process of how strategically it harnesses the business units and upholds its status as a global leader in the international dynamic hospitality industry.</w:t>
      </w:r>
    </w:p>
    <w:p w14:paraId="3AAFA209" w14:textId="21D2B55B" w:rsidR="0065501E" w:rsidRPr="0024229F" w:rsidRDefault="00D504E2" w:rsidP="0024229F">
      <w:pPr>
        <w:rPr>
          <w:rFonts w:cs="Arial"/>
          <w:b/>
          <w:bCs/>
          <w:noProof/>
        </w:rPr>
      </w:pPr>
      <w:r w:rsidRPr="0024229F">
        <w:rPr>
          <w:rFonts w:cs="Arial"/>
          <w:b/>
          <w:bCs/>
          <w:noProof/>
        </w:rPr>
        <w:t>Evolution of HRM of Hilton Hotels and Resorts</w:t>
      </w:r>
    </w:p>
    <w:p w14:paraId="12EA1C31" w14:textId="5F22607D" w:rsidR="00761481" w:rsidRPr="0024229F" w:rsidRDefault="00FA62D9" w:rsidP="0024229F">
      <w:pPr>
        <w:rPr>
          <w:rFonts w:cs="Arial"/>
          <w:noProof/>
        </w:rPr>
      </w:pPr>
      <w:r w:rsidRPr="0024229F">
        <w:rPr>
          <w:rFonts w:cs="Arial"/>
          <w:noProof/>
        </w:rPr>
        <w:t xml:space="preserve">The evolution of Human Resource Management in this hotel brand reflects a paradigm shift from traditional </w:t>
      </w:r>
      <w:r w:rsidR="002D290D" w:rsidRPr="0024229F">
        <w:rPr>
          <w:rFonts w:cs="Arial"/>
          <w:noProof/>
        </w:rPr>
        <w:t xml:space="preserve">personnel management to an </w:t>
      </w:r>
      <w:r w:rsidR="008675DD" w:rsidRPr="0024229F">
        <w:rPr>
          <w:rFonts w:cs="Arial"/>
          <w:noProof/>
        </w:rPr>
        <w:t>organis</w:t>
      </w:r>
      <w:r w:rsidR="002D290D" w:rsidRPr="0024229F">
        <w:rPr>
          <w:rFonts w:cs="Arial"/>
          <w:noProof/>
        </w:rPr>
        <w:t>ational goal-focused strategic function</w:t>
      </w:r>
      <w:r w:rsidR="00BD2BFE" w:rsidRPr="0024229F">
        <w:rPr>
          <w:rFonts w:cs="Arial"/>
          <w:noProof/>
        </w:rPr>
        <w:t xml:space="preserve"> </w:t>
      </w:r>
      <w:r w:rsidR="003333A9" w:rsidRPr="0024229F">
        <w:rPr>
          <w:rFonts w:cs="Arial"/>
          <w:noProof/>
        </w:rPr>
        <w:t xml:space="preserve">(Armstrong </w:t>
      </w:r>
      <w:r w:rsidR="00035D25" w:rsidRPr="0024229F">
        <w:rPr>
          <w:rFonts w:cs="Arial"/>
          <w:noProof/>
        </w:rPr>
        <w:t>and</w:t>
      </w:r>
      <w:r w:rsidR="003333A9" w:rsidRPr="0024229F">
        <w:rPr>
          <w:rFonts w:cs="Arial"/>
          <w:noProof/>
        </w:rPr>
        <w:t xml:space="preserve"> Taylor, 2020)</w:t>
      </w:r>
      <w:r w:rsidR="002D290D" w:rsidRPr="0024229F">
        <w:rPr>
          <w:rFonts w:cs="Arial"/>
          <w:noProof/>
        </w:rPr>
        <w:t xml:space="preserve">. Primarily, HRM focuses on the administrative tasks at the initial level such as payroll, compliance and others. However, as there is growing competitiveness in the hospitality industry, Hilton recognizes the importance of HRM’s role in achieving business success. Over the years, this brand’s HRM has undergone significant transformation. </w:t>
      </w:r>
      <w:r w:rsidR="00761481" w:rsidRPr="0024229F">
        <w:rPr>
          <w:rFonts w:cs="Arial"/>
          <w:noProof/>
        </w:rPr>
        <w:t xml:space="preserve">It is essential for this evolution that HRM practices are in line with the business strategy (Torrington et al., 2020). HRM specialists at Hilton contribute to the </w:t>
      </w:r>
      <w:r w:rsidR="008675DD" w:rsidRPr="0024229F">
        <w:rPr>
          <w:rFonts w:cs="Arial"/>
          <w:noProof/>
        </w:rPr>
        <w:t>organis</w:t>
      </w:r>
      <w:r w:rsidR="00761481" w:rsidRPr="0024229F">
        <w:rPr>
          <w:rFonts w:cs="Arial"/>
          <w:noProof/>
        </w:rPr>
        <w:t xml:space="preserve">ation's strategic </w:t>
      </w:r>
      <w:r w:rsidR="00761481" w:rsidRPr="0024229F">
        <w:rPr>
          <w:rFonts w:cs="Arial"/>
          <w:noProof/>
        </w:rPr>
        <w:lastRenderedPageBreak/>
        <w:t>objectives through their input on personnel management, planning, and workforce development, as well as their active involvement in decision-making processes.</w:t>
      </w:r>
    </w:p>
    <w:p w14:paraId="08A7694E" w14:textId="77777777" w:rsidR="00172AF5" w:rsidRDefault="00172AF5" w:rsidP="0024229F">
      <w:pPr>
        <w:rPr>
          <w:rFonts w:cs="Arial"/>
          <w:noProof/>
        </w:rPr>
      </w:pPr>
      <w:r w:rsidRPr="00172AF5">
        <w:rPr>
          <w:rFonts w:cs="Arial"/>
          <w:noProof/>
        </w:rPr>
        <w:t>The use of technology has also changed HRM at Hilton. Data analytics and automated technologies are used by human resources staff to make better decisions and better use of resources (Maxwell and Watson, 2006). As a result of combining these technologies, HRM is now based on data more, and workers are more productive. The ways that Hilton develops, chooses, and hires employees can all be made better. Diversity and inclusion have always been important to this brand when it comes to HRM. Diverse work forces encourage new ideas and meet the needs of people around the world. In modern HRM, an inclusive culture is pushed, where all employees are valued, no matter what their identity or nationality is (Shore et al., 2018).</w:t>
      </w:r>
    </w:p>
    <w:p w14:paraId="541CC7F5" w14:textId="14F7FCBC" w:rsidR="00B00B90" w:rsidRPr="0024229F" w:rsidRDefault="00A450AB" w:rsidP="0024229F">
      <w:pPr>
        <w:rPr>
          <w:rFonts w:cs="Arial"/>
          <w:b/>
          <w:bCs/>
          <w:noProof/>
        </w:rPr>
      </w:pPr>
      <w:r w:rsidRPr="0024229F">
        <w:rPr>
          <w:rFonts w:cs="Arial"/>
          <w:b/>
          <w:bCs/>
          <w:noProof/>
        </w:rPr>
        <w:t>Strategic Role of HR Functions</w:t>
      </w:r>
    </w:p>
    <w:p w14:paraId="49CCB747" w14:textId="77777777" w:rsidR="00172AF5" w:rsidRDefault="00172AF5" w:rsidP="0024229F">
      <w:pPr>
        <w:rPr>
          <w:rFonts w:cs="Arial"/>
          <w:noProof/>
        </w:rPr>
      </w:pPr>
      <w:r w:rsidRPr="00172AF5">
        <w:rPr>
          <w:rFonts w:cs="Arial"/>
          <w:noProof/>
        </w:rPr>
        <w:t>Aligning human capital with the goals and objectives of the organisation is at the heart of the strategic role of HR functions (Boon et al., 2018). It leads to the most important thing for long-term growth and competitive advantage. Planning the workforce and managing talent are important parts of this HR function's strategic role (Rue et al., 2016). HR professionals are in charge of predicting the skills that will be needed in the future, finding skill gaps and coming up with solutions, keeping and using top talent, and so on (Al-Khaled and Fenn, 2020). By matching up the skills of the workforce with business goals, HR professionals make sure that the company builds strong, high-performing teams that can easily adapt to how the market is changing all the time.</w:t>
      </w:r>
    </w:p>
    <w:p w14:paraId="128F1BDF" w14:textId="76B99D19" w:rsidR="00A450AB" w:rsidRPr="0024229F" w:rsidRDefault="00891800" w:rsidP="0024229F">
      <w:pPr>
        <w:rPr>
          <w:rFonts w:cs="Arial"/>
          <w:noProof/>
        </w:rPr>
      </w:pPr>
      <w:r w:rsidRPr="0024229F">
        <w:rPr>
          <w:rFonts w:cs="Arial"/>
          <w:noProof/>
        </w:rPr>
        <w:t xml:space="preserve">Recruitment and selection also play an essential strategic role in HR functions. HR professionals are assigned to design recruitment strategies which attract candidates who possess the necessary qualifications and skills as well as align with the values and cultures of the </w:t>
      </w:r>
      <w:r w:rsidR="008675DD" w:rsidRPr="0024229F">
        <w:rPr>
          <w:rFonts w:cs="Arial"/>
          <w:noProof/>
        </w:rPr>
        <w:t>organis</w:t>
      </w:r>
      <w:r w:rsidRPr="0024229F">
        <w:rPr>
          <w:rFonts w:cs="Arial"/>
          <w:noProof/>
        </w:rPr>
        <w:t>ation</w:t>
      </w:r>
      <w:r w:rsidR="005B62B6" w:rsidRPr="0024229F">
        <w:rPr>
          <w:rFonts w:cs="Arial"/>
          <w:noProof/>
        </w:rPr>
        <w:t xml:space="preserve"> </w:t>
      </w:r>
      <w:r w:rsidR="00D718F3" w:rsidRPr="0024229F">
        <w:rPr>
          <w:rFonts w:cs="Arial"/>
          <w:noProof/>
        </w:rPr>
        <w:t>(</w:t>
      </w:r>
      <w:r w:rsidR="00C24B0D" w:rsidRPr="0024229F">
        <w:rPr>
          <w:rFonts w:cs="Arial"/>
          <w:noProof/>
        </w:rPr>
        <w:t>Figurska and Matuska, 2013</w:t>
      </w:r>
      <w:r w:rsidR="00D718F3" w:rsidRPr="0024229F">
        <w:rPr>
          <w:rFonts w:cs="Arial"/>
          <w:noProof/>
        </w:rPr>
        <w:t>)</w:t>
      </w:r>
      <w:r w:rsidRPr="0024229F">
        <w:rPr>
          <w:rFonts w:cs="Arial"/>
          <w:noProof/>
        </w:rPr>
        <w:t xml:space="preserve">. Through a rigorous selection procedure, HR ensures the positive contribution of the newly hired </w:t>
      </w:r>
      <w:r w:rsidR="00BD4F5E" w:rsidRPr="0024229F">
        <w:rPr>
          <w:rFonts w:cs="Arial"/>
          <w:noProof/>
        </w:rPr>
        <w:t>manpower</w:t>
      </w:r>
      <w:r w:rsidRPr="0024229F">
        <w:rPr>
          <w:rFonts w:cs="Arial"/>
          <w:noProof/>
        </w:rPr>
        <w:t xml:space="preserve"> to the objectives and team effectiveness of the </w:t>
      </w:r>
      <w:r w:rsidR="008675DD" w:rsidRPr="0024229F">
        <w:rPr>
          <w:rFonts w:cs="Arial"/>
          <w:noProof/>
        </w:rPr>
        <w:t>organis</w:t>
      </w:r>
      <w:r w:rsidRPr="0024229F">
        <w:rPr>
          <w:rFonts w:cs="Arial"/>
          <w:noProof/>
        </w:rPr>
        <w:t xml:space="preserve">ation. Besides, HR functions are considered to be instrumental in case of fostering employee engagement. By implementing initiatives like development programs for employees, performance management </w:t>
      </w:r>
      <w:r w:rsidR="00BD4F5E" w:rsidRPr="0024229F">
        <w:rPr>
          <w:rFonts w:cs="Arial"/>
          <w:noProof/>
        </w:rPr>
        <w:t>systems</w:t>
      </w:r>
      <w:r w:rsidRPr="0024229F">
        <w:rPr>
          <w:rFonts w:cs="Arial"/>
          <w:noProof/>
        </w:rPr>
        <w:t xml:space="preserve">, recognition schemes etc., HR promotes </w:t>
      </w:r>
      <w:r w:rsidR="00BD4F5E" w:rsidRPr="0024229F">
        <w:rPr>
          <w:rFonts w:cs="Arial"/>
          <w:noProof/>
        </w:rPr>
        <w:t>a</w:t>
      </w:r>
      <w:r w:rsidRPr="0024229F">
        <w:rPr>
          <w:rFonts w:cs="Arial"/>
          <w:noProof/>
        </w:rPr>
        <w:t xml:space="preserve"> collaborative, innovative and </w:t>
      </w:r>
      <w:r w:rsidR="00BD4F5E" w:rsidRPr="0024229F">
        <w:rPr>
          <w:rFonts w:cs="Arial"/>
          <w:noProof/>
        </w:rPr>
        <w:t>continuous</w:t>
      </w:r>
      <w:r w:rsidRPr="0024229F">
        <w:rPr>
          <w:rFonts w:cs="Arial"/>
          <w:noProof/>
        </w:rPr>
        <w:t xml:space="preserve"> learning culture. It enhances productivity, motivation and commitment towards academic goals</w:t>
      </w:r>
      <w:r w:rsidR="005B62B6" w:rsidRPr="0024229F">
        <w:rPr>
          <w:rFonts w:cs="Arial"/>
          <w:noProof/>
        </w:rPr>
        <w:t xml:space="preserve"> </w:t>
      </w:r>
      <w:r w:rsidR="00874E24" w:rsidRPr="0024229F">
        <w:rPr>
          <w:rFonts w:cs="Arial"/>
          <w:noProof/>
        </w:rPr>
        <w:t>(Weiss, 2016)</w:t>
      </w:r>
      <w:r w:rsidRPr="0024229F">
        <w:rPr>
          <w:rFonts w:cs="Arial"/>
          <w:noProof/>
        </w:rPr>
        <w:t>.</w:t>
      </w:r>
    </w:p>
    <w:p w14:paraId="305BB087" w14:textId="0B6D721E" w:rsidR="00BD4F5E" w:rsidRPr="0024229F" w:rsidRDefault="00C86D01" w:rsidP="0024229F">
      <w:pPr>
        <w:rPr>
          <w:rFonts w:cs="Arial"/>
          <w:b/>
          <w:bCs/>
          <w:noProof/>
        </w:rPr>
      </w:pPr>
      <w:r w:rsidRPr="0024229F">
        <w:rPr>
          <w:rFonts w:cs="Arial"/>
          <w:b/>
          <w:bCs/>
          <w:noProof/>
        </w:rPr>
        <w:lastRenderedPageBreak/>
        <w:t>Forecasting Labour Demand and Supply</w:t>
      </w:r>
    </w:p>
    <w:p w14:paraId="5379EE0D" w14:textId="21EC1CED" w:rsidR="00C86D01" w:rsidRPr="0024229F" w:rsidRDefault="00C86D01" w:rsidP="0024229F">
      <w:pPr>
        <w:rPr>
          <w:rFonts w:cs="Arial"/>
          <w:noProof/>
        </w:rPr>
      </w:pPr>
      <w:r w:rsidRPr="0024229F">
        <w:rPr>
          <w:rFonts w:cs="Arial"/>
          <w:noProof/>
        </w:rPr>
        <w:t xml:space="preserve">It is a critical component of the strategic HR planning process which enables </w:t>
      </w:r>
      <w:r w:rsidR="008675DD" w:rsidRPr="0024229F">
        <w:rPr>
          <w:rFonts w:cs="Arial"/>
          <w:noProof/>
        </w:rPr>
        <w:t>organis</w:t>
      </w:r>
      <w:r w:rsidRPr="0024229F">
        <w:rPr>
          <w:rFonts w:cs="Arial"/>
          <w:noProof/>
        </w:rPr>
        <w:t xml:space="preserve">ations to effectively manage the employees and merge the human capital with business targets. Forecasting labour demand involves anticipating and calculating the future requirements of the workforce relying on factors like changes in market demand, business growth projections, restructuring </w:t>
      </w:r>
      <w:r w:rsidR="008675DD" w:rsidRPr="0024229F">
        <w:rPr>
          <w:rFonts w:cs="Arial"/>
          <w:noProof/>
        </w:rPr>
        <w:t>organis</w:t>
      </w:r>
      <w:r w:rsidRPr="0024229F">
        <w:rPr>
          <w:rFonts w:cs="Arial"/>
          <w:noProof/>
        </w:rPr>
        <w:t>ational features, technological advancements etc</w:t>
      </w:r>
      <w:r w:rsidR="00C24B0D" w:rsidRPr="0024229F">
        <w:rPr>
          <w:rFonts w:cs="Arial"/>
          <w:noProof/>
        </w:rPr>
        <w:t>.</w:t>
      </w:r>
      <w:r w:rsidR="00A66CD0" w:rsidRPr="0024229F">
        <w:rPr>
          <w:rFonts w:cs="Arial"/>
          <w:noProof/>
        </w:rPr>
        <w:t xml:space="preserve"> (John, 2013)</w:t>
      </w:r>
      <w:r w:rsidRPr="0024229F">
        <w:rPr>
          <w:rFonts w:cs="Arial"/>
          <w:noProof/>
        </w:rPr>
        <w:t>. The professionals at HR utilize both qualitative and quantitative methods analysing the historical data, internal factors and industry trends to predict the quantity and types of employees which is needed to achieve the goals</w:t>
      </w:r>
      <w:r w:rsidR="005B62B6" w:rsidRPr="0024229F">
        <w:rPr>
          <w:rFonts w:cs="Arial"/>
          <w:noProof/>
        </w:rPr>
        <w:t xml:space="preserve"> </w:t>
      </w:r>
      <w:r w:rsidR="00874E24" w:rsidRPr="0024229F">
        <w:rPr>
          <w:rFonts w:cs="Arial"/>
          <w:noProof/>
        </w:rPr>
        <w:t>(</w:t>
      </w:r>
      <w:r w:rsidR="003275BA" w:rsidRPr="0024229F">
        <w:rPr>
          <w:rFonts w:cs="Arial"/>
          <w:noProof/>
        </w:rPr>
        <w:t>Nocker and Sena, 2019</w:t>
      </w:r>
      <w:r w:rsidR="00874E24" w:rsidRPr="0024229F">
        <w:rPr>
          <w:rFonts w:cs="Arial"/>
          <w:noProof/>
        </w:rPr>
        <w:t>)</w:t>
      </w:r>
      <w:r w:rsidRPr="0024229F">
        <w:rPr>
          <w:rFonts w:cs="Arial"/>
          <w:noProof/>
        </w:rPr>
        <w:t>. Here, these methods can include regression and trend analysis, workforce simulation models and the judgment of experts.</w:t>
      </w:r>
    </w:p>
    <w:p w14:paraId="6DEA3D74" w14:textId="7C62DE9D" w:rsidR="00C86D01" w:rsidRPr="0024229F" w:rsidRDefault="006B3A93" w:rsidP="0024229F">
      <w:pPr>
        <w:rPr>
          <w:rFonts w:cs="Arial"/>
          <w:noProof/>
        </w:rPr>
      </w:pPr>
      <w:r w:rsidRPr="0024229F">
        <w:rPr>
          <w:rFonts w:cs="Arial"/>
          <w:noProof/>
        </w:rPr>
        <w:t>On the contrary</w:t>
      </w:r>
      <w:r w:rsidR="00C86D01" w:rsidRPr="0024229F">
        <w:rPr>
          <w:rFonts w:cs="Arial"/>
          <w:noProof/>
        </w:rPr>
        <w:t>, labour supply estimation involves the assessment of internal and external talent availability</w:t>
      </w:r>
      <w:r w:rsidR="00E8659F" w:rsidRPr="0024229F">
        <w:rPr>
          <w:rFonts w:cs="Arial"/>
          <w:noProof/>
        </w:rPr>
        <w:t xml:space="preserve"> to meet </w:t>
      </w:r>
      <w:r w:rsidR="006D5A47" w:rsidRPr="0024229F">
        <w:rPr>
          <w:rFonts w:cs="Arial"/>
          <w:noProof/>
        </w:rPr>
        <w:t xml:space="preserve">the anticipated needs of the workforce. </w:t>
      </w:r>
      <w:r w:rsidR="00FA4A2C" w:rsidRPr="0024229F">
        <w:rPr>
          <w:rFonts w:cs="Arial"/>
          <w:noProof/>
        </w:rPr>
        <w:t xml:space="preserve">HR needs to consider employee turnover rates, skill gaps, retirement trends, demographic </w:t>
      </w:r>
      <w:r w:rsidRPr="0024229F">
        <w:rPr>
          <w:rFonts w:cs="Arial"/>
          <w:noProof/>
        </w:rPr>
        <w:t>shifts</w:t>
      </w:r>
      <w:r w:rsidR="00FA4A2C" w:rsidRPr="0024229F">
        <w:rPr>
          <w:rFonts w:cs="Arial"/>
          <w:noProof/>
        </w:rPr>
        <w:t xml:space="preserve"> and labour market conditions. Then HR can develop strategies to attract, retain and </w:t>
      </w:r>
      <w:r w:rsidR="00F55987" w:rsidRPr="0024229F">
        <w:rPr>
          <w:rFonts w:cs="Arial"/>
          <w:noProof/>
        </w:rPr>
        <w:t>foster necessary skills and competencies</w:t>
      </w:r>
      <w:r w:rsidR="005B62B6" w:rsidRPr="0024229F">
        <w:rPr>
          <w:rFonts w:cs="Arial"/>
          <w:noProof/>
        </w:rPr>
        <w:t xml:space="preserve"> </w:t>
      </w:r>
      <w:r w:rsidR="00174942" w:rsidRPr="0024229F">
        <w:rPr>
          <w:rFonts w:cs="Arial"/>
          <w:noProof/>
        </w:rPr>
        <w:t>(</w:t>
      </w:r>
      <w:r w:rsidR="00906CA1" w:rsidRPr="0024229F">
        <w:rPr>
          <w:rFonts w:eastAsia="Times New Roman" w:cs="Arial"/>
          <w:noProof/>
          <w:kern w:val="0"/>
          <w:szCs w:val="24"/>
          <w14:ligatures w14:val="none"/>
        </w:rPr>
        <w:t>Sohel-Uz-Zaman et al.</w:t>
      </w:r>
      <w:r w:rsidR="00174942" w:rsidRPr="0024229F">
        <w:rPr>
          <w:rFonts w:cs="Arial"/>
          <w:noProof/>
        </w:rPr>
        <w:t>, 20</w:t>
      </w:r>
      <w:r w:rsidR="00906CA1" w:rsidRPr="0024229F">
        <w:rPr>
          <w:rFonts w:cs="Arial"/>
          <w:noProof/>
        </w:rPr>
        <w:t>2</w:t>
      </w:r>
      <w:r w:rsidR="00174942" w:rsidRPr="0024229F">
        <w:rPr>
          <w:rFonts w:cs="Arial"/>
          <w:noProof/>
        </w:rPr>
        <w:t>2)</w:t>
      </w:r>
      <w:r w:rsidR="00F55987" w:rsidRPr="0024229F">
        <w:rPr>
          <w:rFonts w:cs="Arial"/>
          <w:noProof/>
        </w:rPr>
        <w:t xml:space="preserve">. The integration of supply and labour demand forecasts enables HR people to build proactive strategies to address potential imbalances between workforce requirements and available talent. For example, if the demand for labour exceeds supply, HR needs to focus on recruiting efforts, implementing training and development programs, promoting internal mobility and exploring outsourcing options. Again, if there is an oversupply emerging, restructuring </w:t>
      </w:r>
      <w:r w:rsidR="00052011" w:rsidRPr="0024229F">
        <w:rPr>
          <w:rFonts w:cs="Arial"/>
          <w:noProof/>
        </w:rPr>
        <w:t xml:space="preserve">the </w:t>
      </w:r>
      <w:r w:rsidR="00F55987" w:rsidRPr="0024229F">
        <w:rPr>
          <w:rFonts w:cs="Arial"/>
          <w:noProof/>
        </w:rPr>
        <w:t xml:space="preserve">workforce, redeployment and reskilling initiatives will be needed to optimize resource allocation and enhance the efficiency of the </w:t>
      </w:r>
      <w:r w:rsidR="008675DD" w:rsidRPr="0024229F">
        <w:rPr>
          <w:rFonts w:cs="Arial"/>
          <w:noProof/>
        </w:rPr>
        <w:t>organis</w:t>
      </w:r>
      <w:r w:rsidR="00F55987" w:rsidRPr="0024229F">
        <w:rPr>
          <w:rFonts w:cs="Arial"/>
          <w:noProof/>
        </w:rPr>
        <w:t>ation</w:t>
      </w:r>
      <w:r w:rsidR="00A66CD0" w:rsidRPr="0024229F">
        <w:rPr>
          <w:rFonts w:cs="Arial"/>
          <w:noProof/>
        </w:rPr>
        <w:t xml:space="preserve"> (Trost, 2020)</w:t>
      </w:r>
      <w:r w:rsidR="00F55987" w:rsidRPr="0024229F">
        <w:rPr>
          <w:rFonts w:cs="Arial"/>
          <w:noProof/>
        </w:rPr>
        <w:t>.</w:t>
      </w:r>
    </w:p>
    <w:p w14:paraId="483E2173" w14:textId="2E7FD091" w:rsidR="00D12330" w:rsidRPr="0024229F" w:rsidRDefault="00271956" w:rsidP="0024229F">
      <w:pPr>
        <w:rPr>
          <w:rFonts w:cs="Arial"/>
          <w:b/>
          <w:bCs/>
          <w:noProof/>
        </w:rPr>
      </w:pPr>
      <w:r w:rsidRPr="0024229F">
        <w:rPr>
          <w:rFonts w:cs="Arial"/>
          <w:b/>
          <w:bCs/>
          <w:noProof/>
        </w:rPr>
        <w:t>Goal Setting and Strategic Planning</w:t>
      </w:r>
    </w:p>
    <w:p w14:paraId="23E3D80C" w14:textId="5D0AFA6D" w:rsidR="00271956" w:rsidRPr="0024229F" w:rsidRDefault="00271956" w:rsidP="0024229F">
      <w:pPr>
        <w:rPr>
          <w:rFonts w:cs="Arial"/>
          <w:noProof/>
        </w:rPr>
      </w:pPr>
      <w:r w:rsidRPr="0024229F">
        <w:rPr>
          <w:rFonts w:cs="Arial"/>
          <w:noProof/>
        </w:rPr>
        <w:t>These are the integral components of the planning process in strategic HR. These are also essential for aligning HR initiatives with the business goals and objectives to drive business growth</w:t>
      </w:r>
      <w:r w:rsidR="00596EE9" w:rsidRPr="0024229F">
        <w:rPr>
          <w:rFonts w:cs="Arial"/>
          <w:noProof/>
        </w:rPr>
        <w:t xml:space="preserve"> (Kramar, 2013)</w:t>
      </w:r>
      <w:r w:rsidRPr="0024229F">
        <w:rPr>
          <w:rFonts w:cs="Arial"/>
          <w:noProof/>
        </w:rPr>
        <w:t xml:space="preserve">. Goal setting in HR planning involves the task of clearly defining and measuring objectives that support the overall strategic direction of the </w:t>
      </w:r>
      <w:r w:rsidR="008675DD" w:rsidRPr="0024229F">
        <w:rPr>
          <w:rFonts w:cs="Arial"/>
          <w:noProof/>
        </w:rPr>
        <w:t>organis</w:t>
      </w:r>
      <w:r w:rsidRPr="0024229F">
        <w:rPr>
          <w:rFonts w:cs="Arial"/>
          <w:noProof/>
        </w:rPr>
        <w:t xml:space="preserve">ation. </w:t>
      </w:r>
      <w:r w:rsidR="00EA4F8A" w:rsidRPr="0024229F">
        <w:rPr>
          <w:rFonts w:cs="Arial"/>
          <w:noProof/>
        </w:rPr>
        <w:t xml:space="preserve">The goals of HR can compass various aspects such as retention and acquisition of talents, inclusion and diversity, </w:t>
      </w:r>
      <w:r w:rsidR="008675DD" w:rsidRPr="0024229F">
        <w:rPr>
          <w:rFonts w:cs="Arial"/>
          <w:noProof/>
        </w:rPr>
        <w:t>organis</w:t>
      </w:r>
      <w:r w:rsidR="00EA4F8A" w:rsidRPr="0024229F">
        <w:rPr>
          <w:rFonts w:cs="Arial"/>
          <w:noProof/>
        </w:rPr>
        <w:t xml:space="preserve">ational culture etc. These are subjected to follow the SMART criteria (Specific, Measurable, Achievable, Relevant </w:t>
      </w:r>
      <w:r w:rsidR="00EA4F8A" w:rsidRPr="0024229F">
        <w:rPr>
          <w:rFonts w:cs="Arial"/>
          <w:noProof/>
        </w:rPr>
        <w:lastRenderedPageBreak/>
        <w:t>and Time-Bound) to ensure a clear roadmap for HR activities with accountability</w:t>
      </w:r>
      <w:r w:rsidR="005B62B6" w:rsidRPr="0024229F">
        <w:rPr>
          <w:rFonts w:cs="Arial"/>
          <w:noProof/>
        </w:rPr>
        <w:t xml:space="preserve"> (Ward et al., 2013)</w:t>
      </w:r>
      <w:r w:rsidR="00EA4F8A" w:rsidRPr="0024229F">
        <w:rPr>
          <w:rFonts w:cs="Arial"/>
          <w:noProof/>
        </w:rPr>
        <w:t>.</w:t>
      </w:r>
    </w:p>
    <w:p w14:paraId="319CC791" w14:textId="0218BFB2" w:rsidR="00562260" w:rsidRPr="0024229F" w:rsidRDefault="00562260" w:rsidP="0024229F">
      <w:pPr>
        <w:rPr>
          <w:rFonts w:cs="Arial"/>
          <w:noProof/>
        </w:rPr>
      </w:pPr>
      <w:r w:rsidRPr="0024229F">
        <w:rPr>
          <w:rFonts w:cs="Arial"/>
          <w:noProof/>
        </w:rPr>
        <w:t xml:space="preserve">Strategic planning in HR indicates the development of comprehensive strategies and </w:t>
      </w:r>
      <w:r w:rsidR="0019180C" w:rsidRPr="0024229F">
        <w:rPr>
          <w:rFonts w:cs="Arial"/>
          <w:noProof/>
        </w:rPr>
        <w:t>plans</w:t>
      </w:r>
      <w:r w:rsidRPr="0024229F">
        <w:rPr>
          <w:rFonts w:cs="Arial"/>
          <w:noProof/>
        </w:rPr>
        <w:t xml:space="preserve"> of </w:t>
      </w:r>
      <w:r w:rsidR="0019180C" w:rsidRPr="0024229F">
        <w:rPr>
          <w:rFonts w:cs="Arial"/>
          <w:noProof/>
        </w:rPr>
        <w:t>action</w:t>
      </w:r>
      <w:r w:rsidRPr="0024229F">
        <w:rPr>
          <w:rFonts w:cs="Arial"/>
          <w:noProof/>
        </w:rPr>
        <w:t xml:space="preserve"> to attain the established goals and address the key challenges or opportunities within the sphere of HR</w:t>
      </w:r>
      <w:r w:rsidR="00FD1184" w:rsidRPr="0024229F">
        <w:rPr>
          <w:rFonts w:cs="Arial"/>
          <w:noProof/>
        </w:rPr>
        <w:t xml:space="preserve"> (</w:t>
      </w:r>
      <w:r w:rsidR="00952F5C" w:rsidRPr="0024229F">
        <w:rPr>
          <w:rFonts w:cs="Arial"/>
          <w:noProof/>
        </w:rPr>
        <w:t>Al-Khaled and Fenn</w:t>
      </w:r>
      <w:r w:rsidR="00FD1184" w:rsidRPr="0024229F">
        <w:rPr>
          <w:rFonts w:cs="Arial"/>
          <w:noProof/>
        </w:rPr>
        <w:t xml:space="preserve">, </w:t>
      </w:r>
      <w:r w:rsidR="00952F5C" w:rsidRPr="0024229F">
        <w:rPr>
          <w:rFonts w:cs="Arial"/>
          <w:noProof/>
        </w:rPr>
        <w:t>2020</w:t>
      </w:r>
      <w:r w:rsidR="00FD1184" w:rsidRPr="0024229F">
        <w:rPr>
          <w:rFonts w:cs="Arial"/>
          <w:noProof/>
        </w:rPr>
        <w:t>)</w:t>
      </w:r>
      <w:r w:rsidRPr="0024229F">
        <w:rPr>
          <w:rFonts w:cs="Arial"/>
          <w:noProof/>
        </w:rPr>
        <w:t xml:space="preserve">. </w:t>
      </w:r>
      <w:r w:rsidR="008D038E" w:rsidRPr="0024229F">
        <w:rPr>
          <w:rFonts w:cs="Arial"/>
          <w:noProof/>
        </w:rPr>
        <w:t xml:space="preserve">The HR professionals collaborate closely with senior management bodies and key stakeholders to understand the priorities of this business </w:t>
      </w:r>
      <w:r w:rsidR="0019180C" w:rsidRPr="0024229F">
        <w:rPr>
          <w:rFonts w:cs="Arial"/>
          <w:noProof/>
        </w:rPr>
        <w:t xml:space="preserve">and </w:t>
      </w:r>
      <w:r w:rsidR="008D038E" w:rsidRPr="0024229F">
        <w:rPr>
          <w:rFonts w:cs="Arial"/>
          <w:noProof/>
        </w:rPr>
        <w:t xml:space="preserve">formulate strategies after identifying HR implications which support the long-term visions and values. </w:t>
      </w:r>
      <w:r w:rsidR="00E30164" w:rsidRPr="0024229F">
        <w:rPr>
          <w:rFonts w:cs="Arial"/>
          <w:noProof/>
        </w:rPr>
        <w:t>HR planning circles around workforce and succession planning, talent and performance management, HR technological initiatives and finally compensation and benefits.</w:t>
      </w:r>
      <w:r w:rsidR="00E1468D" w:rsidRPr="0024229F">
        <w:rPr>
          <w:rFonts w:cs="Arial"/>
          <w:noProof/>
        </w:rPr>
        <w:t xml:space="preserve"> Effective goal setting and strategic planning in HR help the </w:t>
      </w:r>
      <w:r w:rsidR="008675DD" w:rsidRPr="0024229F">
        <w:rPr>
          <w:rFonts w:cs="Arial"/>
          <w:noProof/>
        </w:rPr>
        <w:t>organis</w:t>
      </w:r>
      <w:r w:rsidR="00E1468D" w:rsidRPr="0024229F">
        <w:rPr>
          <w:rFonts w:cs="Arial"/>
          <w:noProof/>
        </w:rPr>
        <w:t xml:space="preserve">ation to estimate future needs of the workers, </w:t>
      </w:r>
      <w:r w:rsidR="0019180C" w:rsidRPr="0024229F">
        <w:rPr>
          <w:rFonts w:cs="Arial"/>
          <w:noProof/>
        </w:rPr>
        <w:t xml:space="preserve">and </w:t>
      </w:r>
      <w:r w:rsidR="00E1468D" w:rsidRPr="0024229F">
        <w:rPr>
          <w:rFonts w:cs="Arial"/>
          <w:noProof/>
        </w:rPr>
        <w:t xml:space="preserve">foster a continuous improvement and innovative culture. </w:t>
      </w:r>
      <w:r w:rsidR="000655D8" w:rsidRPr="0024229F">
        <w:rPr>
          <w:rFonts w:cs="Arial"/>
          <w:noProof/>
        </w:rPr>
        <w:t xml:space="preserve">HR can certainly enhance the </w:t>
      </w:r>
      <w:r w:rsidR="008675DD" w:rsidRPr="0024229F">
        <w:rPr>
          <w:rFonts w:cs="Arial"/>
          <w:noProof/>
        </w:rPr>
        <w:t>organis</w:t>
      </w:r>
      <w:r w:rsidR="000655D8" w:rsidRPr="0024229F">
        <w:rPr>
          <w:rFonts w:cs="Arial"/>
          <w:noProof/>
        </w:rPr>
        <w:t>ational ability, competitiveness and adaptability for the evolving dynamic markets</w:t>
      </w:r>
      <w:r w:rsidR="005B62B6" w:rsidRPr="0024229F">
        <w:rPr>
          <w:rFonts w:cs="Arial"/>
          <w:noProof/>
        </w:rPr>
        <w:t xml:space="preserve"> (Sadie, 201</w:t>
      </w:r>
      <w:r w:rsidR="00FD1184" w:rsidRPr="0024229F">
        <w:rPr>
          <w:rFonts w:cs="Arial"/>
          <w:noProof/>
        </w:rPr>
        <w:t>1)</w:t>
      </w:r>
      <w:r w:rsidR="000655D8" w:rsidRPr="0024229F">
        <w:rPr>
          <w:rFonts w:cs="Arial"/>
          <w:noProof/>
        </w:rPr>
        <w:t>.</w:t>
      </w:r>
    </w:p>
    <w:p w14:paraId="58967E19" w14:textId="143EBDEA" w:rsidR="002B577E" w:rsidRPr="0024229F" w:rsidRDefault="002B577E" w:rsidP="0024229F">
      <w:pPr>
        <w:rPr>
          <w:rFonts w:cs="Arial"/>
          <w:b/>
          <w:bCs/>
          <w:noProof/>
        </w:rPr>
      </w:pPr>
      <w:r w:rsidRPr="0024229F">
        <w:rPr>
          <w:rFonts w:cs="Arial"/>
          <w:b/>
          <w:bCs/>
          <w:noProof/>
        </w:rPr>
        <w:t>Program Implementation and Evaluation</w:t>
      </w:r>
    </w:p>
    <w:p w14:paraId="507070C6" w14:textId="718DC461" w:rsidR="002B577E" w:rsidRPr="0024229F" w:rsidRDefault="002B577E" w:rsidP="0024229F">
      <w:pPr>
        <w:rPr>
          <w:rFonts w:cs="Arial"/>
          <w:noProof/>
        </w:rPr>
      </w:pPr>
      <w:r w:rsidRPr="0024229F">
        <w:rPr>
          <w:rFonts w:cs="Arial"/>
          <w:noProof/>
        </w:rPr>
        <w:t xml:space="preserve">These are the critical phases of the strategic HR planning process which enable an </w:t>
      </w:r>
      <w:r w:rsidR="008675DD" w:rsidRPr="0024229F">
        <w:rPr>
          <w:rFonts w:cs="Arial"/>
          <w:noProof/>
        </w:rPr>
        <w:t>organis</w:t>
      </w:r>
      <w:r w:rsidRPr="0024229F">
        <w:rPr>
          <w:rFonts w:cs="Arial"/>
          <w:noProof/>
        </w:rPr>
        <w:t xml:space="preserve">ation to effectively execute </w:t>
      </w:r>
      <w:r w:rsidR="0019180C" w:rsidRPr="0024229F">
        <w:rPr>
          <w:rFonts w:cs="Arial"/>
          <w:noProof/>
        </w:rPr>
        <w:t xml:space="preserve">and </w:t>
      </w:r>
      <w:r w:rsidRPr="0024229F">
        <w:rPr>
          <w:rFonts w:cs="Arial"/>
          <w:noProof/>
        </w:rPr>
        <w:t xml:space="preserve">monitor progress, HR strategies, </w:t>
      </w:r>
      <w:r w:rsidR="0019180C" w:rsidRPr="0024229F">
        <w:rPr>
          <w:rFonts w:cs="Arial"/>
          <w:noProof/>
        </w:rPr>
        <w:t xml:space="preserve">and </w:t>
      </w:r>
      <w:r w:rsidRPr="0024229F">
        <w:rPr>
          <w:rFonts w:cs="Arial"/>
          <w:noProof/>
        </w:rPr>
        <w:t xml:space="preserve">data-driven decision-making to achieve the desired outcomes. </w:t>
      </w:r>
      <w:r w:rsidR="0045725B" w:rsidRPr="0024229F">
        <w:rPr>
          <w:rFonts w:cs="Arial"/>
          <w:noProof/>
        </w:rPr>
        <w:t>During this procedure, the professionals extract HR strategies into actionable initiatives and policies aiming to align with the central objectives and priorities</w:t>
      </w:r>
      <w:r w:rsidR="00DD4BA5" w:rsidRPr="0024229F">
        <w:rPr>
          <w:rFonts w:cs="Arial"/>
          <w:noProof/>
        </w:rPr>
        <w:t xml:space="preserve"> (Pilbeam </w:t>
      </w:r>
      <w:r w:rsidR="00035D25" w:rsidRPr="0024229F">
        <w:rPr>
          <w:rFonts w:cs="Arial"/>
          <w:noProof/>
        </w:rPr>
        <w:t>and</w:t>
      </w:r>
      <w:r w:rsidR="00DD4BA5" w:rsidRPr="0024229F">
        <w:rPr>
          <w:rFonts w:cs="Arial"/>
          <w:noProof/>
        </w:rPr>
        <w:t xml:space="preserve"> Corbridge, 2011)</w:t>
      </w:r>
      <w:r w:rsidR="0045725B" w:rsidRPr="0024229F">
        <w:rPr>
          <w:rFonts w:cs="Arial"/>
          <w:noProof/>
        </w:rPr>
        <w:t xml:space="preserve">. Thus, this includes the development of detailed implementation plans, allocation of resources, defining the roles and responsibilities, exchanging expectations among stakeholders across the whole </w:t>
      </w:r>
      <w:r w:rsidR="008675DD" w:rsidRPr="0024229F">
        <w:rPr>
          <w:rFonts w:cs="Arial"/>
          <w:noProof/>
        </w:rPr>
        <w:t>organis</w:t>
      </w:r>
      <w:r w:rsidR="0045725B" w:rsidRPr="0024229F">
        <w:rPr>
          <w:rFonts w:cs="Arial"/>
          <w:noProof/>
        </w:rPr>
        <w:t>ation etc</w:t>
      </w:r>
      <w:r w:rsidR="005B62B6" w:rsidRPr="0024229F">
        <w:rPr>
          <w:rFonts w:cs="Arial"/>
          <w:noProof/>
        </w:rPr>
        <w:t xml:space="preserve"> </w:t>
      </w:r>
      <w:r w:rsidR="00596EE9" w:rsidRPr="0024229F">
        <w:rPr>
          <w:rFonts w:cs="Arial"/>
          <w:noProof/>
        </w:rPr>
        <w:t>(Kramar, 2013)</w:t>
      </w:r>
      <w:r w:rsidR="0045725B" w:rsidRPr="0024229F">
        <w:rPr>
          <w:rFonts w:cs="Arial"/>
          <w:noProof/>
        </w:rPr>
        <w:t xml:space="preserve">. HR certainly plays </w:t>
      </w:r>
      <w:r w:rsidR="0019180C" w:rsidRPr="0024229F">
        <w:rPr>
          <w:rFonts w:cs="Arial"/>
          <w:noProof/>
        </w:rPr>
        <w:t>a</w:t>
      </w:r>
      <w:r w:rsidR="0045725B" w:rsidRPr="0024229F">
        <w:rPr>
          <w:rFonts w:cs="Arial"/>
          <w:noProof/>
        </w:rPr>
        <w:t xml:space="preserve"> key role in anticipating or fostering employee buy-ins, providing training and support, overcoming potential barriers in front of successful implementation etc.</w:t>
      </w:r>
    </w:p>
    <w:p w14:paraId="35BAC0D3" w14:textId="745E75D3" w:rsidR="00E81C65" w:rsidRPr="0024229F" w:rsidRDefault="00EC2A0F" w:rsidP="0024229F">
      <w:pPr>
        <w:rPr>
          <w:rFonts w:cs="Arial"/>
          <w:noProof/>
        </w:rPr>
      </w:pPr>
      <w:r w:rsidRPr="0024229F">
        <w:rPr>
          <w:rFonts w:cs="Arial"/>
          <w:noProof/>
        </w:rPr>
        <w:t xml:space="preserve">Moreover, program evaluation is necessary for the assessment of </w:t>
      </w:r>
      <w:r w:rsidR="0019180C" w:rsidRPr="0024229F">
        <w:rPr>
          <w:rFonts w:cs="Arial"/>
          <w:noProof/>
        </w:rPr>
        <w:t xml:space="preserve">the </w:t>
      </w:r>
      <w:r w:rsidRPr="0024229F">
        <w:rPr>
          <w:rFonts w:cs="Arial"/>
          <w:noProof/>
        </w:rPr>
        <w:t>effectiveness and influence of HR initiatives on the workforce and their performance and outcomes</w:t>
      </w:r>
      <w:r w:rsidR="00174942" w:rsidRPr="0024229F">
        <w:rPr>
          <w:rFonts w:cs="Arial"/>
          <w:noProof/>
        </w:rPr>
        <w:t xml:space="preserve"> (</w:t>
      </w:r>
      <w:r w:rsidR="00B42FED" w:rsidRPr="0024229F">
        <w:rPr>
          <w:rFonts w:eastAsia="Times New Roman" w:cs="Arial"/>
          <w:noProof/>
          <w:kern w:val="0"/>
          <w:szCs w:val="24"/>
          <w14:ligatures w14:val="none"/>
        </w:rPr>
        <w:t>Sohel-Uz-Zaman et al.</w:t>
      </w:r>
      <w:r w:rsidR="00174942" w:rsidRPr="0024229F">
        <w:rPr>
          <w:rFonts w:cs="Arial"/>
          <w:noProof/>
        </w:rPr>
        <w:t>, 20</w:t>
      </w:r>
      <w:r w:rsidR="00B42FED" w:rsidRPr="0024229F">
        <w:rPr>
          <w:rFonts w:cs="Arial"/>
          <w:noProof/>
        </w:rPr>
        <w:t>2</w:t>
      </w:r>
      <w:r w:rsidR="00174942" w:rsidRPr="0024229F">
        <w:rPr>
          <w:rFonts w:cs="Arial"/>
          <w:noProof/>
        </w:rPr>
        <w:t>2)</w:t>
      </w:r>
      <w:r w:rsidRPr="0024229F">
        <w:rPr>
          <w:rFonts w:cs="Arial"/>
          <w:noProof/>
        </w:rPr>
        <w:t>. HR significantly utilize both ways of measuring</w:t>
      </w:r>
      <w:r w:rsidR="003F796C" w:rsidRPr="0024229F">
        <w:rPr>
          <w:rFonts w:cs="Arial"/>
          <w:noProof/>
        </w:rPr>
        <w:t xml:space="preserve"> the evaluation through KPIs or key performance indicators. This includes employee engagement levels, turnover rates, productivity and talent acquisition metrics, diversity and inclusion indicators etc. Evaluation methods </w:t>
      </w:r>
      <w:r w:rsidR="0019180C" w:rsidRPr="0024229F">
        <w:rPr>
          <w:rFonts w:cs="Arial"/>
          <w:noProof/>
        </w:rPr>
        <w:t>encompass</w:t>
      </w:r>
      <w:r w:rsidR="003F796C" w:rsidRPr="0024229F">
        <w:rPr>
          <w:rFonts w:cs="Arial"/>
          <w:noProof/>
        </w:rPr>
        <w:t xml:space="preserve"> surveys, focus group discussions, interviews, data analytics and performance reviews</w:t>
      </w:r>
      <w:r w:rsidR="00A07B67" w:rsidRPr="0024229F">
        <w:rPr>
          <w:rFonts w:cs="Arial"/>
          <w:noProof/>
        </w:rPr>
        <w:t xml:space="preserve"> </w:t>
      </w:r>
      <w:r w:rsidR="007A5E7E" w:rsidRPr="0024229F">
        <w:rPr>
          <w:rFonts w:cs="Arial"/>
          <w:noProof/>
        </w:rPr>
        <w:t>(</w:t>
      </w:r>
      <w:r w:rsidR="00692BE0" w:rsidRPr="0024229F">
        <w:rPr>
          <w:rFonts w:eastAsia="Times New Roman" w:cs="Arial"/>
          <w:noProof/>
          <w:kern w:val="0"/>
          <w:szCs w:val="24"/>
          <w14:ligatures w14:val="none"/>
        </w:rPr>
        <w:t>Kalyani and Sahoo</w:t>
      </w:r>
      <w:r w:rsidR="007A5E7E" w:rsidRPr="0024229F">
        <w:rPr>
          <w:rFonts w:cs="Arial"/>
          <w:noProof/>
        </w:rPr>
        <w:t xml:space="preserve">, </w:t>
      </w:r>
      <w:r w:rsidR="007A5E7E" w:rsidRPr="0024229F">
        <w:rPr>
          <w:rFonts w:cs="Arial"/>
          <w:noProof/>
        </w:rPr>
        <w:lastRenderedPageBreak/>
        <w:t>201</w:t>
      </w:r>
      <w:r w:rsidR="00692BE0" w:rsidRPr="0024229F">
        <w:rPr>
          <w:rFonts w:cs="Arial"/>
          <w:noProof/>
        </w:rPr>
        <w:t>1</w:t>
      </w:r>
      <w:r w:rsidR="007A5E7E" w:rsidRPr="0024229F">
        <w:rPr>
          <w:rFonts w:cs="Arial"/>
          <w:noProof/>
        </w:rPr>
        <w:t>)</w:t>
      </w:r>
      <w:r w:rsidR="003F796C" w:rsidRPr="0024229F">
        <w:rPr>
          <w:rFonts w:cs="Arial"/>
          <w:noProof/>
        </w:rPr>
        <w:t xml:space="preserve">. </w:t>
      </w:r>
      <w:r w:rsidR="004F5058" w:rsidRPr="0024229F">
        <w:rPr>
          <w:rFonts w:cs="Arial"/>
          <w:noProof/>
        </w:rPr>
        <w:t xml:space="preserve">HR identifies strengths, weaknesses, opportunities and threats (SWOT) related to HR programs or initiatives through data evaluation analysis. </w:t>
      </w:r>
      <w:r w:rsidR="00123D16" w:rsidRPr="0024229F">
        <w:rPr>
          <w:rFonts w:cs="Arial"/>
          <w:noProof/>
        </w:rPr>
        <w:t xml:space="preserve">This leads the HR to make more informed adjustments, reallocating resources or refining the existing strategies to optimize the effectiveness with emerging challenges. </w:t>
      </w:r>
      <w:r w:rsidR="00DE0DCE" w:rsidRPr="0024229F">
        <w:rPr>
          <w:rFonts w:cs="Arial"/>
          <w:noProof/>
        </w:rPr>
        <w:t>Overall, program evaluation</w:t>
      </w:r>
      <w:r w:rsidR="00D70D8E" w:rsidRPr="0024229F">
        <w:rPr>
          <w:rFonts w:cs="Arial"/>
          <w:noProof/>
        </w:rPr>
        <w:t xml:space="preserve"> facilitates continuous improvement and learning within the HR functions creating an environment of agility</w:t>
      </w:r>
      <w:r w:rsidR="00874E24" w:rsidRPr="0024229F">
        <w:rPr>
          <w:rFonts w:cs="Arial"/>
          <w:noProof/>
        </w:rPr>
        <w:t xml:space="preserve"> (</w:t>
      </w:r>
      <w:r w:rsidR="0075582D" w:rsidRPr="0024229F">
        <w:rPr>
          <w:rFonts w:cs="Arial"/>
          <w:noProof/>
        </w:rPr>
        <w:t>Nocker and Sena, 2019</w:t>
      </w:r>
      <w:r w:rsidR="00874E24" w:rsidRPr="0024229F">
        <w:rPr>
          <w:rFonts w:cs="Arial"/>
          <w:noProof/>
        </w:rPr>
        <w:t>).</w:t>
      </w:r>
    </w:p>
    <w:p w14:paraId="2D1E10AA" w14:textId="77777777" w:rsidR="00E81C65" w:rsidRPr="0024229F" w:rsidRDefault="00E81C65" w:rsidP="0024229F">
      <w:pPr>
        <w:rPr>
          <w:rFonts w:cs="Arial"/>
          <w:b/>
          <w:bCs/>
          <w:noProof/>
        </w:rPr>
      </w:pPr>
      <w:r w:rsidRPr="0024229F">
        <w:rPr>
          <w:rFonts w:cs="Arial"/>
          <w:b/>
          <w:bCs/>
          <w:noProof/>
        </w:rPr>
        <w:t>Recruitment Stages and Selection Process</w:t>
      </w:r>
    </w:p>
    <w:p w14:paraId="2A3A762C" w14:textId="15F66691" w:rsidR="004129AF" w:rsidRPr="0024229F" w:rsidRDefault="00D053E6" w:rsidP="0024229F">
      <w:pPr>
        <w:rPr>
          <w:rFonts w:cs="Arial"/>
          <w:noProof/>
        </w:rPr>
      </w:pPr>
      <w:r w:rsidRPr="0024229F">
        <w:rPr>
          <w:rFonts w:cs="Arial"/>
          <w:noProof/>
        </w:rPr>
        <w:t xml:space="preserve">These are the integral parts of talent acquisition, critically identifying and hiring the right human resources to meet the </w:t>
      </w:r>
      <w:r w:rsidR="008675DD" w:rsidRPr="0024229F">
        <w:rPr>
          <w:rFonts w:cs="Arial"/>
          <w:noProof/>
        </w:rPr>
        <w:t>organis</w:t>
      </w:r>
      <w:r w:rsidRPr="0024229F">
        <w:rPr>
          <w:rFonts w:cs="Arial"/>
          <w:noProof/>
        </w:rPr>
        <w:t>ational demands and goals.</w:t>
      </w:r>
    </w:p>
    <w:p w14:paraId="74EB9776" w14:textId="2240588B" w:rsidR="004129AF" w:rsidRPr="0024229F" w:rsidRDefault="0019180C" w:rsidP="0024229F">
      <w:pPr>
        <w:rPr>
          <w:rFonts w:cs="Arial"/>
          <w:noProof/>
        </w:rPr>
      </w:pPr>
      <w:r w:rsidRPr="0024229F">
        <w:rPr>
          <w:rFonts w:cs="Arial"/>
          <w:noProof/>
        </w:rPr>
        <w:t>The recruitment</w:t>
      </w:r>
      <w:r w:rsidR="004129AF" w:rsidRPr="0024229F">
        <w:rPr>
          <w:rFonts w:cs="Arial"/>
          <w:noProof/>
        </w:rPr>
        <w:t xml:space="preserve"> stages are as follows-</w:t>
      </w:r>
    </w:p>
    <w:p w14:paraId="481E0DDD" w14:textId="54595997" w:rsidR="0068489E" w:rsidRPr="0024229F" w:rsidRDefault="004129AF" w:rsidP="0024229F">
      <w:pPr>
        <w:rPr>
          <w:rFonts w:cs="Arial"/>
          <w:noProof/>
        </w:rPr>
      </w:pPr>
      <w:r w:rsidRPr="0024229F">
        <w:rPr>
          <w:rFonts w:cs="Arial"/>
          <w:noProof/>
        </w:rPr>
        <w:t xml:space="preserve">Identifying Needs: This process begins with identifying the needs of </w:t>
      </w:r>
      <w:r w:rsidR="0019180C" w:rsidRPr="0024229F">
        <w:rPr>
          <w:rFonts w:cs="Arial"/>
          <w:noProof/>
        </w:rPr>
        <w:t>staff</w:t>
      </w:r>
      <w:r w:rsidRPr="0024229F">
        <w:rPr>
          <w:rFonts w:cs="Arial"/>
          <w:noProof/>
        </w:rPr>
        <w:t xml:space="preserve"> based on the </w:t>
      </w:r>
      <w:r w:rsidR="008675DD" w:rsidRPr="0024229F">
        <w:rPr>
          <w:rFonts w:cs="Arial"/>
          <w:noProof/>
        </w:rPr>
        <w:t>organis</w:t>
      </w:r>
      <w:r w:rsidRPr="0024229F">
        <w:rPr>
          <w:rFonts w:cs="Arial"/>
          <w:noProof/>
        </w:rPr>
        <w:t>ational goals</w:t>
      </w:r>
      <w:r w:rsidR="0068489E" w:rsidRPr="0024229F">
        <w:rPr>
          <w:rFonts w:cs="Arial"/>
          <w:noProof/>
        </w:rPr>
        <w:t>, departmental requirements and workforce planning</w:t>
      </w:r>
      <w:r w:rsidR="00874E24" w:rsidRPr="0024229F">
        <w:rPr>
          <w:rFonts w:cs="Arial"/>
          <w:noProof/>
        </w:rPr>
        <w:t xml:space="preserve"> (Weiss, 2016)</w:t>
      </w:r>
      <w:r w:rsidR="0068489E" w:rsidRPr="0024229F">
        <w:rPr>
          <w:rFonts w:cs="Arial"/>
          <w:noProof/>
        </w:rPr>
        <w:t>.</w:t>
      </w:r>
    </w:p>
    <w:p w14:paraId="562FB850" w14:textId="1288EDE1" w:rsidR="0068489E" w:rsidRPr="0024229F" w:rsidRDefault="0068489E" w:rsidP="0024229F">
      <w:pPr>
        <w:rPr>
          <w:rFonts w:cs="Arial"/>
          <w:noProof/>
        </w:rPr>
      </w:pPr>
      <w:r w:rsidRPr="0024229F">
        <w:rPr>
          <w:rFonts w:cs="Arial"/>
          <w:noProof/>
        </w:rPr>
        <w:t>Job Posting: Various channels are used to advertise job vacancies including job boards, professional networks, company websites and social media.</w:t>
      </w:r>
    </w:p>
    <w:p w14:paraId="2B3EFC93" w14:textId="3E4A650E" w:rsidR="0068489E" w:rsidRPr="0024229F" w:rsidRDefault="0068489E" w:rsidP="0024229F">
      <w:pPr>
        <w:rPr>
          <w:rFonts w:cs="Arial"/>
          <w:noProof/>
        </w:rPr>
      </w:pPr>
      <w:r w:rsidRPr="0024229F">
        <w:rPr>
          <w:rFonts w:cs="Arial"/>
          <w:noProof/>
        </w:rPr>
        <w:t>Candidate Sourcing: HR actively roots candidates utilizing networking, direct applications, referrals and recruitment agencies to build a dynamic and diverse talent pool</w:t>
      </w:r>
      <w:r w:rsidR="008C3918" w:rsidRPr="0024229F">
        <w:rPr>
          <w:rFonts w:cs="Arial"/>
          <w:noProof/>
        </w:rPr>
        <w:t xml:space="preserve"> </w:t>
      </w:r>
      <w:r w:rsidR="00C00781" w:rsidRPr="0024229F">
        <w:rPr>
          <w:rFonts w:cs="Arial"/>
          <w:noProof/>
        </w:rPr>
        <w:t>(Weiss, 2016).</w:t>
      </w:r>
    </w:p>
    <w:p w14:paraId="2EAC4ACE" w14:textId="27CF898C" w:rsidR="0045725B" w:rsidRPr="0024229F" w:rsidRDefault="0068489E" w:rsidP="0024229F">
      <w:pPr>
        <w:rPr>
          <w:rFonts w:cs="Arial"/>
          <w:noProof/>
        </w:rPr>
      </w:pPr>
      <w:r w:rsidRPr="0024229F">
        <w:rPr>
          <w:rFonts w:cs="Arial"/>
          <w:noProof/>
        </w:rPr>
        <w:t>Screening and Shortlisting: Applications are evaluated, and screened based on qualifications, experiences, skills and cultural fit to create a shortlist of the potential candidates for different positions</w:t>
      </w:r>
      <w:r w:rsidR="00113623" w:rsidRPr="0024229F">
        <w:rPr>
          <w:rFonts w:cs="Arial"/>
          <w:noProof/>
        </w:rPr>
        <w:t xml:space="preserve"> </w:t>
      </w:r>
      <w:r w:rsidR="00874E24" w:rsidRPr="0024229F">
        <w:rPr>
          <w:rFonts w:cs="Arial"/>
          <w:noProof/>
        </w:rPr>
        <w:t>(Marchington et al., 2016)</w:t>
      </w:r>
      <w:r w:rsidRPr="0024229F">
        <w:rPr>
          <w:rFonts w:cs="Arial"/>
          <w:noProof/>
        </w:rPr>
        <w:t>.</w:t>
      </w:r>
    </w:p>
    <w:p w14:paraId="0BA7A92C" w14:textId="691AEDF4" w:rsidR="0068489E" w:rsidRPr="0024229F" w:rsidRDefault="0068489E" w:rsidP="0024229F">
      <w:pPr>
        <w:rPr>
          <w:rFonts w:cs="Arial"/>
          <w:noProof/>
        </w:rPr>
      </w:pPr>
      <w:r w:rsidRPr="0024229F">
        <w:rPr>
          <w:rFonts w:cs="Arial"/>
          <w:noProof/>
        </w:rPr>
        <w:t>Selection procedure stages-</w:t>
      </w:r>
    </w:p>
    <w:p w14:paraId="11275B18" w14:textId="0EE0A4F7" w:rsidR="0068489E" w:rsidRPr="0024229F" w:rsidRDefault="0068489E" w:rsidP="0024229F">
      <w:pPr>
        <w:rPr>
          <w:rFonts w:cs="Arial"/>
          <w:noProof/>
        </w:rPr>
      </w:pPr>
      <w:r w:rsidRPr="0024229F">
        <w:rPr>
          <w:rFonts w:cs="Arial"/>
          <w:noProof/>
        </w:rPr>
        <w:t xml:space="preserve">Primary Assessment: </w:t>
      </w:r>
      <w:r w:rsidR="00AC05D9" w:rsidRPr="0024229F">
        <w:rPr>
          <w:rFonts w:cs="Arial"/>
          <w:noProof/>
        </w:rPr>
        <w:t xml:space="preserve">The shortlisted candidates selected in the recruitment stage generally undergo initial assessments which include </w:t>
      </w:r>
      <w:r w:rsidR="001F6CCC" w:rsidRPr="0024229F">
        <w:rPr>
          <w:rFonts w:cs="Arial"/>
          <w:noProof/>
        </w:rPr>
        <w:t>online or offline interviews, assessments or preliminary screenings to gauge their suitability</w:t>
      </w:r>
      <w:r w:rsidR="00BD2BFE" w:rsidRPr="0024229F">
        <w:rPr>
          <w:rFonts w:cs="Arial"/>
          <w:noProof/>
        </w:rPr>
        <w:t xml:space="preserve"> (</w:t>
      </w:r>
      <w:r w:rsidR="008C3918" w:rsidRPr="0024229F">
        <w:rPr>
          <w:rFonts w:eastAsia="Times New Roman" w:cs="Arial"/>
          <w:noProof/>
          <w:kern w:val="0"/>
          <w:szCs w:val="24"/>
          <w14:ligatures w14:val="none"/>
        </w:rPr>
        <w:t>Phillips and Gully</w:t>
      </w:r>
      <w:r w:rsidR="00BD2BFE" w:rsidRPr="0024229F">
        <w:rPr>
          <w:rFonts w:cs="Arial"/>
          <w:noProof/>
        </w:rPr>
        <w:t xml:space="preserve">, </w:t>
      </w:r>
      <w:r w:rsidR="008C3918" w:rsidRPr="0024229F">
        <w:rPr>
          <w:rFonts w:cs="Arial"/>
          <w:noProof/>
        </w:rPr>
        <w:t>2015</w:t>
      </w:r>
      <w:r w:rsidR="00BD2BFE" w:rsidRPr="0024229F">
        <w:rPr>
          <w:rFonts w:cs="Arial"/>
          <w:noProof/>
        </w:rPr>
        <w:t>)</w:t>
      </w:r>
      <w:r w:rsidR="001F6CCC" w:rsidRPr="0024229F">
        <w:rPr>
          <w:rFonts w:cs="Arial"/>
          <w:noProof/>
        </w:rPr>
        <w:t>.</w:t>
      </w:r>
    </w:p>
    <w:p w14:paraId="3F4D85DE" w14:textId="6550970D" w:rsidR="001F6CCC" w:rsidRPr="0024229F" w:rsidRDefault="001F6CCC" w:rsidP="0024229F">
      <w:pPr>
        <w:rPr>
          <w:rFonts w:cs="Arial"/>
          <w:noProof/>
        </w:rPr>
      </w:pPr>
      <w:r w:rsidRPr="0024229F">
        <w:rPr>
          <w:rFonts w:cs="Arial"/>
          <w:noProof/>
        </w:rPr>
        <w:t>Interviews: Candidates have to participate in one or several rounds of interviews where behavioural, technical and competency-based assessments are conducted by the managers and team members in HR responsible for hiring</w:t>
      </w:r>
      <w:r w:rsidR="00BD2BFE" w:rsidRPr="0024229F">
        <w:rPr>
          <w:rFonts w:cs="Arial"/>
          <w:noProof/>
        </w:rPr>
        <w:t xml:space="preserve"> </w:t>
      </w:r>
      <w:r w:rsidR="00874E24" w:rsidRPr="0024229F">
        <w:rPr>
          <w:rFonts w:cs="Arial"/>
          <w:noProof/>
        </w:rPr>
        <w:t>(</w:t>
      </w:r>
      <w:r w:rsidR="00EC556A" w:rsidRPr="0024229F">
        <w:rPr>
          <w:rFonts w:eastAsia="Times New Roman" w:cs="Arial"/>
          <w:noProof/>
          <w:kern w:val="0"/>
          <w:szCs w:val="24"/>
          <w14:ligatures w14:val="none"/>
        </w:rPr>
        <w:t>Hinton et al.</w:t>
      </w:r>
      <w:r w:rsidR="00874E24" w:rsidRPr="0024229F">
        <w:rPr>
          <w:rFonts w:cs="Arial"/>
          <w:noProof/>
        </w:rPr>
        <w:t xml:space="preserve">, </w:t>
      </w:r>
      <w:r w:rsidR="00EC556A" w:rsidRPr="0024229F">
        <w:rPr>
          <w:rFonts w:cs="Arial"/>
          <w:noProof/>
        </w:rPr>
        <w:t>2020</w:t>
      </w:r>
      <w:r w:rsidR="00874E24" w:rsidRPr="0024229F">
        <w:rPr>
          <w:rFonts w:cs="Arial"/>
          <w:noProof/>
        </w:rPr>
        <w:t>)</w:t>
      </w:r>
      <w:r w:rsidRPr="0024229F">
        <w:rPr>
          <w:rFonts w:cs="Arial"/>
          <w:noProof/>
        </w:rPr>
        <w:t>.</w:t>
      </w:r>
    </w:p>
    <w:p w14:paraId="1F7BD931" w14:textId="380CDEFE" w:rsidR="00670C2C" w:rsidRPr="0024229F" w:rsidRDefault="001F6CCC" w:rsidP="0024229F">
      <w:pPr>
        <w:rPr>
          <w:rFonts w:cs="Arial"/>
          <w:noProof/>
        </w:rPr>
      </w:pPr>
      <w:r w:rsidRPr="0024229F">
        <w:rPr>
          <w:rFonts w:cs="Arial"/>
          <w:noProof/>
        </w:rPr>
        <w:lastRenderedPageBreak/>
        <w:t>Reference Verifying:</w:t>
      </w:r>
      <w:r w:rsidR="00670C2C" w:rsidRPr="0024229F">
        <w:rPr>
          <w:rFonts w:cs="Arial"/>
          <w:noProof/>
        </w:rPr>
        <w:t xml:space="preserve"> References which were provided by the candidates are contacted to validate qualifications, experience, and character</w:t>
      </w:r>
      <w:r w:rsidR="00A07B67" w:rsidRPr="0024229F">
        <w:rPr>
          <w:rFonts w:cs="Arial"/>
          <w:noProof/>
        </w:rPr>
        <w:t xml:space="preserve"> </w:t>
      </w:r>
      <w:r w:rsidR="00D718F3" w:rsidRPr="0024229F">
        <w:rPr>
          <w:rFonts w:cs="Arial"/>
          <w:noProof/>
        </w:rPr>
        <w:t>(Johnston et al., 2021)</w:t>
      </w:r>
      <w:r w:rsidR="00670C2C" w:rsidRPr="0024229F">
        <w:rPr>
          <w:rFonts w:cs="Arial"/>
          <w:noProof/>
        </w:rPr>
        <w:t>.</w:t>
      </w:r>
    </w:p>
    <w:p w14:paraId="79C451D7" w14:textId="3448645C" w:rsidR="00670C2C" w:rsidRPr="0024229F" w:rsidRDefault="00670C2C" w:rsidP="0024229F">
      <w:pPr>
        <w:rPr>
          <w:rFonts w:cs="Arial"/>
          <w:noProof/>
        </w:rPr>
      </w:pPr>
      <w:r w:rsidRPr="0024229F">
        <w:rPr>
          <w:rFonts w:cs="Arial"/>
          <w:noProof/>
        </w:rPr>
        <w:t>Decision Making: Final hiring decision is made on interview performances, reference checks and alignment with the job requirements</w:t>
      </w:r>
      <w:r w:rsidR="006557B2" w:rsidRPr="0024229F">
        <w:rPr>
          <w:rFonts w:cs="Arial"/>
          <w:noProof/>
        </w:rPr>
        <w:t xml:space="preserve"> (Armstrong </w:t>
      </w:r>
      <w:r w:rsidR="00035D25" w:rsidRPr="0024229F">
        <w:rPr>
          <w:rFonts w:cs="Arial"/>
          <w:noProof/>
        </w:rPr>
        <w:t>and</w:t>
      </w:r>
      <w:r w:rsidR="006557B2" w:rsidRPr="0024229F">
        <w:rPr>
          <w:rFonts w:cs="Arial"/>
          <w:noProof/>
        </w:rPr>
        <w:t xml:space="preserve"> Taylor, 2020)</w:t>
      </w:r>
      <w:r w:rsidRPr="0024229F">
        <w:rPr>
          <w:rFonts w:cs="Arial"/>
          <w:noProof/>
        </w:rPr>
        <w:t>.</w:t>
      </w:r>
    </w:p>
    <w:p w14:paraId="2AAF9A7B" w14:textId="5F1E97D6" w:rsidR="00670C2C" w:rsidRPr="0024229F" w:rsidRDefault="00670C2C" w:rsidP="0024229F">
      <w:pPr>
        <w:rPr>
          <w:rFonts w:cs="Arial"/>
          <w:noProof/>
        </w:rPr>
      </w:pPr>
      <w:r w:rsidRPr="0024229F">
        <w:rPr>
          <w:rFonts w:cs="Arial"/>
          <w:noProof/>
        </w:rPr>
        <w:t>Offer and Onboarding: A job offer is extended to the selected candidate formally, followed by the onboarding process to integrate them into the organisation</w:t>
      </w:r>
      <w:r w:rsidR="00A07B67" w:rsidRPr="0024229F">
        <w:rPr>
          <w:rFonts w:cs="Arial"/>
          <w:noProof/>
        </w:rPr>
        <w:t xml:space="preserve"> </w:t>
      </w:r>
      <w:r w:rsidR="00D718F3" w:rsidRPr="0024229F">
        <w:rPr>
          <w:rFonts w:cs="Arial"/>
          <w:noProof/>
        </w:rPr>
        <w:t>(</w:t>
      </w:r>
      <w:r w:rsidR="00BD0953" w:rsidRPr="0024229F">
        <w:rPr>
          <w:rFonts w:cs="Arial"/>
          <w:noProof/>
        </w:rPr>
        <w:t>Boon et al.</w:t>
      </w:r>
      <w:r w:rsidR="00D718F3" w:rsidRPr="0024229F">
        <w:rPr>
          <w:rFonts w:cs="Arial"/>
          <w:noProof/>
        </w:rPr>
        <w:t>, 201</w:t>
      </w:r>
      <w:r w:rsidR="00BD0953" w:rsidRPr="0024229F">
        <w:rPr>
          <w:rFonts w:cs="Arial"/>
          <w:noProof/>
        </w:rPr>
        <w:t>8</w:t>
      </w:r>
      <w:r w:rsidR="00D718F3" w:rsidRPr="0024229F">
        <w:rPr>
          <w:rFonts w:cs="Arial"/>
          <w:noProof/>
        </w:rPr>
        <w:t>)</w:t>
      </w:r>
      <w:r w:rsidRPr="0024229F">
        <w:rPr>
          <w:rFonts w:cs="Arial"/>
          <w:noProof/>
        </w:rPr>
        <w:t xml:space="preserve">. </w:t>
      </w:r>
    </w:p>
    <w:p w14:paraId="7E7D2F7A" w14:textId="4FAE7D50" w:rsidR="00670C2C" w:rsidRPr="0024229F" w:rsidRDefault="00670C2C" w:rsidP="0024229F">
      <w:pPr>
        <w:rPr>
          <w:rFonts w:cs="Arial"/>
          <w:noProof/>
        </w:rPr>
      </w:pPr>
      <w:r w:rsidRPr="0024229F">
        <w:rPr>
          <w:rFonts w:cs="Arial"/>
          <w:noProof/>
        </w:rPr>
        <w:t>Eventually, when it seeks potential talents for its upscale brands, such as Waldorf Astoria or Conrad Hotels &amp; Resorts, Hilton often relies on targeted headhunting efforts to attract professionals renowned for their expertise in luxury hospitality</w:t>
      </w:r>
      <w:r w:rsidR="00035D25" w:rsidRPr="0024229F">
        <w:rPr>
          <w:rFonts w:cs="Arial"/>
          <w:noProof/>
        </w:rPr>
        <w:t xml:space="preserve"> (APAC, 2024)</w:t>
      </w:r>
      <w:r w:rsidRPr="0024229F">
        <w:rPr>
          <w:rFonts w:cs="Arial"/>
          <w:noProof/>
        </w:rPr>
        <w:t>. Conversely, for the level positions or roles which require specialised skills, Hilton employs innovative online recruitment platforms and partnerships with educational institutions to attract a diverse pool of candidates</w:t>
      </w:r>
      <w:r w:rsidR="00A07B67" w:rsidRPr="0024229F">
        <w:rPr>
          <w:rFonts w:cs="Arial"/>
          <w:noProof/>
        </w:rPr>
        <w:t xml:space="preserve"> </w:t>
      </w:r>
      <w:r w:rsidR="006557B2" w:rsidRPr="0024229F">
        <w:rPr>
          <w:rFonts w:cs="Arial"/>
          <w:noProof/>
        </w:rPr>
        <w:t xml:space="preserve">(Hilton, 2019). </w:t>
      </w:r>
      <w:r w:rsidRPr="0024229F">
        <w:rPr>
          <w:rFonts w:cs="Arial"/>
          <w:noProof/>
        </w:rPr>
        <w:t>Hilton's selection process is designed to identify individuals who are not only skilful and qualified but also have the brand's values and ethos. Through an intensive assessment method, including competency-based interviews and situational judgement tests, Hilton evaluates candidates with its customer-centric culture and commitment to delivering exceptional guest experience</w:t>
      </w:r>
      <w:r w:rsidR="003333A9" w:rsidRPr="0024229F">
        <w:rPr>
          <w:rFonts w:cs="Arial"/>
          <w:noProof/>
        </w:rPr>
        <w:t xml:space="preserve"> (</w:t>
      </w:r>
      <w:r w:rsidR="00BE719A" w:rsidRPr="0024229F">
        <w:rPr>
          <w:rFonts w:eastAsia="Times New Roman" w:cs="Arial"/>
          <w:noProof/>
          <w:kern w:val="0"/>
          <w:szCs w:val="24"/>
          <w14:ligatures w14:val="none"/>
        </w:rPr>
        <w:t>Zhang</w:t>
      </w:r>
      <w:r w:rsidR="00BE719A" w:rsidRPr="0024229F">
        <w:rPr>
          <w:rFonts w:cs="Arial"/>
          <w:noProof/>
        </w:rPr>
        <w:t xml:space="preserve">, </w:t>
      </w:r>
      <w:r w:rsidR="003333A9" w:rsidRPr="0024229F">
        <w:rPr>
          <w:rFonts w:cs="Arial"/>
          <w:noProof/>
        </w:rPr>
        <w:t>202</w:t>
      </w:r>
      <w:r w:rsidR="00BE719A" w:rsidRPr="0024229F">
        <w:rPr>
          <w:rFonts w:cs="Arial"/>
          <w:noProof/>
        </w:rPr>
        <w:t>3</w:t>
      </w:r>
      <w:r w:rsidR="003333A9" w:rsidRPr="0024229F">
        <w:rPr>
          <w:rFonts w:cs="Arial"/>
          <w:noProof/>
        </w:rPr>
        <w:t>)</w:t>
      </w:r>
      <w:r w:rsidRPr="0024229F">
        <w:rPr>
          <w:rFonts w:cs="Arial"/>
          <w:noProof/>
        </w:rPr>
        <w:t>. These initiatives enable Hilton to cultivate a dynamic workforce that is not only capable of meeting current operational demands but also poised to adapt and innovate in response to future challenges and opportunities. These things lead Hilton to hold their top position as a global leader in the hospitality industry</w:t>
      </w:r>
      <w:r w:rsidR="006557B2" w:rsidRPr="0024229F">
        <w:rPr>
          <w:rFonts w:cs="Arial"/>
          <w:noProof/>
        </w:rPr>
        <w:t xml:space="preserve">. </w:t>
      </w:r>
    </w:p>
    <w:p w14:paraId="4DDBAA75" w14:textId="34E512CF" w:rsidR="00A07B67" w:rsidRPr="0024229F" w:rsidRDefault="00A07B67" w:rsidP="0024229F">
      <w:pPr>
        <w:rPr>
          <w:rFonts w:cs="Arial"/>
          <w:noProof/>
        </w:rPr>
      </w:pPr>
      <w:r w:rsidRPr="0024229F">
        <w:rPr>
          <w:rFonts w:cs="Arial"/>
          <w:noProof/>
        </w:rPr>
        <w:t>Hilton Hotels &amp; Resorts strategically implement HR planning, recruitment and selection processes to foster the development of its businesses across different locations and segments</w:t>
      </w:r>
      <w:r w:rsidR="00952F5C" w:rsidRPr="0024229F">
        <w:rPr>
          <w:rFonts w:cs="Arial"/>
          <w:noProof/>
        </w:rPr>
        <w:t xml:space="preserve"> (Maxwell and Watson, 2006). </w:t>
      </w:r>
      <w:r w:rsidRPr="0024229F">
        <w:rPr>
          <w:rFonts w:cs="Arial"/>
          <w:noProof/>
        </w:rPr>
        <w:t>In HR planning, Hilton assesses the changing needs and dynamics of each business unit. For instance, when it comes to expanding the business, Hilton conducts an in-depth analysis of the market where it wants to penetrate. Such efficient planning enables Hilton to anticipate staffing requirements and use resources efficiently to support the growth and sustainability of its business</w:t>
      </w:r>
      <w:r w:rsidR="00AA7485" w:rsidRPr="0024229F">
        <w:rPr>
          <w:rFonts w:cs="Arial"/>
          <w:noProof/>
        </w:rPr>
        <w:t xml:space="preserve"> (</w:t>
      </w:r>
      <w:r w:rsidR="00AA7485" w:rsidRPr="0024229F">
        <w:rPr>
          <w:rFonts w:eastAsia="Times New Roman" w:cs="Arial"/>
          <w:noProof/>
          <w:kern w:val="0"/>
          <w:szCs w:val="24"/>
          <w14:ligatures w14:val="none"/>
        </w:rPr>
        <w:t>Zhang, 2023)</w:t>
      </w:r>
      <w:r w:rsidRPr="0024229F">
        <w:rPr>
          <w:rFonts w:cs="Arial"/>
          <w:noProof/>
        </w:rPr>
        <w:t xml:space="preserve">. </w:t>
      </w:r>
    </w:p>
    <w:p w14:paraId="4A0D9392" w14:textId="46F9FC22" w:rsidR="0002600A" w:rsidRPr="0024229F" w:rsidRDefault="00670C2C" w:rsidP="0024229F">
      <w:pPr>
        <w:rPr>
          <w:rFonts w:cs="Arial"/>
          <w:noProof/>
        </w:rPr>
      </w:pPr>
      <w:r w:rsidRPr="0024229F">
        <w:rPr>
          <w:rFonts w:cs="Arial"/>
          <w:noProof/>
        </w:rPr>
        <w:t xml:space="preserve">In conclusion, the strategic implementations of Human Resource Management (HRM) functions within the hotel industry, exemplified by Hilton Hotels &amp; Resorts, provide the </w:t>
      </w:r>
      <w:r w:rsidRPr="0024229F">
        <w:rPr>
          <w:rFonts w:cs="Arial"/>
          <w:noProof/>
        </w:rPr>
        <w:lastRenderedPageBreak/>
        <w:t>crucial roles of HR practices in driving business growth and sustainability. Through strategic workforce planning, targeted recruitment efforts and an intensive selection process, Hilton eventually aligns its human capital with organisational objectives and maintains versatility in the hospitality industry. The impact of HRM extends beyond our imagination. It always tends to enhance the brand reputation, performance, and operational excellence and encompasses the broader business outcomes. So, through efficient HRM practices industry leaders like Hilton and others can navigate challenges and capitalise the opportunities.</w:t>
      </w:r>
      <w:r w:rsidR="0002600A" w:rsidRPr="0024229F">
        <w:rPr>
          <w:rFonts w:cs="Arial"/>
          <w:noProof/>
        </w:rPr>
        <w:br w:type="page"/>
      </w:r>
    </w:p>
    <w:p w14:paraId="3C0266FD" w14:textId="2F3C01A8" w:rsidR="00A3279A" w:rsidRPr="0024229F" w:rsidRDefault="0002600A" w:rsidP="0024229F">
      <w:pPr>
        <w:pStyle w:val="Heading1"/>
        <w:spacing w:line="360" w:lineRule="auto"/>
        <w:rPr>
          <w:rFonts w:cs="Arial"/>
          <w:noProof/>
        </w:rPr>
      </w:pPr>
      <w:r w:rsidRPr="0024229F">
        <w:rPr>
          <w:rFonts w:cs="Arial"/>
          <w:noProof/>
        </w:rPr>
        <w:lastRenderedPageBreak/>
        <w:t>References</w:t>
      </w:r>
    </w:p>
    <w:p w14:paraId="5428FE3F" w14:textId="539B0A7B" w:rsidR="00921E5B" w:rsidRPr="0024229F" w:rsidRDefault="00921E5B" w:rsidP="0024229F">
      <w:pPr>
        <w:pStyle w:val="NormalWeb"/>
        <w:spacing w:line="360" w:lineRule="auto"/>
        <w:jc w:val="both"/>
        <w:rPr>
          <w:rFonts w:cs="Arial"/>
          <w:noProof/>
          <w:lang w:val="en-GB"/>
        </w:rPr>
      </w:pPr>
      <w:r w:rsidRPr="0024229F">
        <w:rPr>
          <w:rFonts w:cs="Arial"/>
          <w:noProof/>
          <w:lang w:val="en-GB"/>
        </w:rPr>
        <w:t xml:space="preserve">Al-Khaled, A.A.S. and Fenn, C.J. (2020) The impact of strategic human resource management practices on </w:t>
      </w:r>
      <w:r w:rsidR="008675DD" w:rsidRPr="0024229F">
        <w:rPr>
          <w:rFonts w:cs="Arial"/>
          <w:noProof/>
          <w:lang w:val="en-GB"/>
        </w:rPr>
        <w:t>organis</w:t>
      </w:r>
      <w:r w:rsidRPr="0024229F">
        <w:rPr>
          <w:rFonts w:cs="Arial"/>
          <w:noProof/>
          <w:lang w:val="en-GB"/>
        </w:rPr>
        <w:t xml:space="preserve">ational performance. </w:t>
      </w:r>
      <w:r w:rsidRPr="0024229F">
        <w:rPr>
          <w:rFonts w:cs="Arial"/>
          <w:i/>
          <w:iCs/>
          <w:noProof/>
          <w:lang w:val="en-GB"/>
        </w:rPr>
        <w:t>BERJAYA Journal of Services &amp; Management</w:t>
      </w:r>
      <w:r w:rsidRPr="0024229F">
        <w:rPr>
          <w:rFonts w:cs="Arial"/>
          <w:noProof/>
          <w:lang w:val="en-GB"/>
        </w:rPr>
        <w:t xml:space="preserve">, </w:t>
      </w:r>
      <w:r w:rsidRPr="0024229F">
        <w:rPr>
          <w:rFonts w:cs="Arial"/>
          <w:i/>
          <w:iCs/>
          <w:noProof/>
          <w:lang w:val="en-GB"/>
        </w:rPr>
        <w:t>14</w:t>
      </w:r>
      <w:r w:rsidRPr="0024229F">
        <w:rPr>
          <w:rFonts w:cs="Arial"/>
          <w:noProof/>
          <w:lang w:val="en-GB"/>
        </w:rPr>
        <w:t>, pp.53-60.</w:t>
      </w:r>
    </w:p>
    <w:p w14:paraId="43AEA183" w14:textId="77777777" w:rsidR="00921E5B" w:rsidRPr="0024229F" w:rsidRDefault="00921E5B" w:rsidP="0024229F">
      <w:pPr>
        <w:spacing w:after="240"/>
        <w:rPr>
          <w:rFonts w:eastAsia="Times New Roman" w:cs="Arial"/>
          <w:noProof/>
          <w:kern w:val="0"/>
          <w:szCs w:val="24"/>
          <w:lang w:eastAsia="en-GB"/>
          <w14:ligatures w14:val="none"/>
        </w:rPr>
      </w:pPr>
      <w:r w:rsidRPr="0024229F">
        <w:rPr>
          <w:rFonts w:eastAsia="Times New Roman" w:cs="Arial"/>
          <w:noProof/>
          <w:kern w:val="0"/>
          <w:szCs w:val="24"/>
          <w:lang w:eastAsia="en-GB"/>
          <w14:ligatures w14:val="none"/>
        </w:rPr>
        <w:t xml:space="preserve">APAC (2024) </w:t>
      </w:r>
      <w:r w:rsidRPr="0024229F">
        <w:rPr>
          <w:rFonts w:eastAsia="Times New Roman" w:cs="Arial"/>
          <w:i/>
          <w:iCs/>
          <w:noProof/>
          <w:kern w:val="0"/>
          <w:szCs w:val="24"/>
          <w:lang w:eastAsia="en-GB"/>
          <w14:ligatures w14:val="none"/>
        </w:rPr>
        <w:t>Hilton Appoints Candice D’Cruz as Vice President, Luxury Brands for Asia Pacific</w:t>
      </w:r>
      <w:r w:rsidRPr="0024229F">
        <w:rPr>
          <w:rFonts w:eastAsia="Times New Roman" w:cs="Arial"/>
          <w:noProof/>
          <w:kern w:val="0"/>
          <w:szCs w:val="24"/>
          <w:lang w:eastAsia="en-GB"/>
          <w14:ligatures w14:val="none"/>
        </w:rPr>
        <w:t>. [online] Stories From Hilton - APAC. Available at: https://stories.hilton.com/apac/releases/hilton-appoints-candice-dcruz-as-vice-president-of-luxury-brands-for-asia-pacific [Accessed 28 Jan. 2024].</w:t>
      </w:r>
    </w:p>
    <w:p w14:paraId="1D76E447" w14:textId="77777777" w:rsidR="00921E5B" w:rsidRPr="0024229F" w:rsidRDefault="00921E5B" w:rsidP="0024229F">
      <w:pPr>
        <w:pStyle w:val="NormalWeb"/>
        <w:spacing w:line="360" w:lineRule="auto"/>
        <w:jc w:val="both"/>
        <w:rPr>
          <w:rFonts w:cs="Arial"/>
          <w:noProof/>
          <w:lang w:val="en-GB"/>
        </w:rPr>
      </w:pPr>
      <w:r w:rsidRPr="0024229F">
        <w:rPr>
          <w:rFonts w:cs="Arial"/>
          <w:noProof/>
          <w:lang w:val="en-GB"/>
        </w:rPr>
        <w:t xml:space="preserve">ARMSTRONG, M. and TAYLOR, S. (2020) </w:t>
      </w:r>
      <w:r w:rsidRPr="0024229F">
        <w:rPr>
          <w:rFonts w:cs="Arial"/>
          <w:i/>
          <w:iCs/>
          <w:noProof/>
          <w:lang w:val="en-GB"/>
        </w:rPr>
        <w:t>Armstrong’s Handbook of Human Resource Management Practice.</w:t>
      </w:r>
      <w:r w:rsidRPr="0024229F">
        <w:rPr>
          <w:rFonts w:cs="Arial"/>
          <w:noProof/>
          <w:lang w:val="en-GB"/>
        </w:rPr>
        <w:t xml:space="preserve"> London: New York; New Delhi: Kogan Page. </w:t>
      </w:r>
    </w:p>
    <w:p w14:paraId="7520286B" w14:textId="77777777" w:rsidR="00921E5B" w:rsidRPr="0024229F" w:rsidRDefault="00921E5B" w:rsidP="0024229F">
      <w:pPr>
        <w:pStyle w:val="NormalWeb"/>
        <w:spacing w:line="360" w:lineRule="auto"/>
        <w:jc w:val="both"/>
        <w:rPr>
          <w:rFonts w:cs="Arial"/>
          <w:noProof/>
          <w:lang w:val="en-GB"/>
        </w:rPr>
      </w:pPr>
      <w:r w:rsidRPr="0024229F">
        <w:rPr>
          <w:rFonts w:cs="Arial"/>
          <w:noProof/>
          <w:lang w:val="en-GB"/>
        </w:rPr>
        <w:t xml:space="preserve">Boon, C., Eckardt, R., Lepak, D.P. and Boselie, P. (2018) Integrating strategic human capital and strategic human resource management. </w:t>
      </w:r>
      <w:r w:rsidRPr="0024229F">
        <w:rPr>
          <w:rFonts w:cs="Arial"/>
          <w:i/>
          <w:iCs/>
          <w:noProof/>
          <w:lang w:val="en-GB"/>
        </w:rPr>
        <w:t>The International Journal of Human Resource Management</w:t>
      </w:r>
      <w:r w:rsidRPr="0024229F">
        <w:rPr>
          <w:rFonts w:cs="Arial"/>
          <w:noProof/>
          <w:lang w:val="en-GB"/>
        </w:rPr>
        <w:t xml:space="preserve">, </w:t>
      </w:r>
      <w:r w:rsidRPr="0024229F">
        <w:rPr>
          <w:rFonts w:cs="Arial"/>
          <w:i/>
          <w:iCs/>
          <w:noProof/>
          <w:lang w:val="en-GB"/>
        </w:rPr>
        <w:t>29</w:t>
      </w:r>
      <w:r w:rsidRPr="0024229F">
        <w:rPr>
          <w:rFonts w:cs="Arial"/>
          <w:noProof/>
          <w:lang w:val="en-GB"/>
        </w:rPr>
        <w:t>(1), pp.34-67.</w:t>
      </w:r>
    </w:p>
    <w:p w14:paraId="6DBB8CA6" w14:textId="77777777" w:rsidR="00921E5B" w:rsidRPr="0024229F" w:rsidRDefault="00921E5B" w:rsidP="0024229F">
      <w:pPr>
        <w:pStyle w:val="NormalWeb"/>
        <w:spacing w:line="360" w:lineRule="auto"/>
        <w:jc w:val="both"/>
        <w:rPr>
          <w:rFonts w:cs="Arial"/>
          <w:noProof/>
          <w:lang w:val="en-GB"/>
        </w:rPr>
      </w:pPr>
      <w:r w:rsidRPr="0024229F">
        <w:rPr>
          <w:rFonts w:cs="Arial"/>
          <w:noProof/>
          <w:lang w:val="en-GB"/>
        </w:rPr>
        <w:t xml:space="preserve">Figurska, I. and Matuska, E. (2013) Employer branding as a human resources management strategy. </w:t>
      </w:r>
      <w:r w:rsidRPr="0024229F">
        <w:rPr>
          <w:rFonts w:cs="Arial"/>
          <w:i/>
          <w:iCs/>
          <w:noProof/>
          <w:lang w:val="en-GB"/>
        </w:rPr>
        <w:t>Human resources management &amp; Ergonomics</w:t>
      </w:r>
      <w:r w:rsidRPr="0024229F">
        <w:rPr>
          <w:rFonts w:cs="Arial"/>
          <w:noProof/>
          <w:lang w:val="en-GB"/>
        </w:rPr>
        <w:t xml:space="preserve">, </w:t>
      </w:r>
      <w:r w:rsidRPr="0024229F">
        <w:rPr>
          <w:rFonts w:cs="Arial"/>
          <w:i/>
          <w:iCs/>
          <w:noProof/>
          <w:lang w:val="en-GB"/>
        </w:rPr>
        <w:t>7</w:t>
      </w:r>
      <w:r w:rsidRPr="0024229F">
        <w:rPr>
          <w:rFonts w:cs="Arial"/>
          <w:noProof/>
          <w:lang w:val="en-GB"/>
        </w:rPr>
        <w:t>(2).</w:t>
      </w:r>
    </w:p>
    <w:p w14:paraId="4F0FBF34" w14:textId="77777777" w:rsidR="00921E5B" w:rsidRPr="0024229F" w:rsidRDefault="00921E5B" w:rsidP="0024229F">
      <w:pPr>
        <w:spacing w:after="240"/>
        <w:rPr>
          <w:rFonts w:eastAsia="Times New Roman" w:cs="Arial"/>
          <w:noProof/>
          <w:kern w:val="0"/>
          <w:szCs w:val="24"/>
          <w:lang w:eastAsia="en-GB"/>
          <w14:ligatures w14:val="none"/>
        </w:rPr>
      </w:pPr>
      <w:r w:rsidRPr="0024229F">
        <w:rPr>
          <w:rFonts w:eastAsia="Times New Roman" w:cs="Arial"/>
          <w:noProof/>
          <w:kern w:val="0"/>
          <w:szCs w:val="24"/>
          <w:lang w:eastAsia="en-GB"/>
          <w14:ligatures w14:val="none"/>
        </w:rPr>
        <w:t xml:space="preserve">Hilton (2019) </w:t>
      </w:r>
      <w:r w:rsidRPr="0024229F">
        <w:rPr>
          <w:rFonts w:eastAsia="Times New Roman" w:cs="Arial"/>
          <w:i/>
          <w:iCs/>
          <w:noProof/>
          <w:kern w:val="0"/>
          <w:szCs w:val="24"/>
          <w:lang w:eastAsia="en-GB"/>
          <w14:ligatures w14:val="none"/>
        </w:rPr>
        <w:t>DIVERSITY INCLUSION AT HILTON</w:t>
      </w:r>
      <w:r w:rsidRPr="0024229F">
        <w:rPr>
          <w:rFonts w:eastAsia="Times New Roman" w:cs="Arial"/>
          <w:noProof/>
          <w:kern w:val="0"/>
          <w:szCs w:val="24"/>
          <w:lang w:eastAsia="en-GB"/>
          <w14:ligatures w14:val="none"/>
        </w:rPr>
        <w:t>. [online] Available at: https://www.hilton.com/en/corporate/wp-content/uploads/2019/11/20190225_External-Diversity-Brochure.pdf [Accessed 28 Jan. 2024].</w:t>
      </w:r>
    </w:p>
    <w:p w14:paraId="2A271452" w14:textId="77777777" w:rsidR="00921E5B" w:rsidRPr="0024229F" w:rsidRDefault="00921E5B" w:rsidP="0024229F">
      <w:pPr>
        <w:pStyle w:val="NormalWeb"/>
        <w:spacing w:line="360" w:lineRule="auto"/>
        <w:jc w:val="both"/>
        <w:rPr>
          <w:rFonts w:cs="Arial"/>
          <w:noProof/>
          <w:lang w:val="en-GB"/>
        </w:rPr>
      </w:pPr>
      <w:r w:rsidRPr="0024229F">
        <w:rPr>
          <w:rFonts w:cs="Arial"/>
          <w:noProof/>
          <w:lang w:val="en-GB"/>
        </w:rPr>
        <w:t xml:space="preserve">Hinton, D.P., Woods, S.A. and Zibarras, L.D. (2020) RECRUITMENT AND SELECTION. </w:t>
      </w:r>
      <w:r w:rsidRPr="0024229F">
        <w:rPr>
          <w:rFonts w:cs="Arial"/>
          <w:i/>
          <w:iCs/>
          <w:noProof/>
          <w:lang w:val="en-GB"/>
        </w:rPr>
        <w:t>Human Resource Management: Strategic and International Perspectives</w:t>
      </w:r>
      <w:r w:rsidRPr="0024229F">
        <w:rPr>
          <w:rFonts w:cs="Arial"/>
          <w:noProof/>
          <w:lang w:val="en-GB"/>
        </w:rPr>
        <w:t>, p.198.</w:t>
      </w:r>
    </w:p>
    <w:p w14:paraId="38434CE1" w14:textId="2CFD0BD4" w:rsidR="00921E5B" w:rsidRPr="0024229F" w:rsidRDefault="00921E5B" w:rsidP="0024229F">
      <w:pPr>
        <w:pStyle w:val="NormalWeb"/>
        <w:spacing w:line="360" w:lineRule="auto"/>
        <w:jc w:val="both"/>
        <w:rPr>
          <w:rFonts w:cs="Arial"/>
          <w:noProof/>
          <w:lang w:val="en-GB"/>
        </w:rPr>
      </w:pPr>
      <w:r w:rsidRPr="0024229F">
        <w:rPr>
          <w:rFonts w:cs="Arial"/>
          <w:noProof/>
          <w:lang w:val="en-GB"/>
        </w:rPr>
        <w:t xml:space="preserve">John, S. (2013) </w:t>
      </w:r>
      <w:r w:rsidRPr="0024229F">
        <w:rPr>
          <w:rFonts w:cs="Arial"/>
          <w:i/>
          <w:iCs/>
          <w:noProof/>
          <w:lang w:val="en-GB"/>
        </w:rPr>
        <w:t xml:space="preserve">Strategic learning and leading change: How global </w:t>
      </w:r>
      <w:r w:rsidR="008675DD" w:rsidRPr="0024229F">
        <w:rPr>
          <w:rFonts w:cs="Arial"/>
          <w:i/>
          <w:iCs/>
          <w:noProof/>
          <w:lang w:val="en-GB"/>
        </w:rPr>
        <w:t>organis</w:t>
      </w:r>
      <w:r w:rsidRPr="0024229F">
        <w:rPr>
          <w:rFonts w:cs="Arial"/>
          <w:i/>
          <w:iCs/>
          <w:noProof/>
          <w:lang w:val="en-GB"/>
        </w:rPr>
        <w:t>ations are reinventing HR</w:t>
      </w:r>
      <w:r w:rsidRPr="0024229F">
        <w:rPr>
          <w:rFonts w:cs="Arial"/>
          <w:noProof/>
          <w:lang w:val="en-GB"/>
        </w:rPr>
        <w:t xml:space="preserve">. Amsterdam: Butterworth-Heinemann. </w:t>
      </w:r>
    </w:p>
    <w:p w14:paraId="08E92B55" w14:textId="6FF1CB44" w:rsidR="00921E5B" w:rsidRPr="0024229F" w:rsidRDefault="00921E5B" w:rsidP="0024229F">
      <w:pPr>
        <w:pStyle w:val="NormalWeb"/>
        <w:spacing w:line="360" w:lineRule="auto"/>
        <w:jc w:val="both"/>
        <w:rPr>
          <w:rFonts w:cs="Arial"/>
          <w:noProof/>
          <w:lang w:val="en-GB"/>
        </w:rPr>
      </w:pPr>
      <w:r w:rsidRPr="0024229F">
        <w:rPr>
          <w:rFonts w:cs="Arial"/>
          <w:noProof/>
          <w:lang w:val="en-GB"/>
        </w:rPr>
        <w:t xml:space="preserve">Kalyani, M. and Sahoo, M.P. (2011) Human resource strategy: A tool of managing change for </w:t>
      </w:r>
      <w:r w:rsidR="008675DD" w:rsidRPr="0024229F">
        <w:rPr>
          <w:rFonts w:cs="Arial"/>
          <w:noProof/>
          <w:lang w:val="en-GB"/>
        </w:rPr>
        <w:t>organis</w:t>
      </w:r>
      <w:r w:rsidRPr="0024229F">
        <w:rPr>
          <w:rFonts w:cs="Arial"/>
          <w:noProof/>
          <w:lang w:val="en-GB"/>
        </w:rPr>
        <w:t xml:space="preserve">ational excellence. </w:t>
      </w:r>
      <w:r w:rsidRPr="0024229F">
        <w:rPr>
          <w:rFonts w:cs="Arial"/>
          <w:i/>
          <w:iCs/>
          <w:noProof/>
          <w:lang w:val="en-GB"/>
        </w:rPr>
        <w:t>International Journal of Business and Management</w:t>
      </w:r>
      <w:r w:rsidRPr="0024229F">
        <w:rPr>
          <w:rFonts w:cs="Arial"/>
          <w:noProof/>
          <w:lang w:val="en-GB"/>
        </w:rPr>
        <w:t xml:space="preserve">, </w:t>
      </w:r>
      <w:r w:rsidRPr="0024229F">
        <w:rPr>
          <w:rFonts w:cs="Arial"/>
          <w:i/>
          <w:iCs/>
          <w:noProof/>
          <w:lang w:val="en-GB"/>
        </w:rPr>
        <w:t>6</w:t>
      </w:r>
      <w:r w:rsidRPr="0024229F">
        <w:rPr>
          <w:rFonts w:cs="Arial"/>
          <w:noProof/>
          <w:lang w:val="en-GB"/>
        </w:rPr>
        <w:t>(8), p.280.</w:t>
      </w:r>
    </w:p>
    <w:p w14:paraId="74301C50" w14:textId="77777777" w:rsidR="00921E5B" w:rsidRPr="0024229F" w:rsidRDefault="00921E5B" w:rsidP="0024229F">
      <w:pPr>
        <w:pStyle w:val="NormalWeb"/>
        <w:spacing w:line="360" w:lineRule="auto"/>
        <w:jc w:val="both"/>
        <w:rPr>
          <w:rFonts w:cs="Arial"/>
          <w:noProof/>
          <w:lang w:val="en-GB"/>
        </w:rPr>
      </w:pPr>
      <w:r w:rsidRPr="0024229F">
        <w:rPr>
          <w:rFonts w:cs="Arial"/>
          <w:noProof/>
          <w:lang w:val="en-GB"/>
        </w:rPr>
        <w:lastRenderedPageBreak/>
        <w:t xml:space="preserve">Kramar, R. (2013) Beyond strategic human resource management: Is sustainable human resource management the next approach? </w:t>
      </w:r>
      <w:r w:rsidRPr="0024229F">
        <w:rPr>
          <w:rFonts w:cs="Arial"/>
          <w:i/>
          <w:iCs/>
          <w:noProof/>
          <w:lang w:val="en-GB"/>
        </w:rPr>
        <w:t>The International Journal of Human Resource Management</w:t>
      </w:r>
      <w:r w:rsidRPr="0024229F">
        <w:rPr>
          <w:rFonts w:cs="Arial"/>
          <w:noProof/>
          <w:lang w:val="en-GB"/>
        </w:rPr>
        <w:t xml:space="preserve">, 25(8), pp. 1069–1089. </w:t>
      </w:r>
    </w:p>
    <w:p w14:paraId="74BB315B" w14:textId="77777777" w:rsidR="00921E5B" w:rsidRPr="0024229F" w:rsidRDefault="00921E5B" w:rsidP="0024229F">
      <w:pPr>
        <w:pStyle w:val="NormalWeb"/>
        <w:spacing w:line="360" w:lineRule="auto"/>
        <w:jc w:val="both"/>
        <w:rPr>
          <w:rFonts w:cs="Arial"/>
          <w:noProof/>
          <w:lang w:val="en-GB"/>
        </w:rPr>
      </w:pPr>
      <w:r w:rsidRPr="0024229F">
        <w:rPr>
          <w:rFonts w:cs="Arial"/>
          <w:noProof/>
          <w:lang w:val="en-GB"/>
        </w:rPr>
        <w:t xml:space="preserve">Marchington, M., Wilkinson, A., Donnelly, R. and Kynighou, A. (2016) </w:t>
      </w:r>
      <w:r w:rsidRPr="0024229F">
        <w:rPr>
          <w:rFonts w:cs="Arial"/>
          <w:i/>
          <w:iCs/>
          <w:noProof/>
          <w:lang w:val="en-GB"/>
        </w:rPr>
        <w:t>Human resource management at work</w:t>
      </w:r>
      <w:r w:rsidRPr="0024229F">
        <w:rPr>
          <w:rFonts w:cs="Arial"/>
          <w:noProof/>
          <w:lang w:val="en-GB"/>
        </w:rPr>
        <w:t>. Kogan Page Publishers.</w:t>
      </w:r>
    </w:p>
    <w:p w14:paraId="4C61597B" w14:textId="77777777" w:rsidR="00921E5B" w:rsidRPr="0024229F" w:rsidRDefault="00921E5B" w:rsidP="0024229F">
      <w:pPr>
        <w:pStyle w:val="NormalWeb"/>
        <w:spacing w:line="360" w:lineRule="auto"/>
        <w:jc w:val="both"/>
        <w:rPr>
          <w:rFonts w:cs="Arial"/>
          <w:noProof/>
          <w:lang w:val="en-GB"/>
        </w:rPr>
      </w:pPr>
      <w:r w:rsidRPr="0024229F">
        <w:rPr>
          <w:rFonts w:cs="Arial"/>
          <w:noProof/>
          <w:lang w:val="en-GB"/>
        </w:rPr>
        <w:t xml:space="preserve">Maxwell, G.A. and Watson, S. (2006) Perspectives on line managers in human resource management: Hilton International's UK hotels. </w:t>
      </w:r>
      <w:r w:rsidRPr="0024229F">
        <w:rPr>
          <w:rFonts w:cs="Arial"/>
          <w:i/>
          <w:iCs/>
          <w:noProof/>
          <w:lang w:val="en-GB"/>
        </w:rPr>
        <w:t>The International Journal of Human Resource Management</w:t>
      </w:r>
      <w:r w:rsidRPr="0024229F">
        <w:rPr>
          <w:rFonts w:cs="Arial"/>
          <w:noProof/>
          <w:lang w:val="en-GB"/>
        </w:rPr>
        <w:t xml:space="preserve">, </w:t>
      </w:r>
      <w:r w:rsidRPr="0024229F">
        <w:rPr>
          <w:rFonts w:cs="Arial"/>
          <w:i/>
          <w:iCs/>
          <w:noProof/>
          <w:lang w:val="en-GB"/>
        </w:rPr>
        <w:t>17</w:t>
      </w:r>
      <w:r w:rsidRPr="0024229F">
        <w:rPr>
          <w:rFonts w:cs="Arial"/>
          <w:noProof/>
          <w:lang w:val="en-GB"/>
        </w:rPr>
        <w:t>(6), pp.1152-1170.</w:t>
      </w:r>
    </w:p>
    <w:p w14:paraId="4DB2B367" w14:textId="77777777" w:rsidR="00921E5B" w:rsidRPr="0024229F" w:rsidRDefault="00921E5B" w:rsidP="0024229F">
      <w:pPr>
        <w:pStyle w:val="NormalWeb"/>
        <w:spacing w:line="360" w:lineRule="auto"/>
        <w:jc w:val="both"/>
        <w:rPr>
          <w:rFonts w:cs="Arial"/>
          <w:noProof/>
          <w:lang w:val="en-GB"/>
        </w:rPr>
      </w:pPr>
      <w:r w:rsidRPr="0024229F">
        <w:rPr>
          <w:rFonts w:cs="Arial"/>
          <w:noProof/>
          <w:lang w:val="en-GB"/>
        </w:rPr>
        <w:t xml:space="preserve">Phillips, J.M. and Gully, S.M. (2015) Multilevel and strategic recruiting: Where have we been, where can we go from here?. </w:t>
      </w:r>
      <w:r w:rsidRPr="0024229F">
        <w:rPr>
          <w:rFonts w:cs="Arial"/>
          <w:i/>
          <w:iCs/>
          <w:noProof/>
          <w:lang w:val="en-GB"/>
        </w:rPr>
        <w:t>Journal of Management</w:t>
      </w:r>
      <w:r w:rsidRPr="0024229F">
        <w:rPr>
          <w:rFonts w:cs="Arial"/>
          <w:noProof/>
          <w:lang w:val="en-GB"/>
        </w:rPr>
        <w:t xml:space="preserve">, </w:t>
      </w:r>
      <w:r w:rsidRPr="0024229F">
        <w:rPr>
          <w:rFonts w:cs="Arial"/>
          <w:i/>
          <w:iCs/>
          <w:noProof/>
          <w:lang w:val="en-GB"/>
        </w:rPr>
        <w:t>41</w:t>
      </w:r>
      <w:r w:rsidRPr="0024229F">
        <w:rPr>
          <w:rFonts w:cs="Arial"/>
          <w:noProof/>
          <w:lang w:val="en-GB"/>
        </w:rPr>
        <w:t>(5), pp.1416-1445.</w:t>
      </w:r>
    </w:p>
    <w:p w14:paraId="5B994996" w14:textId="77777777" w:rsidR="00921E5B" w:rsidRPr="0024229F" w:rsidRDefault="00921E5B" w:rsidP="0024229F">
      <w:pPr>
        <w:pStyle w:val="NormalWeb"/>
        <w:spacing w:line="360" w:lineRule="auto"/>
        <w:jc w:val="both"/>
        <w:rPr>
          <w:rFonts w:cs="Arial"/>
          <w:noProof/>
          <w:lang w:val="en-GB"/>
        </w:rPr>
      </w:pPr>
      <w:r w:rsidRPr="0024229F">
        <w:rPr>
          <w:rFonts w:cs="Arial"/>
          <w:noProof/>
          <w:lang w:val="en-GB"/>
        </w:rPr>
        <w:t xml:space="preserve">Pilbeam, S. and Corbridge, M. (2011) </w:t>
      </w:r>
      <w:r w:rsidRPr="0024229F">
        <w:rPr>
          <w:rFonts w:cs="Arial"/>
          <w:i/>
          <w:iCs/>
          <w:noProof/>
          <w:lang w:val="en-GB"/>
        </w:rPr>
        <w:t>People resourcing and talent planning: HRM in practice</w:t>
      </w:r>
      <w:r w:rsidRPr="0024229F">
        <w:rPr>
          <w:rFonts w:cs="Arial"/>
          <w:noProof/>
          <w:lang w:val="en-GB"/>
        </w:rPr>
        <w:t xml:space="preserve">. Harlow, England: Financial Times Prentice Hall. </w:t>
      </w:r>
    </w:p>
    <w:p w14:paraId="22A8F129" w14:textId="77777777" w:rsidR="00921E5B" w:rsidRPr="0024229F" w:rsidRDefault="00921E5B" w:rsidP="0024229F">
      <w:pPr>
        <w:pStyle w:val="NormalWeb"/>
        <w:spacing w:line="360" w:lineRule="auto"/>
        <w:jc w:val="both"/>
        <w:rPr>
          <w:rFonts w:cs="Arial"/>
          <w:noProof/>
          <w:lang w:val="en-GB"/>
        </w:rPr>
      </w:pPr>
      <w:r w:rsidRPr="0024229F">
        <w:rPr>
          <w:rFonts w:cs="Arial"/>
          <w:noProof/>
          <w:lang w:val="en-GB"/>
        </w:rPr>
        <w:t xml:space="preserve">Rue, L.W., Ibrahim, N.A. and Byars, L.L. (2016) </w:t>
      </w:r>
      <w:r w:rsidRPr="0024229F">
        <w:rPr>
          <w:rFonts w:cs="Arial"/>
          <w:i/>
          <w:iCs/>
          <w:noProof/>
          <w:lang w:val="en-GB"/>
        </w:rPr>
        <w:t>Human Resource Management</w:t>
      </w:r>
      <w:r w:rsidRPr="0024229F">
        <w:rPr>
          <w:rFonts w:cs="Arial"/>
          <w:noProof/>
          <w:lang w:val="en-GB"/>
        </w:rPr>
        <w:t xml:space="preserve">. Singapore: McGraw-Hill Education. </w:t>
      </w:r>
    </w:p>
    <w:p w14:paraId="46387A6D" w14:textId="77777777" w:rsidR="00921E5B" w:rsidRPr="0024229F" w:rsidRDefault="00921E5B" w:rsidP="0024229F">
      <w:pPr>
        <w:pStyle w:val="NormalWeb"/>
        <w:spacing w:line="360" w:lineRule="auto"/>
        <w:jc w:val="both"/>
        <w:rPr>
          <w:rFonts w:cs="Arial"/>
          <w:noProof/>
          <w:lang w:val="en-GB"/>
        </w:rPr>
      </w:pPr>
      <w:r w:rsidRPr="0024229F">
        <w:rPr>
          <w:rFonts w:cs="Arial"/>
          <w:noProof/>
          <w:lang w:val="en-GB"/>
        </w:rPr>
        <w:t xml:space="preserve">Sadie, J.L. (2011) </w:t>
      </w:r>
      <w:r w:rsidRPr="0024229F">
        <w:rPr>
          <w:rFonts w:cs="Arial"/>
          <w:i/>
          <w:iCs/>
          <w:noProof/>
          <w:lang w:val="en-GB"/>
        </w:rPr>
        <w:t>Labour demand and supply: A textbook analysis of labour in developed and developing economies</w:t>
      </w:r>
      <w:r w:rsidRPr="0024229F">
        <w:rPr>
          <w:rFonts w:cs="Arial"/>
          <w:noProof/>
          <w:lang w:val="en-GB"/>
        </w:rPr>
        <w:t xml:space="preserve">. Stellenbosch: Kosmo. </w:t>
      </w:r>
    </w:p>
    <w:p w14:paraId="7FBD7AD7" w14:textId="77777777" w:rsidR="00921E5B" w:rsidRPr="0024229F" w:rsidRDefault="00921E5B" w:rsidP="0024229F">
      <w:pPr>
        <w:spacing w:after="240"/>
        <w:rPr>
          <w:rFonts w:eastAsia="Times New Roman" w:cs="Arial"/>
          <w:noProof/>
          <w:kern w:val="0"/>
          <w:szCs w:val="24"/>
          <w14:ligatures w14:val="none"/>
        </w:rPr>
      </w:pPr>
      <w:r w:rsidRPr="0024229F">
        <w:rPr>
          <w:rFonts w:eastAsia="Times New Roman" w:cs="Arial"/>
          <w:noProof/>
          <w:kern w:val="0"/>
          <w:szCs w:val="24"/>
          <w14:ligatures w14:val="none"/>
        </w:rPr>
        <w:t xml:space="preserve">Shore, L.M., Cleveland, J.N. and Sanchez, D. (2018) Inclusive workplaces: A review and model. </w:t>
      </w:r>
      <w:r w:rsidRPr="0024229F">
        <w:rPr>
          <w:rFonts w:eastAsia="Times New Roman" w:cs="Arial"/>
          <w:i/>
          <w:iCs/>
          <w:noProof/>
          <w:kern w:val="0"/>
          <w:szCs w:val="24"/>
          <w14:ligatures w14:val="none"/>
        </w:rPr>
        <w:t>Human Resource Management Review</w:t>
      </w:r>
      <w:r w:rsidRPr="0024229F">
        <w:rPr>
          <w:rFonts w:eastAsia="Times New Roman" w:cs="Arial"/>
          <w:noProof/>
          <w:kern w:val="0"/>
          <w:szCs w:val="24"/>
          <w14:ligatures w14:val="none"/>
        </w:rPr>
        <w:t xml:space="preserve">, </w:t>
      </w:r>
      <w:r w:rsidRPr="0024229F">
        <w:rPr>
          <w:rFonts w:eastAsia="Times New Roman" w:cs="Arial"/>
          <w:i/>
          <w:iCs/>
          <w:noProof/>
          <w:kern w:val="0"/>
          <w:szCs w:val="24"/>
          <w14:ligatures w14:val="none"/>
        </w:rPr>
        <w:t>28</w:t>
      </w:r>
      <w:r w:rsidRPr="0024229F">
        <w:rPr>
          <w:rFonts w:eastAsia="Times New Roman" w:cs="Arial"/>
          <w:noProof/>
          <w:kern w:val="0"/>
          <w:szCs w:val="24"/>
          <w14:ligatures w14:val="none"/>
        </w:rPr>
        <w:t>(2), pp.176-189.</w:t>
      </w:r>
    </w:p>
    <w:p w14:paraId="231E82BE" w14:textId="77777777" w:rsidR="00921E5B" w:rsidRPr="0024229F" w:rsidRDefault="00921E5B" w:rsidP="0024229F">
      <w:pPr>
        <w:pStyle w:val="NormalWeb"/>
        <w:spacing w:line="360" w:lineRule="auto"/>
        <w:jc w:val="both"/>
        <w:rPr>
          <w:rFonts w:cs="Arial"/>
          <w:noProof/>
          <w:lang w:val="en-GB"/>
        </w:rPr>
      </w:pPr>
      <w:r w:rsidRPr="0024229F">
        <w:rPr>
          <w:rFonts w:cs="Arial"/>
          <w:noProof/>
          <w:lang w:val="en-GB"/>
        </w:rPr>
        <w:t xml:space="preserve">Sohel-Uz-Zaman, A., Kabir, A.I., Osman, A.R. and Jalil, M.B. (2022) Strategic human resource management, human capital management and talent management: Same goals many routes. </w:t>
      </w:r>
      <w:r w:rsidRPr="0024229F">
        <w:rPr>
          <w:rFonts w:cs="Arial"/>
          <w:i/>
          <w:iCs/>
          <w:noProof/>
          <w:lang w:val="en-GB"/>
        </w:rPr>
        <w:t>Academy of Strategic Management Journal</w:t>
      </w:r>
      <w:r w:rsidRPr="0024229F">
        <w:rPr>
          <w:rFonts w:cs="Arial"/>
          <w:noProof/>
          <w:lang w:val="en-GB"/>
        </w:rPr>
        <w:t xml:space="preserve">, </w:t>
      </w:r>
      <w:r w:rsidRPr="0024229F">
        <w:rPr>
          <w:rFonts w:cs="Arial"/>
          <w:i/>
          <w:iCs/>
          <w:noProof/>
          <w:lang w:val="en-GB"/>
        </w:rPr>
        <w:t>21</w:t>
      </w:r>
      <w:r w:rsidRPr="0024229F">
        <w:rPr>
          <w:rFonts w:cs="Arial"/>
          <w:noProof/>
          <w:lang w:val="en-GB"/>
        </w:rPr>
        <w:t>(1), pp.1-15.</w:t>
      </w:r>
    </w:p>
    <w:p w14:paraId="648A7795" w14:textId="77777777" w:rsidR="00921E5B" w:rsidRPr="0024229F" w:rsidRDefault="00921E5B" w:rsidP="0024229F">
      <w:pPr>
        <w:pStyle w:val="NormalWeb"/>
        <w:spacing w:line="360" w:lineRule="auto"/>
        <w:jc w:val="both"/>
        <w:rPr>
          <w:rFonts w:cs="Arial"/>
          <w:noProof/>
          <w:lang w:val="en-GB"/>
        </w:rPr>
      </w:pPr>
      <w:r w:rsidRPr="0024229F">
        <w:rPr>
          <w:rFonts w:cs="Arial"/>
          <w:noProof/>
          <w:lang w:val="en-GB"/>
        </w:rPr>
        <w:t xml:space="preserve">Torrington, D., Hall, L., Atkinson, C. and Taylor, S. (2020) </w:t>
      </w:r>
      <w:r w:rsidRPr="0024229F">
        <w:rPr>
          <w:rFonts w:cs="Arial"/>
          <w:i/>
          <w:iCs/>
          <w:noProof/>
          <w:lang w:val="en-GB"/>
        </w:rPr>
        <w:t>Human Resource Management</w:t>
      </w:r>
      <w:r w:rsidRPr="0024229F">
        <w:rPr>
          <w:rFonts w:cs="Arial"/>
          <w:noProof/>
          <w:lang w:val="en-GB"/>
        </w:rPr>
        <w:t>. Pearson Education, Limited, Harlow.</w:t>
      </w:r>
    </w:p>
    <w:p w14:paraId="2F1A70B0" w14:textId="77777777" w:rsidR="00921E5B" w:rsidRPr="0024229F" w:rsidRDefault="00921E5B" w:rsidP="0024229F">
      <w:pPr>
        <w:pStyle w:val="NormalWeb"/>
        <w:spacing w:line="360" w:lineRule="auto"/>
        <w:jc w:val="both"/>
        <w:rPr>
          <w:rFonts w:cs="Arial"/>
          <w:noProof/>
          <w:lang w:val="en-GB"/>
        </w:rPr>
      </w:pPr>
      <w:r w:rsidRPr="0024229F">
        <w:rPr>
          <w:rFonts w:cs="Arial"/>
          <w:noProof/>
          <w:lang w:val="en-GB"/>
        </w:rPr>
        <w:t xml:space="preserve">Trost, A. (2020) </w:t>
      </w:r>
      <w:r w:rsidRPr="0024229F">
        <w:rPr>
          <w:rFonts w:cs="Arial"/>
          <w:i/>
          <w:iCs/>
          <w:noProof/>
          <w:lang w:val="en-GB"/>
        </w:rPr>
        <w:t>Human resources strategies balancing stability and agility in times of digitization</w:t>
      </w:r>
      <w:r w:rsidRPr="0024229F">
        <w:rPr>
          <w:rFonts w:cs="Arial"/>
          <w:noProof/>
          <w:lang w:val="en-GB"/>
        </w:rPr>
        <w:t xml:space="preserve">. Cham: Springer. </w:t>
      </w:r>
    </w:p>
    <w:p w14:paraId="2461D672" w14:textId="77777777" w:rsidR="00921E5B" w:rsidRPr="0024229F" w:rsidRDefault="00921E5B" w:rsidP="0024229F">
      <w:pPr>
        <w:pStyle w:val="NormalWeb"/>
        <w:spacing w:line="360" w:lineRule="auto"/>
        <w:jc w:val="both"/>
        <w:rPr>
          <w:rFonts w:cs="Arial"/>
          <w:noProof/>
          <w:lang w:val="en-GB"/>
        </w:rPr>
      </w:pPr>
      <w:r w:rsidRPr="0024229F">
        <w:rPr>
          <w:rFonts w:cs="Arial"/>
          <w:noProof/>
          <w:lang w:val="en-GB"/>
        </w:rPr>
        <w:lastRenderedPageBreak/>
        <w:t xml:space="preserve">Ward, D.L., Tripp, R. and Maki, B. (2013) </w:t>
      </w:r>
      <w:r w:rsidRPr="0024229F">
        <w:rPr>
          <w:rFonts w:cs="Arial"/>
          <w:i/>
          <w:iCs/>
          <w:noProof/>
          <w:lang w:val="en-GB"/>
        </w:rPr>
        <w:t>Positioned: Strategic workforce planning that gets the right person in the right job</w:t>
      </w:r>
      <w:r w:rsidRPr="0024229F">
        <w:rPr>
          <w:rFonts w:cs="Arial"/>
          <w:noProof/>
          <w:lang w:val="en-GB"/>
        </w:rPr>
        <w:t>. New York: American Management Association.</w:t>
      </w:r>
    </w:p>
    <w:p w14:paraId="586CAA54" w14:textId="77777777" w:rsidR="00921E5B" w:rsidRPr="0024229F" w:rsidRDefault="00921E5B" w:rsidP="0024229F">
      <w:pPr>
        <w:pStyle w:val="NormalWeb"/>
        <w:spacing w:line="360" w:lineRule="auto"/>
        <w:jc w:val="both"/>
        <w:rPr>
          <w:rFonts w:cs="Arial"/>
          <w:noProof/>
          <w:lang w:val="en-GB"/>
        </w:rPr>
      </w:pPr>
      <w:r w:rsidRPr="0024229F">
        <w:rPr>
          <w:rFonts w:cs="Arial"/>
          <w:noProof/>
          <w:lang w:val="en-GB"/>
        </w:rPr>
        <w:t xml:space="preserve">Weiss, C. (2016) Human resources strategy and change: Essentials of human resources transformation. </w:t>
      </w:r>
      <w:r w:rsidRPr="0024229F">
        <w:rPr>
          <w:rFonts w:cs="Arial"/>
          <w:i/>
          <w:iCs/>
          <w:noProof/>
          <w:lang w:val="en-GB"/>
        </w:rPr>
        <w:t>Handbook of Human Resources Management</w:t>
      </w:r>
      <w:r w:rsidRPr="0024229F">
        <w:rPr>
          <w:rFonts w:cs="Arial"/>
          <w:noProof/>
          <w:lang w:val="en-GB"/>
        </w:rPr>
        <w:t xml:space="preserve">, pp. 1299–1327. </w:t>
      </w:r>
    </w:p>
    <w:p w14:paraId="5BCF4D54" w14:textId="77777777" w:rsidR="00921E5B" w:rsidRPr="0024229F" w:rsidRDefault="00921E5B" w:rsidP="0024229F">
      <w:pPr>
        <w:pStyle w:val="NormalWeb"/>
        <w:spacing w:line="360" w:lineRule="auto"/>
        <w:jc w:val="both"/>
        <w:rPr>
          <w:rFonts w:cs="Arial"/>
          <w:noProof/>
          <w:lang w:val="en-GB"/>
        </w:rPr>
      </w:pPr>
      <w:r w:rsidRPr="0024229F">
        <w:rPr>
          <w:rFonts w:cs="Arial"/>
          <w:noProof/>
          <w:lang w:val="en-GB"/>
        </w:rPr>
        <w:t xml:space="preserve">Zhang, J. (2023) Analysis of Strategic Human Resource Management Practices: A Case Study of Hilton Worldwide. </w:t>
      </w:r>
      <w:r w:rsidRPr="0024229F">
        <w:rPr>
          <w:rFonts w:cs="Arial"/>
          <w:i/>
          <w:iCs/>
          <w:noProof/>
          <w:lang w:val="en-GB"/>
        </w:rPr>
        <w:t>Frontiers in Business, Economics and Management</w:t>
      </w:r>
      <w:r w:rsidRPr="0024229F">
        <w:rPr>
          <w:rFonts w:cs="Arial"/>
          <w:noProof/>
          <w:lang w:val="en-GB"/>
        </w:rPr>
        <w:t xml:space="preserve">, </w:t>
      </w:r>
      <w:r w:rsidRPr="0024229F">
        <w:rPr>
          <w:rFonts w:cs="Arial"/>
          <w:i/>
          <w:iCs/>
          <w:noProof/>
          <w:lang w:val="en-GB"/>
        </w:rPr>
        <w:t>8</w:t>
      </w:r>
      <w:r w:rsidRPr="0024229F">
        <w:rPr>
          <w:rFonts w:cs="Arial"/>
          <w:noProof/>
          <w:lang w:val="en-GB"/>
        </w:rPr>
        <w:t>(3), 204-211.</w:t>
      </w:r>
    </w:p>
    <w:sectPr w:rsidR="00921E5B" w:rsidRPr="0024229F" w:rsidSect="00D526B0">
      <w:footerReference w:type="default" r:id="rId7"/>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9ADF00" w14:textId="77777777" w:rsidR="00D526B0" w:rsidRDefault="00D526B0" w:rsidP="00032ACB">
      <w:pPr>
        <w:spacing w:after="0" w:line="240" w:lineRule="auto"/>
      </w:pPr>
      <w:r>
        <w:separator/>
      </w:r>
    </w:p>
  </w:endnote>
  <w:endnote w:type="continuationSeparator" w:id="0">
    <w:p w14:paraId="6F39BB9C" w14:textId="77777777" w:rsidR="00D526B0" w:rsidRDefault="00D526B0" w:rsidP="00032A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5787124"/>
      <w:docPartObj>
        <w:docPartGallery w:val="Page Numbers (Bottom of Page)"/>
        <w:docPartUnique/>
      </w:docPartObj>
    </w:sdtPr>
    <w:sdtEndPr/>
    <w:sdtContent>
      <w:p w14:paraId="5528344F" w14:textId="40DE17FD" w:rsidR="00287616" w:rsidRDefault="00287616">
        <w:pPr>
          <w:pStyle w:val="Footer"/>
          <w:jc w:val="right"/>
        </w:pPr>
        <w:r>
          <w:fldChar w:fldCharType="begin"/>
        </w:r>
        <w:r>
          <w:instrText>PAGE   \* MERGEFORMAT</w:instrText>
        </w:r>
        <w:r>
          <w:fldChar w:fldCharType="separate"/>
        </w:r>
        <w:r>
          <w:t>2</w:t>
        </w:r>
        <w:r>
          <w:fldChar w:fldCharType="end"/>
        </w:r>
      </w:p>
    </w:sdtContent>
  </w:sdt>
  <w:p w14:paraId="6DC42B3C" w14:textId="77777777" w:rsidR="00032ACB" w:rsidRDefault="00032A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DC2BA0" w14:textId="77777777" w:rsidR="00D526B0" w:rsidRDefault="00D526B0" w:rsidP="00032ACB">
      <w:pPr>
        <w:spacing w:after="0" w:line="240" w:lineRule="auto"/>
      </w:pPr>
      <w:r>
        <w:separator/>
      </w:r>
    </w:p>
  </w:footnote>
  <w:footnote w:type="continuationSeparator" w:id="0">
    <w:p w14:paraId="41337762" w14:textId="77777777" w:rsidR="00D526B0" w:rsidRDefault="00D526B0" w:rsidP="00032A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B2836"/>
    <w:multiLevelType w:val="hybridMultilevel"/>
    <w:tmpl w:val="ABECF3A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676B3F6E"/>
    <w:multiLevelType w:val="hybridMultilevel"/>
    <w:tmpl w:val="23DE45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A4150E2"/>
    <w:multiLevelType w:val="hybridMultilevel"/>
    <w:tmpl w:val="7074B0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09886341">
    <w:abstractNumId w:val="1"/>
  </w:num>
  <w:num w:numId="2" w16cid:durableId="1381443609">
    <w:abstractNumId w:val="0"/>
  </w:num>
  <w:num w:numId="3" w16cid:durableId="2744057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bA0NjQ1NjKxtDA0MTVT0lEKTi0uzszPAykwrQUA3vJfrywAAAA="/>
  </w:docVars>
  <w:rsids>
    <w:rsidRoot w:val="00E62C70"/>
    <w:rsid w:val="000149D7"/>
    <w:rsid w:val="0002600A"/>
    <w:rsid w:val="00032ACB"/>
    <w:rsid w:val="00035D25"/>
    <w:rsid w:val="00052011"/>
    <w:rsid w:val="00052E49"/>
    <w:rsid w:val="000655D8"/>
    <w:rsid w:val="000B696C"/>
    <w:rsid w:val="00113623"/>
    <w:rsid w:val="00123D16"/>
    <w:rsid w:val="00172AF5"/>
    <w:rsid w:val="00174942"/>
    <w:rsid w:val="00182114"/>
    <w:rsid w:val="0019180C"/>
    <w:rsid w:val="001C1E55"/>
    <w:rsid w:val="001C51F2"/>
    <w:rsid w:val="001F0286"/>
    <w:rsid w:val="001F6CCC"/>
    <w:rsid w:val="0020465E"/>
    <w:rsid w:val="00233274"/>
    <w:rsid w:val="002336FF"/>
    <w:rsid w:val="0024229F"/>
    <w:rsid w:val="00271956"/>
    <w:rsid w:val="00285693"/>
    <w:rsid w:val="00287616"/>
    <w:rsid w:val="002B577E"/>
    <w:rsid w:val="002B6D91"/>
    <w:rsid w:val="002C5763"/>
    <w:rsid w:val="002D290D"/>
    <w:rsid w:val="003275BA"/>
    <w:rsid w:val="003333A9"/>
    <w:rsid w:val="003631DC"/>
    <w:rsid w:val="003C4C00"/>
    <w:rsid w:val="003D2E00"/>
    <w:rsid w:val="003F796C"/>
    <w:rsid w:val="0040518F"/>
    <w:rsid w:val="004129AF"/>
    <w:rsid w:val="0045725B"/>
    <w:rsid w:val="00492B7B"/>
    <w:rsid w:val="004F5058"/>
    <w:rsid w:val="00500353"/>
    <w:rsid w:val="00515B94"/>
    <w:rsid w:val="00523139"/>
    <w:rsid w:val="00562260"/>
    <w:rsid w:val="00575023"/>
    <w:rsid w:val="00596EE9"/>
    <w:rsid w:val="005B62B6"/>
    <w:rsid w:val="005B6428"/>
    <w:rsid w:val="0060226C"/>
    <w:rsid w:val="006143A6"/>
    <w:rsid w:val="0063276E"/>
    <w:rsid w:val="00636995"/>
    <w:rsid w:val="0065501E"/>
    <w:rsid w:val="006557B2"/>
    <w:rsid w:val="00670C2C"/>
    <w:rsid w:val="0068489E"/>
    <w:rsid w:val="00692BE0"/>
    <w:rsid w:val="006B3A93"/>
    <w:rsid w:val="006D0856"/>
    <w:rsid w:val="006D5A47"/>
    <w:rsid w:val="006F1301"/>
    <w:rsid w:val="00720738"/>
    <w:rsid w:val="00727320"/>
    <w:rsid w:val="007325FC"/>
    <w:rsid w:val="0075582D"/>
    <w:rsid w:val="00761481"/>
    <w:rsid w:val="00792646"/>
    <w:rsid w:val="007A5E7E"/>
    <w:rsid w:val="007D2B72"/>
    <w:rsid w:val="007D3755"/>
    <w:rsid w:val="007E4212"/>
    <w:rsid w:val="008461AC"/>
    <w:rsid w:val="00851BAE"/>
    <w:rsid w:val="008675DD"/>
    <w:rsid w:val="00874E24"/>
    <w:rsid w:val="00891800"/>
    <w:rsid w:val="008965A4"/>
    <w:rsid w:val="008C3918"/>
    <w:rsid w:val="008D038E"/>
    <w:rsid w:val="009054CD"/>
    <w:rsid w:val="00906CA1"/>
    <w:rsid w:val="00921E5B"/>
    <w:rsid w:val="0092790A"/>
    <w:rsid w:val="00940309"/>
    <w:rsid w:val="00940316"/>
    <w:rsid w:val="00952F5C"/>
    <w:rsid w:val="00957A96"/>
    <w:rsid w:val="009F2D68"/>
    <w:rsid w:val="00A07B67"/>
    <w:rsid w:val="00A3279A"/>
    <w:rsid w:val="00A450AB"/>
    <w:rsid w:val="00A616C5"/>
    <w:rsid w:val="00A66CD0"/>
    <w:rsid w:val="00A92DD0"/>
    <w:rsid w:val="00AA7485"/>
    <w:rsid w:val="00AC05D9"/>
    <w:rsid w:val="00B00B90"/>
    <w:rsid w:val="00B14694"/>
    <w:rsid w:val="00B219C1"/>
    <w:rsid w:val="00B42FED"/>
    <w:rsid w:val="00B60086"/>
    <w:rsid w:val="00BC1C0C"/>
    <w:rsid w:val="00BC62A6"/>
    <w:rsid w:val="00BD0953"/>
    <w:rsid w:val="00BD2BFE"/>
    <w:rsid w:val="00BD4F5E"/>
    <w:rsid w:val="00BE6E8A"/>
    <w:rsid w:val="00BE719A"/>
    <w:rsid w:val="00C00781"/>
    <w:rsid w:val="00C20C8C"/>
    <w:rsid w:val="00C24B0D"/>
    <w:rsid w:val="00C44C0B"/>
    <w:rsid w:val="00C645B3"/>
    <w:rsid w:val="00C86D01"/>
    <w:rsid w:val="00CD428F"/>
    <w:rsid w:val="00CF219C"/>
    <w:rsid w:val="00D053E6"/>
    <w:rsid w:val="00D12330"/>
    <w:rsid w:val="00D36ECD"/>
    <w:rsid w:val="00D504E2"/>
    <w:rsid w:val="00D526B0"/>
    <w:rsid w:val="00D54F87"/>
    <w:rsid w:val="00D70D8E"/>
    <w:rsid w:val="00D718F3"/>
    <w:rsid w:val="00DC0EDB"/>
    <w:rsid w:val="00DD4BA5"/>
    <w:rsid w:val="00DE0DCE"/>
    <w:rsid w:val="00E1468D"/>
    <w:rsid w:val="00E209F7"/>
    <w:rsid w:val="00E30164"/>
    <w:rsid w:val="00E62C70"/>
    <w:rsid w:val="00E81C65"/>
    <w:rsid w:val="00E8659F"/>
    <w:rsid w:val="00E86A95"/>
    <w:rsid w:val="00E87E26"/>
    <w:rsid w:val="00EA4F8A"/>
    <w:rsid w:val="00EC2A0F"/>
    <w:rsid w:val="00EC556A"/>
    <w:rsid w:val="00F55987"/>
    <w:rsid w:val="00F606F0"/>
    <w:rsid w:val="00F72C31"/>
    <w:rsid w:val="00FA4A2C"/>
    <w:rsid w:val="00FA62D9"/>
    <w:rsid w:val="00FD1184"/>
    <w:rsid w:val="00FD1721"/>
    <w:rsid w:val="00FF26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E7FF54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3139"/>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500353"/>
    <w:pPr>
      <w:keepNext/>
      <w:keepLines/>
      <w:spacing w:after="0" w:line="480" w:lineRule="auto"/>
      <w:outlineLvl w:val="0"/>
    </w:pPr>
    <w:rPr>
      <w:rFonts w:eastAsiaTheme="majorEastAsia" w:cstheme="majorBidi"/>
      <w:b/>
      <w:color w:val="2F5496" w:themeColor="accent1" w:themeShade="BF"/>
      <w:kern w:val="0"/>
      <w:sz w:val="32"/>
      <w:szCs w:val="32"/>
      <w14:ligatures w14:val="none"/>
    </w:rPr>
  </w:style>
  <w:style w:type="paragraph" w:styleId="Heading2">
    <w:name w:val="heading 2"/>
    <w:basedOn w:val="Normal"/>
    <w:next w:val="Normal"/>
    <w:link w:val="Heading2Char"/>
    <w:autoRedefine/>
    <w:uiPriority w:val="9"/>
    <w:unhideWhenUsed/>
    <w:qFormat/>
    <w:rsid w:val="00A92DD0"/>
    <w:pPr>
      <w:keepNext/>
      <w:keepLines/>
      <w:spacing w:before="160" w:after="120"/>
      <w:outlineLvl w:val="1"/>
    </w:pPr>
    <w:rPr>
      <w:rFonts w:eastAsiaTheme="majorEastAsia" w:cstheme="majorBidi"/>
      <w:b/>
      <w:color w:val="2F5496" w:themeColor="accent1" w:themeShade="BF"/>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0353"/>
    <w:rPr>
      <w:rFonts w:ascii="Arial" w:eastAsiaTheme="majorEastAsia" w:hAnsi="Arial" w:cstheme="majorBidi"/>
      <w:b/>
      <w:color w:val="2F5496" w:themeColor="accent1" w:themeShade="BF"/>
      <w:kern w:val="0"/>
      <w:sz w:val="32"/>
      <w:szCs w:val="32"/>
      <w:lang w:val="en-GB"/>
      <w14:ligatures w14:val="none"/>
    </w:rPr>
  </w:style>
  <w:style w:type="character" w:customStyle="1" w:styleId="Heading2Char">
    <w:name w:val="Heading 2 Char"/>
    <w:basedOn w:val="DefaultParagraphFont"/>
    <w:link w:val="Heading2"/>
    <w:uiPriority w:val="9"/>
    <w:rsid w:val="00A92DD0"/>
    <w:rPr>
      <w:rFonts w:ascii="Times New Roman" w:eastAsiaTheme="majorEastAsia" w:hAnsi="Times New Roman" w:cstheme="majorBidi"/>
      <w:b/>
      <w:color w:val="2F5496" w:themeColor="accent1" w:themeShade="BF"/>
      <w:sz w:val="26"/>
      <w:szCs w:val="26"/>
      <w:u w:val="single"/>
    </w:rPr>
  </w:style>
  <w:style w:type="paragraph" w:styleId="Header">
    <w:name w:val="header"/>
    <w:basedOn w:val="Normal"/>
    <w:link w:val="HeaderChar"/>
    <w:uiPriority w:val="99"/>
    <w:unhideWhenUsed/>
    <w:rsid w:val="00032A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2ACB"/>
    <w:rPr>
      <w:rFonts w:ascii="Times New Roman" w:hAnsi="Times New Roman"/>
      <w:sz w:val="24"/>
      <w:lang w:val="en-GB"/>
    </w:rPr>
  </w:style>
  <w:style w:type="paragraph" w:styleId="Footer">
    <w:name w:val="footer"/>
    <w:basedOn w:val="Normal"/>
    <w:link w:val="FooterChar"/>
    <w:uiPriority w:val="99"/>
    <w:unhideWhenUsed/>
    <w:rsid w:val="00032A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2ACB"/>
    <w:rPr>
      <w:rFonts w:ascii="Times New Roman" w:hAnsi="Times New Roman"/>
      <w:sz w:val="24"/>
      <w:lang w:val="en-GB"/>
    </w:rPr>
  </w:style>
  <w:style w:type="paragraph" w:styleId="NormalWeb">
    <w:name w:val="Normal (Web)"/>
    <w:basedOn w:val="Normal"/>
    <w:uiPriority w:val="99"/>
    <w:unhideWhenUsed/>
    <w:rsid w:val="0002600A"/>
    <w:pPr>
      <w:spacing w:before="100" w:beforeAutospacing="1" w:after="100" w:afterAutospacing="1" w:line="240" w:lineRule="auto"/>
      <w:jc w:val="left"/>
    </w:pPr>
    <w:rPr>
      <w:rFonts w:eastAsia="Times New Roman" w:cs="Times New Roman"/>
      <w:kern w:val="0"/>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404015">
      <w:bodyDiv w:val="1"/>
      <w:marLeft w:val="0"/>
      <w:marRight w:val="0"/>
      <w:marTop w:val="0"/>
      <w:marBottom w:val="0"/>
      <w:divBdr>
        <w:top w:val="none" w:sz="0" w:space="0" w:color="auto"/>
        <w:left w:val="none" w:sz="0" w:space="0" w:color="auto"/>
        <w:bottom w:val="none" w:sz="0" w:space="0" w:color="auto"/>
        <w:right w:val="none" w:sz="0" w:space="0" w:color="auto"/>
      </w:divBdr>
      <w:divsChild>
        <w:div w:id="1410077444">
          <w:marLeft w:val="0"/>
          <w:marRight w:val="0"/>
          <w:marTop w:val="0"/>
          <w:marBottom w:val="0"/>
          <w:divBdr>
            <w:top w:val="none" w:sz="0" w:space="0" w:color="auto"/>
            <w:left w:val="none" w:sz="0" w:space="0" w:color="auto"/>
            <w:bottom w:val="none" w:sz="0" w:space="0" w:color="auto"/>
            <w:right w:val="none" w:sz="0" w:space="0" w:color="auto"/>
          </w:divBdr>
        </w:div>
      </w:divsChild>
    </w:div>
    <w:div w:id="202064324">
      <w:bodyDiv w:val="1"/>
      <w:marLeft w:val="0"/>
      <w:marRight w:val="0"/>
      <w:marTop w:val="0"/>
      <w:marBottom w:val="0"/>
      <w:divBdr>
        <w:top w:val="none" w:sz="0" w:space="0" w:color="auto"/>
        <w:left w:val="none" w:sz="0" w:space="0" w:color="auto"/>
        <w:bottom w:val="none" w:sz="0" w:space="0" w:color="auto"/>
        <w:right w:val="none" w:sz="0" w:space="0" w:color="auto"/>
      </w:divBdr>
      <w:divsChild>
        <w:div w:id="608128372">
          <w:marLeft w:val="0"/>
          <w:marRight w:val="0"/>
          <w:marTop w:val="0"/>
          <w:marBottom w:val="0"/>
          <w:divBdr>
            <w:top w:val="none" w:sz="0" w:space="0" w:color="auto"/>
            <w:left w:val="none" w:sz="0" w:space="0" w:color="auto"/>
            <w:bottom w:val="none" w:sz="0" w:space="0" w:color="auto"/>
            <w:right w:val="none" w:sz="0" w:space="0" w:color="auto"/>
          </w:divBdr>
        </w:div>
      </w:divsChild>
    </w:div>
    <w:div w:id="602882165">
      <w:bodyDiv w:val="1"/>
      <w:marLeft w:val="0"/>
      <w:marRight w:val="0"/>
      <w:marTop w:val="0"/>
      <w:marBottom w:val="0"/>
      <w:divBdr>
        <w:top w:val="none" w:sz="0" w:space="0" w:color="auto"/>
        <w:left w:val="none" w:sz="0" w:space="0" w:color="auto"/>
        <w:bottom w:val="none" w:sz="0" w:space="0" w:color="auto"/>
        <w:right w:val="none" w:sz="0" w:space="0" w:color="auto"/>
      </w:divBdr>
      <w:divsChild>
        <w:div w:id="1562592969">
          <w:marLeft w:val="0"/>
          <w:marRight w:val="0"/>
          <w:marTop w:val="0"/>
          <w:marBottom w:val="0"/>
          <w:divBdr>
            <w:top w:val="none" w:sz="0" w:space="0" w:color="auto"/>
            <w:left w:val="none" w:sz="0" w:space="0" w:color="auto"/>
            <w:bottom w:val="none" w:sz="0" w:space="0" w:color="auto"/>
            <w:right w:val="none" w:sz="0" w:space="0" w:color="auto"/>
          </w:divBdr>
        </w:div>
      </w:divsChild>
    </w:div>
    <w:div w:id="675113372">
      <w:bodyDiv w:val="1"/>
      <w:marLeft w:val="0"/>
      <w:marRight w:val="0"/>
      <w:marTop w:val="0"/>
      <w:marBottom w:val="0"/>
      <w:divBdr>
        <w:top w:val="none" w:sz="0" w:space="0" w:color="auto"/>
        <w:left w:val="none" w:sz="0" w:space="0" w:color="auto"/>
        <w:bottom w:val="none" w:sz="0" w:space="0" w:color="auto"/>
        <w:right w:val="none" w:sz="0" w:space="0" w:color="auto"/>
      </w:divBdr>
      <w:divsChild>
        <w:div w:id="713967752">
          <w:marLeft w:val="0"/>
          <w:marRight w:val="0"/>
          <w:marTop w:val="0"/>
          <w:marBottom w:val="0"/>
          <w:divBdr>
            <w:top w:val="none" w:sz="0" w:space="0" w:color="auto"/>
            <w:left w:val="none" w:sz="0" w:space="0" w:color="auto"/>
            <w:bottom w:val="none" w:sz="0" w:space="0" w:color="auto"/>
            <w:right w:val="none" w:sz="0" w:space="0" w:color="auto"/>
          </w:divBdr>
        </w:div>
      </w:divsChild>
    </w:div>
    <w:div w:id="801919914">
      <w:bodyDiv w:val="1"/>
      <w:marLeft w:val="0"/>
      <w:marRight w:val="0"/>
      <w:marTop w:val="0"/>
      <w:marBottom w:val="0"/>
      <w:divBdr>
        <w:top w:val="none" w:sz="0" w:space="0" w:color="auto"/>
        <w:left w:val="none" w:sz="0" w:space="0" w:color="auto"/>
        <w:bottom w:val="none" w:sz="0" w:space="0" w:color="auto"/>
        <w:right w:val="none" w:sz="0" w:space="0" w:color="auto"/>
      </w:divBdr>
      <w:divsChild>
        <w:div w:id="477190758">
          <w:marLeft w:val="0"/>
          <w:marRight w:val="0"/>
          <w:marTop w:val="0"/>
          <w:marBottom w:val="0"/>
          <w:divBdr>
            <w:top w:val="none" w:sz="0" w:space="0" w:color="auto"/>
            <w:left w:val="none" w:sz="0" w:space="0" w:color="auto"/>
            <w:bottom w:val="none" w:sz="0" w:space="0" w:color="auto"/>
            <w:right w:val="none" w:sz="0" w:space="0" w:color="auto"/>
          </w:divBdr>
        </w:div>
      </w:divsChild>
    </w:div>
    <w:div w:id="1163087852">
      <w:bodyDiv w:val="1"/>
      <w:marLeft w:val="0"/>
      <w:marRight w:val="0"/>
      <w:marTop w:val="0"/>
      <w:marBottom w:val="0"/>
      <w:divBdr>
        <w:top w:val="none" w:sz="0" w:space="0" w:color="auto"/>
        <w:left w:val="none" w:sz="0" w:space="0" w:color="auto"/>
        <w:bottom w:val="none" w:sz="0" w:space="0" w:color="auto"/>
        <w:right w:val="none" w:sz="0" w:space="0" w:color="auto"/>
      </w:divBdr>
      <w:divsChild>
        <w:div w:id="528686077">
          <w:marLeft w:val="0"/>
          <w:marRight w:val="0"/>
          <w:marTop w:val="0"/>
          <w:marBottom w:val="0"/>
          <w:divBdr>
            <w:top w:val="none" w:sz="0" w:space="0" w:color="auto"/>
            <w:left w:val="none" w:sz="0" w:space="0" w:color="auto"/>
            <w:bottom w:val="none" w:sz="0" w:space="0" w:color="auto"/>
            <w:right w:val="none" w:sz="0" w:space="0" w:color="auto"/>
          </w:divBdr>
        </w:div>
      </w:divsChild>
    </w:div>
    <w:div w:id="1435176695">
      <w:bodyDiv w:val="1"/>
      <w:marLeft w:val="0"/>
      <w:marRight w:val="0"/>
      <w:marTop w:val="0"/>
      <w:marBottom w:val="0"/>
      <w:divBdr>
        <w:top w:val="none" w:sz="0" w:space="0" w:color="auto"/>
        <w:left w:val="none" w:sz="0" w:space="0" w:color="auto"/>
        <w:bottom w:val="none" w:sz="0" w:space="0" w:color="auto"/>
        <w:right w:val="none" w:sz="0" w:space="0" w:color="auto"/>
      </w:divBdr>
      <w:divsChild>
        <w:div w:id="565267790">
          <w:marLeft w:val="0"/>
          <w:marRight w:val="0"/>
          <w:marTop w:val="0"/>
          <w:marBottom w:val="0"/>
          <w:divBdr>
            <w:top w:val="none" w:sz="0" w:space="0" w:color="auto"/>
            <w:left w:val="none" w:sz="0" w:space="0" w:color="auto"/>
            <w:bottom w:val="none" w:sz="0" w:space="0" w:color="auto"/>
            <w:right w:val="none" w:sz="0" w:space="0" w:color="auto"/>
          </w:divBdr>
        </w:div>
      </w:divsChild>
    </w:div>
    <w:div w:id="1452894597">
      <w:bodyDiv w:val="1"/>
      <w:marLeft w:val="0"/>
      <w:marRight w:val="0"/>
      <w:marTop w:val="0"/>
      <w:marBottom w:val="0"/>
      <w:divBdr>
        <w:top w:val="none" w:sz="0" w:space="0" w:color="auto"/>
        <w:left w:val="none" w:sz="0" w:space="0" w:color="auto"/>
        <w:bottom w:val="none" w:sz="0" w:space="0" w:color="auto"/>
        <w:right w:val="none" w:sz="0" w:space="0" w:color="auto"/>
      </w:divBdr>
    </w:div>
    <w:div w:id="1556429234">
      <w:bodyDiv w:val="1"/>
      <w:marLeft w:val="0"/>
      <w:marRight w:val="0"/>
      <w:marTop w:val="0"/>
      <w:marBottom w:val="0"/>
      <w:divBdr>
        <w:top w:val="none" w:sz="0" w:space="0" w:color="auto"/>
        <w:left w:val="none" w:sz="0" w:space="0" w:color="auto"/>
        <w:bottom w:val="none" w:sz="0" w:space="0" w:color="auto"/>
        <w:right w:val="none" w:sz="0" w:space="0" w:color="auto"/>
      </w:divBdr>
      <w:divsChild>
        <w:div w:id="1582789459">
          <w:marLeft w:val="0"/>
          <w:marRight w:val="0"/>
          <w:marTop w:val="0"/>
          <w:marBottom w:val="0"/>
          <w:divBdr>
            <w:top w:val="none" w:sz="0" w:space="0" w:color="auto"/>
            <w:left w:val="none" w:sz="0" w:space="0" w:color="auto"/>
            <w:bottom w:val="none" w:sz="0" w:space="0" w:color="auto"/>
            <w:right w:val="none" w:sz="0" w:space="0" w:color="auto"/>
          </w:divBdr>
        </w:div>
      </w:divsChild>
    </w:div>
    <w:div w:id="1595941080">
      <w:bodyDiv w:val="1"/>
      <w:marLeft w:val="0"/>
      <w:marRight w:val="0"/>
      <w:marTop w:val="0"/>
      <w:marBottom w:val="0"/>
      <w:divBdr>
        <w:top w:val="none" w:sz="0" w:space="0" w:color="auto"/>
        <w:left w:val="none" w:sz="0" w:space="0" w:color="auto"/>
        <w:bottom w:val="none" w:sz="0" w:space="0" w:color="auto"/>
        <w:right w:val="none" w:sz="0" w:space="0" w:color="auto"/>
      </w:divBdr>
    </w:div>
    <w:div w:id="1603345075">
      <w:bodyDiv w:val="1"/>
      <w:marLeft w:val="0"/>
      <w:marRight w:val="0"/>
      <w:marTop w:val="0"/>
      <w:marBottom w:val="0"/>
      <w:divBdr>
        <w:top w:val="none" w:sz="0" w:space="0" w:color="auto"/>
        <w:left w:val="none" w:sz="0" w:space="0" w:color="auto"/>
        <w:bottom w:val="none" w:sz="0" w:space="0" w:color="auto"/>
        <w:right w:val="none" w:sz="0" w:space="0" w:color="auto"/>
      </w:divBdr>
      <w:divsChild>
        <w:div w:id="1671056238">
          <w:marLeft w:val="0"/>
          <w:marRight w:val="0"/>
          <w:marTop w:val="0"/>
          <w:marBottom w:val="0"/>
          <w:divBdr>
            <w:top w:val="none" w:sz="0" w:space="0" w:color="auto"/>
            <w:left w:val="none" w:sz="0" w:space="0" w:color="auto"/>
            <w:bottom w:val="none" w:sz="0" w:space="0" w:color="auto"/>
            <w:right w:val="none" w:sz="0" w:space="0" w:color="auto"/>
          </w:divBdr>
        </w:div>
      </w:divsChild>
    </w:div>
    <w:div w:id="1837843190">
      <w:bodyDiv w:val="1"/>
      <w:marLeft w:val="0"/>
      <w:marRight w:val="0"/>
      <w:marTop w:val="0"/>
      <w:marBottom w:val="0"/>
      <w:divBdr>
        <w:top w:val="none" w:sz="0" w:space="0" w:color="auto"/>
        <w:left w:val="none" w:sz="0" w:space="0" w:color="auto"/>
        <w:bottom w:val="none" w:sz="0" w:space="0" w:color="auto"/>
        <w:right w:val="none" w:sz="0" w:space="0" w:color="auto"/>
      </w:divBdr>
    </w:div>
    <w:div w:id="1988245631">
      <w:bodyDiv w:val="1"/>
      <w:marLeft w:val="0"/>
      <w:marRight w:val="0"/>
      <w:marTop w:val="0"/>
      <w:marBottom w:val="0"/>
      <w:divBdr>
        <w:top w:val="none" w:sz="0" w:space="0" w:color="auto"/>
        <w:left w:val="none" w:sz="0" w:space="0" w:color="auto"/>
        <w:bottom w:val="none" w:sz="0" w:space="0" w:color="auto"/>
        <w:right w:val="none" w:sz="0" w:space="0" w:color="auto"/>
      </w:divBdr>
      <w:divsChild>
        <w:div w:id="1968314599">
          <w:marLeft w:val="0"/>
          <w:marRight w:val="0"/>
          <w:marTop w:val="0"/>
          <w:marBottom w:val="0"/>
          <w:divBdr>
            <w:top w:val="none" w:sz="0" w:space="0" w:color="auto"/>
            <w:left w:val="none" w:sz="0" w:space="0" w:color="auto"/>
            <w:bottom w:val="none" w:sz="0" w:space="0" w:color="auto"/>
            <w:right w:val="none" w:sz="0" w:space="0" w:color="auto"/>
          </w:divBdr>
        </w:div>
      </w:divsChild>
    </w:div>
    <w:div w:id="2045980032">
      <w:bodyDiv w:val="1"/>
      <w:marLeft w:val="0"/>
      <w:marRight w:val="0"/>
      <w:marTop w:val="0"/>
      <w:marBottom w:val="0"/>
      <w:divBdr>
        <w:top w:val="none" w:sz="0" w:space="0" w:color="auto"/>
        <w:left w:val="none" w:sz="0" w:space="0" w:color="auto"/>
        <w:bottom w:val="none" w:sz="0" w:space="0" w:color="auto"/>
        <w:right w:val="none" w:sz="0" w:space="0" w:color="auto"/>
      </w:divBdr>
      <w:divsChild>
        <w:div w:id="177038139">
          <w:marLeft w:val="0"/>
          <w:marRight w:val="0"/>
          <w:marTop w:val="0"/>
          <w:marBottom w:val="0"/>
          <w:divBdr>
            <w:top w:val="none" w:sz="0" w:space="0" w:color="auto"/>
            <w:left w:val="none" w:sz="0" w:space="0" w:color="auto"/>
            <w:bottom w:val="none" w:sz="0" w:space="0" w:color="auto"/>
            <w:right w:val="none" w:sz="0" w:space="0" w:color="auto"/>
          </w:divBdr>
        </w:div>
      </w:divsChild>
    </w:div>
    <w:div w:id="2059281968">
      <w:bodyDiv w:val="1"/>
      <w:marLeft w:val="0"/>
      <w:marRight w:val="0"/>
      <w:marTop w:val="0"/>
      <w:marBottom w:val="0"/>
      <w:divBdr>
        <w:top w:val="none" w:sz="0" w:space="0" w:color="auto"/>
        <w:left w:val="none" w:sz="0" w:space="0" w:color="auto"/>
        <w:bottom w:val="none" w:sz="0" w:space="0" w:color="auto"/>
        <w:right w:val="none" w:sz="0" w:space="0" w:color="auto"/>
      </w:divBdr>
      <w:divsChild>
        <w:div w:id="690837640">
          <w:marLeft w:val="0"/>
          <w:marRight w:val="0"/>
          <w:marTop w:val="0"/>
          <w:marBottom w:val="0"/>
          <w:divBdr>
            <w:top w:val="none" w:sz="0" w:space="0" w:color="auto"/>
            <w:left w:val="none" w:sz="0" w:space="0" w:color="auto"/>
            <w:bottom w:val="none" w:sz="0" w:space="0" w:color="auto"/>
            <w:right w:val="none" w:sz="0" w:space="0" w:color="auto"/>
          </w:divBdr>
        </w:div>
      </w:divsChild>
    </w:div>
    <w:div w:id="2117286217">
      <w:bodyDiv w:val="1"/>
      <w:marLeft w:val="0"/>
      <w:marRight w:val="0"/>
      <w:marTop w:val="0"/>
      <w:marBottom w:val="0"/>
      <w:divBdr>
        <w:top w:val="none" w:sz="0" w:space="0" w:color="auto"/>
        <w:left w:val="none" w:sz="0" w:space="0" w:color="auto"/>
        <w:bottom w:val="none" w:sz="0" w:space="0" w:color="auto"/>
        <w:right w:val="none" w:sz="0" w:space="0" w:color="auto"/>
      </w:divBdr>
      <w:divsChild>
        <w:div w:id="19347054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2668</Words>
  <Characters>16645</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2024-01-28T15:11:00Z</dcterms:created>
  <dcterms:modified xsi:type="dcterms:W3CDTF">2024-02-01T09:19:00Z</dcterms:modified>
</cp:coreProperties>
</file>