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8FAB98" w14:textId="77777777" w:rsidR="004B7B10" w:rsidRPr="00C6774A" w:rsidRDefault="004B7B10" w:rsidP="00C6774A">
      <w:pPr>
        <w:spacing w:line="360" w:lineRule="auto"/>
        <w:jc w:val="both"/>
      </w:pPr>
    </w:p>
    <w:p w14:paraId="18B6E9DF" w14:textId="77777777" w:rsidR="004B7B10" w:rsidRPr="00C6774A" w:rsidRDefault="004B7B10" w:rsidP="00C6774A">
      <w:pPr>
        <w:spacing w:line="360" w:lineRule="auto"/>
        <w:jc w:val="both"/>
      </w:pPr>
    </w:p>
    <w:p w14:paraId="3C36C908" w14:textId="77777777" w:rsidR="004B7B10" w:rsidRPr="00C6774A" w:rsidRDefault="004B7B10" w:rsidP="00C6774A">
      <w:pPr>
        <w:spacing w:line="360" w:lineRule="auto"/>
        <w:jc w:val="both"/>
      </w:pPr>
    </w:p>
    <w:p w14:paraId="1CCB1A84" w14:textId="1F791A49" w:rsidR="004B7B10" w:rsidRPr="00C6774A" w:rsidRDefault="00C6774A" w:rsidP="00C6774A">
      <w:pPr>
        <w:spacing w:after="160" w:line="360" w:lineRule="auto"/>
        <w:jc w:val="center"/>
        <w:rPr>
          <w:b/>
          <w:bCs/>
        </w:rPr>
      </w:pPr>
      <w:r w:rsidRPr="00C6774A">
        <w:rPr>
          <w:b/>
          <w:bCs/>
        </w:rPr>
        <w:t>UNIVERSITY OF WALES TRINITY SAINT DAVID</w:t>
      </w:r>
    </w:p>
    <w:p w14:paraId="36C4EEEE" w14:textId="79EC41AD" w:rsidR="004B7B10" w:rsidRPr="00C6774A" w:rsidRDefault="00C6774A" w:rsidP="00C6774A">
      <w:pPr>
        <w:spacing w:after="160" w:line="360" w:lineRule="auto"/>
        <w:jc w:val="center"/>
        <w:rPr>
          <w:b/>
          <w:bCs/>
        </w:rPr>
      </w:pPr>
      <w:r w:rsidRPr="00C6774A">
        <w:rPr>
          <w:b/>
          <w:bCs/>
        </w:rPr>
        <w:t>BSC (HONS) HEALTH AND SOCIAL CARE</w:t>
      </w:r>
    </w:p>
    <w:p w14:paraId="3C0EE40C" w14:textId="77777777" w:rsidR="004B7B10" w:rsidRPr="00C6774A" w:rsidRDefault="004B7B10" w:rsidP="00C6774A">
      <w:pPr>
        <w:spacing w:line="360" w:lineRule="auto"/>
        <w:jc w:val="center"/>
        <w:rPr>
          <w:b/>
          <w:bCs/>
        </w:rPr>
      </w:pPr>
    </w:p>
    <w:p w14:paraId="224F740E" w14:textId="77777777" w:rsidR="004B7B10" w:rsidRPr="00C6774A" w:rsidRDefault="004B7B10" w:rsidP="00C6774A">
      <w:pPr>
        <w:spacing w:line="360" w:lineRule="auto"/>
        <w:jc w:val="center"/>
        <w:rPr>
          <w:b/>
          <w:bCs/>
        </w:rPr>
      </w:pPr>
    </w:p>
    <w:p w14:paraId="5D2412CD" w14:textId="62DA5D8B" w:rsidR="004B7B10" w:rsidRPr="00C6774A" w:rsidRDefault="00C6774A" w:rsidP="00C6774A">
      <w:pPr>
        <w:spacing w:after="160" w:line="360" w:lineRule="auto"/>
        <w:jc w:val="center"/>
        <w:rPr>
          <w:b/>
          <w:bCs/>
        </w:rPr>
      </w:pPr>
      <w:r w:rsidRPr="00C6774A">
        <w:rPr>
          <w:b/>
          <w:bCs/>
        </w:rPr>
        <w:t>TECHNOLOGY-ENABLED VIRTUAL WARDS (HOSPITAL AT HOME) IN ENGLAND: A CRITICAL EVALUATION OF A DIGITAL TRANSFORMATION IN HEALTH AND SOCIAL CARE</w:t>
      </w:r>
    </w:p>
    <w:p w14:paraId="4BF23AE2" w14:textId="77777777" w:rsidR="004B7B10" w:rsidRPr="00C6774A" w:rsidRDefault="004B7B10" w:rsidP="00C6774A">
      <w:pPr>
        <w:spacing w:line="360" w:lineRule="auto"/>
        <w:jc w:val="center"/>
        <w:rPr>
          <w:b/>
          <w:bCs/>
        </w:rPr>
      </w:pPr>
    </w:p>
    <w:p w14:paraId="26C9C5F9" w14:textId="77777777" w:rsidR="004B7B10" w:rsidRPr="00C6774A" w:rsidRDefault="004B7B10" w:rsidP="00C6774A">
      <w:pPr>
        <w:spacing w:line="360" w:lineRule="auto"/>
        <w:jc w:val="center"/>
        <w:rPr>
          <w:b/>
          <w:bCs/>
        </w:rPr>
      </w:pPr>
    </w:p>
    <w:p w14:paraId="25BC9B14" w14:textId="080496BC" w:rsidR="004B7B10" w:rsidRPr="00C6774A" w:rsidRDefault="00C6774A" w:rsidP="00C6774A">
      <w:pPr>
        <w:spacing w:after="160" w:line="360" w:lineRule="auto"/>
        <w:jc w:val="center"/>
        <w:rPr>
          <w:b/>
          <w:bCs/>
        </w:rPr>
      </w:pPr>
      <w:r w:rsidRPr="00C6774A">
        <w:rPr>
          <w:b/>
          <w:bCs/>
        </w:rPr>
        <w:t>STUDENT NAME: SAJIDA POSELAY</w:t>
      </w:r>
    </w:p>
    <w:p w14:paraId="4F961BE4" w14:textId="0FF4AEAA" w:rsidR="004B7B10" w:rsidRPr="00C6774A" w:rsidRDefault="00C6774A" w:rsidP="00C6774A">
      <w:pPr>
        <w:spacing w:after="160" w:line="360" w:lineRule="auto"/>
        <w:jc w:val="center"/>
        <w:rPr>
          <w:b/>
          <w:bCs/>
        </w:rPr>
      </w:pPr>
      <w:r w:rsidRPr="00C6774A">
        <w:rPr>
          <w:b/>
          <w:bCs/>
        </w:rPr>
        <w:t>STUDENT NUMBER: 2407315</w:t>
      </w:r>
    </w:p>
    <w:p w14:paraId="4CB8DA8F" w14:textId="405097A2" w:rsidR="004B7B10" w:rsidRPr="00C6774A" w:rsidRDefault="00C6774A" w:rsidP="00C6774A">
      <w:pPr>
        <w:spacing w:after="160" w:line="360" w:lineRule="auto"/>
        <w:jc w:val="center"/>
        <w:rPr>
          <w:b/>
          <w:bCs/>
        </w:rPr>
      </w:pPr>
      <w:r w:rsidRPr="00C6774A">
        <w:rPr>
          <w:b/>
          <w:bCs/>
        </w:rPr>
        <w:t>MODULE CODE AND TITLE: BMHP6026 DIGITAL TRANSFORMATION IN THE HEALTH AND CARE PROFESSIONS</w:t>
      </w:r>
    </w:p>
    <w:p w14:paraId="6AA58CE5" w14:textId="4ABFD31B" w:rsidR="004B7B10" w:rsidRPr="00C6774A" w:rsidRDefault="00C6774A" w:rsidP="00C6774A">
      <w:pPr>
        <w:spacing w:after="160" w:line="360" w:lineRule="auto"/>
        <w:jc w:val="center"/>
        <w:rPr>
          <w:b/>
          <w:bCs/>
        </w:rPr>
      </w:pPr>
      <w:r w:rsidRPr="00C6774A">
        <w:rPr>
          <w:b/>
          <w:bCs/>
        </w:rPr>
        <w:t>ASSIGNMENT TITLE: COMPONENT 1: WRITTEN REPORT</w:t>
      </w:r>
    </w:p>
    <w:p w14:paraId="6484C898" w14:textId="14655244" w:rsidR="004B7B10" w:rsidRPr="00C6774A" w:rsidRDefault="00C6774A" w:rsidP="00C6774A">
      <w:pPr>
        <w:spacing w:after="160" w:line="360" w:lineRule="auto"/>
        <w:jc w:val="center"/>
        <w:rPr>
          <w:b/>
          <w:bCs/>
        </w:rPr>
      </w:pPr>
      <w:r w:rsidRPr="00C6774A">
        <w:rPr>
          <w:b/>
          <w:bCs/>
        </w:rPr>
        <w:t>SUBMISSION DATE: 1</w:t>
      </w:r>
      <w:r w:rsidRPr="00C6774A">
        <w:rPr>
          <w:b/>
          <w:bCs/>
          <w:lang w:val="en-US"/>
        </w:rPr>
        <w:t>7</w:t>
      </w:r>
      <w:r w:rsidRPr="00C6774A">
        <w:rPr>
          <w:b/>
          <w:bCs/>
        </w:rPr>
        <w:t xml:space="preserve"> OCTOBER 2026</w:t>
      </w:r>
    </w:p>
    <w:p w14:paraId="79E78E99" w14:textId="43567F70" w:rsidR="00C6774A" w:rsidRPr="00C6774A" w:rsidRDefault="00C6774A" w:rsidP="00C6774A">
      <w:pPr>
        <w:spacing w:line="360" w:lineRule="auto"/>
        <w:jc w:val="both"/>
        <w:rPr>
          <w:b/>
          <w:bCs/>
        </w:rPr>
      </w:pPr>
      <w:r w:rsidRPr="00C6774A">
        <w:rPr>
          <w:b/>
          <w:bCs/>
        </w:rPr>
        <w:br w:type="page"/>
      </w:r>
    </w:p>
    <w:p w14:paraId="6863CF44" w14:textId="77777777" w:rsidR="00C6774A" w:rsidRPr="00C6774A" w:rsidRDefault="00C6774A" w:rsidP="00C6774A">
      <w:pPr>
        <w:spacing w:after="160" w:line="360" w:lineRule="auto"/>
        <w:jc w:val="both"/>
        <w:rPr>
          <w:b/>
          <w:bCs/>
        </w:rPr>
      </w:pPr>
    </w:p>
    <w:sdt>
      <w:sdtPr>
        <w:rPr>
          <w:rFonts w:ascii="Arial" w:hAnsi="Arial" w:cs="Arial"/>
          <w:sz w:val="22"/>
          <w:szCs w:val="22"/>
        </w:rPr>
        <w:id w:val="-716739144"/>
        <w:docPartObj>
          <w:docPartGallery w:val="Table of Contents"/>
          <w:docPartUnique/>
        </w:docPartObj>
      </w:sdtPr>
      <w:sdtEndPr>
        <w:rPr>
          <w:rFonts w:eastAsia="Arial"/>
          <w:b/>
          <w:bCs/>
          <w:noProof/>
          <w:color w:val="auto"/>
          <w:lang w:val="en-KE" w:eastAsia="en-KE"/>
        </w:rPr>
      </w:sdtEndPr>
      <w:sdtContent>
        <w:p w14:paraId="50B75058" w14:textId="647B5621" w:rsidR="00C6774A" w:rsidRPr="00C6774A" w:rsidRDefault="00C6774A" w:rsidP="00C6774A">
          <w:pPr>
            <w:pStyle w:val="TOCHeading"/>
            <w:spacing w:line="360" w:lineRule="auto"/>
            <w:jc w:val="both"/>
            <w:rPr>
              <w:rFonts w:ascii="Arial" w:hAnsi="Arial" w:cs="Arial"/>
              <w:sz w:val="22"/>
              <w:szCs w:val="22"/>
            </w:rPr>
          </w:pPr>
          <w:r w:rsidRPr="00C6774A">
            <w:rPr>
              <w:rFonts w:ascii="Arial" w:hAnsi="Arial" w:cs="Arial"/>
              <w:sz w:val="22"/>
              <w:szCs w:val="22"/>
            </w:rPr>
            <w:t>Table of Contents</w:t>
          </w:r>
        </w:p>
        <w:p w14:paraId="40E2922B" w14:textId="113AD444" w:rsidR="00C6774A" w:rsidRPr="00C6774A" w:rsidRDefault="00C6774A" w:rsidP="00C6774A">
          <w:pPr>
            <w:pStyle w:val="TOC1"/>
            <w:tabs>
              <w:tab w:val="right" w:leader="dot" w:pos="9016"/>
            </w:tabs>
            <w:spacing w:line="360" w:lineRule="auto"/>
            <w:jc w:val="both"/>
            <w:rPr>
              <w:noProof/>
            </w:rPr>
          </w:pPr>
          <w:r w:rsidRPr="00C6774A">
            <w:fldChar w:fldCharType="begin"/>
          </w:r>
          <w:r w:rsidRPr="00C6774A">
            <w:instrText xml:space="preserve"> TOC \o "1-3" \h \z \u </w:instrText>
          </w:r>
          <w:r w:rsidRPr="00C6774A">
            <w:fldChar w:fldCharType="separate"/>
          </w:r>
          <w:hyperlink w:anchor="_Toc243142027" w:history="1">
            <w:r w:rsidRPr="00C6774A">
              <w:rPr>
                <w:rStyle w:val="Hyperlink"/>
                <w:noProof/>
              </w:rPr>
              <w:t>1.</w:t>
            </w:r>
            <w:r w:rsidRPr="00C6774A">
              <w:rPr>
                <w:rStyle w:val="Hyperlink"/>
                <w:noProof/>
                <w:lang w:val="en-US"/>
              </w:rPr>
              <w:t xml:space="preserve">0 </w:t>
            </w:r>
            <w:r w:rsidRPr="00C6774A">
              <w:rPr>
                <w:rStyle w:val="Hyperlink"/>
                <w:noProof/>
              </w:rPr>
              <w:t>Introduction</w:t>
            </w:r>
            <w:r w:rsidRPr="00C6774A">
              <w:rPr>
                <w:noProof/>
                <w:webHidden/>
              </w:rPr>
              <w:tab/>
            </w:r>
            <w:r w:rsidRPr="00C6774A">
              <w:rPr>
                <w:noProof/>
                <w:webHidden/>
              </w:rPr>
              <w:fldChar w:fldCharType="begin"/>
            </w:r>
            <w:r w:rsidRPr="00C6774A">
              <w:rPr>
                <w:noProof/>
                <w:webHidden/>
              </w:rPr>
              <w:instrText xml:space="preserve"> PAGEREF _Toc243142027 \h </w:instrText>
            </w:r>
            <w:r w:rsidRPr="00C6774A">
              <w:rPr>
                <w:noProof/>
                <w:webHidden/>
              </w:rPr>
            </w:r>
            <w:r w:rsidRPr="00C6774A">
              <w:rPr>
                <w:noProof/>
                <w:webHidden/>
              </w:rPr>
              <w:fldChar w:fldCharType="separate"/>
            </w:r>
            <w:r w:rsidRPr="00C6774A">
              <w:rPr>
                <w:noProof/>
                <w:webHidden/>
              </w:rPr>
              <w:t>2</w:t>
            </w:r>
            <w:r w:rsidRPr="00C6774A">
              <w:rPr>
                <w:noProof/>
                <w:webHidden/>
              </w:rPr>
              <w:fldChar w:fldCharType="end"/>
            </w:r>
          </w:hyperlink>
        </w:p>
        <w:p w14:paraId="4F0E5CA7" w14:textId="68C97433" w:rsidR="00C6774A" w:rsidRPr="00C6774A" w:rsidRDefault="00C6774A" w:rsidP="00C6774A">
          <w:pPr>
            <w:pStyle w:val="TOC1"/>
            <w:tabs>
              <w:tab w:val="right" w:leader="dot" w:pos="9016"/>
            </w:tabs>
            <w:spacing w:line="360" w:lineRule="auto"/>
            <w:jc w:val="both"/>
            <w:rPr>
              <w:noProof/>
            </w:rPr>
          </w:pPr>
          <w:hyperlink w:anchor="_Toc243142028" w:history="1">
            <w:r w:rsidRPr="00C6774A">
              <w:rPr>
                <w:rStyle w:val="Hyperlink"/>
                <w:noProof/>
              </w:rPr>
              <w:t>2.</w:t>
            </w:r>
            <w:r w:rsidRPr="00C6774A">
              <w:rPr>
                <w:rStyle w:val="Hyperlink"/>
                <w:noProof/>
                <w:lang w:val="en-US"/>
              </w:rPr>
              <w:t xml:space="preserve">0 </w:t>
            </w:r>
            <w:r w:rsidRPr="00C6774A">
              <w:rPr>
                <w:rStyle w:val="Hyperlink"/>
                <w:noProof/>
              </w:rPr>
              <w:t>Innovation and its Implementation</w:t>
            </w:r>
            <w:r w:rsidRPr="00C6774A">
              <w:rPr>
                <w:noProof/>
                <w:webHidden/>
              </w:rPr>
              <w:tab/>
            </w:r>
            <w:r w:rsidRPr="00C6774A">
              <w:rPr>
                <w:noProof/>
                <w:webHidden/>
              </w:rPr>
              <w:fldChar w:fldCharType="begin"/>
            </w:r>
            <w:r w:rsidRPr="00C6774A">
              <w:rPr>
                <w:noProof/>
                <w:webHidden/>
              </w:rPr>
              <w:instrText xml:space="preserve"> PAGEREF _Toc243142028 \h </w:instrText>
            </w:r>
            <w:r w:rsidRPr="00C6774A">
              <w:rPr>
                <w:noProof/>
                <w:webHidden/>
              </w:rPr>
            </w:r>
            <w:r w:rsidRPr="00C6774A">
              <w:rPr>
                <w:noProof/>
                <w:webHidden/>
              </w:rPr>
              <w:fldChar w:fldCharType="separate"/>
            </w:r>
            <w:r w:rsidRPr="00C6774A">
              <w:rPr>
                <w:noProof/>
                <w:webHidden/>
              </w:rPr>
              <w:t>2</w:t>
            </w:r>
            <w:r w:rsidRPr="00C6774A">
              <w:rPr>
                <w:noProof/>
                <w:webHidden/>
              </w:rPr>
              <w:fldChar w:fldCharType="end"/>
            </w:r>
          </w:hyperlink>
        </w:p>
        <w:p w14:paraId="7505551F" w14:textId="44725B6C" w:rsidR="00C6774A" w:rsidRPr="00C6774A" w:rsidRDefault="00C6774A" w:rsidP="00C6774A">
          <w:pPr>
            <w:pStyle w:val="TOC1"/>
            <w:tabs>
              <w:tab w:val="right" w:leader="dot" w:pos="9016"/>
            </w:tabs>
            <w:spacing w:line="360" w:lineRule="auto"/>
            <w:jc w:val="both"/>
            <w:rPr>
              <w:noProof/>
            </w:rPr>
          </w:pPr>
          <w:hyperlink w:anchor="_Toc243142029" w:history="1">
            <w:r w:rsidRPr="00C6774A">
              <w:rPr>
                <w:rStyle w:val="Hyperlink"/>
                <w:noProof/>
              </w:rPr>
              <w:t>3.</w:t>
            </w:r>
            <w:r w:rsidRPr="00C6774A">
              <w:rPr>
                <w:rStyle w:val="Hyperlink"/>
                <w:noProof/>
                <w:lang w:val="en-US"/>
              </w:rPr>
              <w:t>0</w:t>
            </w:r>
            <w:r w:rsidRPr="00C6774A">
              <w:rPr>
                <w:rStyle w:val="Hyperlink"/>
                <w:noProof/>
              </w:rPr>
              <w:t xml:space="preserve"> Workforce</w:t>
            </w:r>
            <w:r w:rsidRPr="00C6774A">
              <w:rPr>
                <w:noProof/>
                <w:webHidden/>
              </w:rPr>
              <w:tab/>
            </w:r>
            <w:r w:rsidRPr="00C6774A">
              <w:rPr>
                <w:noProof/>
                <w:webHidden/>
              </w:rPr>
              <w:fldChar w:fldCharType="begin"/>
            </w:r>
            <w:r w:rsidRPr="00C6774A">
              <w:rPr>
                <w:noProof/>
                <w:webHidden/>
              </w:rPr>
              <w:instrText xml:space="preserve"> PAGEREF _Toc243142029 \h </w:instrText>
            </w:r>
            <w:r w:rsidRPr="00C6774A">
              <w:rPr>
                <w:noProof/>
                <w:webHidden/>
              </w:rPr>
            </w:r>
            <w:r w:rsidRPr="00C6774A">
              <w:rPr>
                <w:noProof/>
                <w:webHidden/>
              </w:rPr>
              <w:fldChar w:fldCharType="separate"/>
            </w:r>
            <w:r w:rsidRPr="00C6774A">
              <w:rPr>
                <w:noProof/>
                <w:webHidden/>
              </w:rPr>
              <w:t>3</w:t>
            </w:r>
            <w:r w:rsidRPr="00C6774A">
              <w:rPr>
                <w:noProof/>
                <w:webHidden/>
              </w:rPr>
              <w:fldChar w:fldCharType="end"/>
            </w:r>
          </w:hyperlink>
        </w:p>
        <w:p w14:paraId="689F7A06" w14:textId="47313634" w:rsidR="00C6774A" w:rsidRPr="00C6774A" w:rsidRDefault="00C6774A" w:rsidP="00C6774A">
          <w:pPr>
            <w:pStyle w:val="TOC1"/>
            <w:tabs>
              <w:tab w:val="right" w:leader="dot" w:pos="9016"/>
            </w:tabs>
            <w:spacing w:line="360" w:lineRule="auto"/>
            <w:jc w:val="both"/>
            <w:rPr>
              <w:noProof/>
            </w:rPr>
          </w:pPr>
          <w:hyperlink w:anchor="_Toc243142030" w:history="1">
            <w:r w:rsidRPr="00C6774A">
              <w:rPr>
                <w:rStyle w:val="Hyperlink"/>
                <w:noProof/>
              </w:rPr>
              <w:t>4.</w:t>
            </w:r>
            <w:r w:rsidRPr="00C6774A">
              <w:rPr>
                <w:rStyle w:val="Hyperlink"/>
                <w:noProof/>
                <w:lang w:val="en-US"/>
              </w:rPr>
              <w:t xml:space="preserve">0 </w:t>
            </w:r>
            <w:r w:rsidRPr="00C6774A">
              <w:rPr>
                <w:rStyle w:val="Hyperlink"/>
                <w:noProof/>
              </w:rPr>
              <w:t>Service Delivery</w:t>
            </w:r>
            <w:r w:rsidRPr="00C6774A">
              <w:rPr>
                <w:noProof/>
                <w:webHidden/>
              </w:rPr>
              <w:tab/>
            </w:r>
            <w:r w:rsidRPr="00C6774A">
              <w:rPr>
                <w:noProof/>
                <w:webHidden/>
              </w:rPr>
              <w:fldChar w:fldCharType="begin"/>
            </w:r>
            <w:r w:rsidRPr="00C6774A">
              <w:rPr>
                <w:noProof/>
                <w:webHidden/>
              </w:rPr>
              <w:instrText xml:space="preserve"> PAGEREF _Toc243142030 \h </w:instrText>
            </w:r>
            <w:r w:rsidRPr="00C6774A">
              <w:rPr>
                <w:noProof/>
                <w:webHidden/>
              </w:rPr>
            </w:r>
            <w:r w:rsidRPr="00C6774A">
              <w:rPr>
                <w:noProof/>
                <w:webHidden/>
              </w:rPr>
              <w:fldChar w:fldCharType="separate"/>
            </w:r>
            <w:r w:rsidRPr="00C6774A">
              <w:rPr>
                <w:noProof/>
                <w:webHidden/>
              </w:rPr>
              <w:t>4</w:t>
            </w:r>
            <w:r w:rsidRPr="00C6774A">
              <w:rPr>
                <w:noProof/>
                <w:webHidden/>
              </w:rPr>
              <w:fldChar w:fldCharType="end"/>
            </w:r>
          </w:hyperlink>
        </w:p>
        <w:p w14:paraId="49192A72" w14:textId="37CA883D" w:rsidR="00C6774A" w:rsidRPr="00C6774A" w:rsidRDefault="00C6774A" w:rsidP="00C6774A">
          <w:pPr>
            <w:pStyle w:val="TOC1"/>
            <w:tabs>
              <w:tab w:val="right" w:leader="dot" w:pos="9016"/>
            </w:tabs>
            <w:spacing w:line="360" w:lineRule="auto"/>
            <w:jc w:val="both"/>
            <w:rPr>
              <w:noProof/>
            </w:rPr>
          </w:pPr>
          <w:hyperlink w:anchor="_Toc243142031" w:history="1">
            <w:r w:rsidRPr="00C6774A">
              <w:rPr>
                <w:rStyle w:val="Hyperlink"/>
                <w:noProof/>
              </w:rPr>
              <w:t>5.</w:t>
            </w:r>
            <w:r w:rsidRPr="00C6774A">
              <w:rPr>
                <w:rStyle w:val="Hyperlink"/>
                <w:noProof/>
                <w:lang w:val="en-US"/>
              </w:rPr>
              <w:t xml:space="preserve">0 </w:t>
            </w:r>
            <w:r w:rsidRPr="00C6774A">
              <w:rPr>
                <w:rStyle w:val="Hyperlink"/>
                <w:noProof/>
              </w:rPr>
              <w:t>Patients &amp; Service Users</w:t>
            </w:r>
            <w:r w:rsidRPr="00C6774A">
              <w:rPr>
                <w:noProof/>
                <w:webHidden/>
              </w:rPr>
              <w:tab/>
            </w:r>
            <w:r w:rsidRPr="00C6774A">
              <w:rPr>
                <w:noProof/>
                <w:webHidden/>
              </w:rPr>
              <w:fldChar w:fldCharType="begin"/>
            </w:r>
            <w:r w:rsidRPr="00C6774A">
              <w:rPr>
                <w:noProof/>
                <w:webHidden/>
              </w:rPr>
              <w:instrText xml:space="preserve"> PAGEREF _Toc243142031 \h </w:instrText>
            </w:r>
            <w:r w:rsidRPr="00C6774A">
              <w:rPr>
                <w:noProof/>
                <w:webHidden/>
              </w:rPr>
            </w:r>
            <w:r w:rsidRPr="00C6774A">
              <w:rPr>
                <w:noProof/>
                <w:webHidden/>
              </w:rPr>
              <w:fldChar w:fldCharType="separate"/>
            </w:r>
            <w:r w:rsidRPr="00C6774A">
              <w:rPr>
                <w:noProof/>
                <w:webHidden/>
              </w:rPr>
              <w:t>5</w:t>
            </w:r>
            <w:r w:rsidRPr="00C6774A">
              <w:rPr>
                <w:noProof/>
                <w:webHidden/>
              </w:rPr>
              <w:fldChar w:fldCharType="end"/>
            </w:r>
          </w:hyperlink>
        </w:p>
        <w:p w14:paraId="657E3153" w14:textId="278840E1" w:rsidR="00C6774A" w:rsidRPr="00C6774A" w:rsidRDefault="00C6774A" w:rsidP="00C6774A">
          <w:pPr>
            <w:pStyle w:val="TOC1"/>
            <w:tabs>
              <w:tab w:val="right" w:leader="dot" w:pos="9016"/>
            </w:tabs>
            <w:spacing w:line="360" w:lineRule="auto"/>
            <w:jc w:val="both"/>
            <w:rPr>
              <w:noProof/>
            </w:rPr>
          </w:pPr>
          <w:hyperlink w:anchor="_Toc243142032" w:history="1">
            <w:r w:rsidRPr="00C6774A">
              <w:rPr>
                <w:rStyle w:val="Hyperlink"/>
                <w:noProof/>
              </w:rPr>
              <w:t>6.</w:t>
            </w:r>
            <w:r w:rsidRPr="00C6774A">
              <w:rPr>
                <w:rStyle w:val="Hyperlink"/>
                <w:noProof/>
                <w:lang w:val="en-US"/>
              </w:rPr>
              <w:t xml:space="preserve">0 </w:t>
            </w:r>
            <w:r w:rsidRPr="00C6774A">
              <w:rPr>
                <w:rStyle w:val="Hyperlink"/>
                <w:noProof/>
              </w:rPr>
              <w:t>Community</w:t>
            </w:r>
            <w:r w:rsidRPr="00C6774A">
              <w:rPr>
                <w:noProof/>
                <w:webHidden/>
              </w:rPr>
              <w:tab/>
            </w:r>
            <w:r w:rsidRPr="00C6774A">
              <w:rPr>
                <w:noProof/>
                <w:webHidden/>
              </w:rPr>
              <w:fldChar w:fldCharType="begin"/>
            </w:r>
            <w:r w:rsidRPr="00C6774A">
              <w:rPr>
                <w:noProof/>
                <w:webHidden/>
              </w:rPr>
              <w:instrText xml:space="preserve"> PAGEREF _Toc243142032 \h </w:instrText>
            </w:r>
            <w:r w:rsidRPr="00C6774A">
              <w:rPr>
                <w:noProof/>
                <w:webHidden/>
              </w:rPr>
            </w:r>
            <w:r w:rsidRPr="00C6774A">
              <w:rPr>
                <w:noProof/>
                <w:webHidden/>
              </w:rPr>
              <w:fldChar w:fldCharType="separate"/>
            </w:r>
            <w:r w:rsidRPr="00C6774A">
              <w:rPr>
                <w:noProof/>
                <w:webHidden/>
              </w:rPr>
              <w:t>5</w:t>
            </w:r>
            <w:r w:rsidRPr="00C6774A">
              <w:rPr>
                <w:noProof/>
                <w:webHidden/>
              </w:rPr>
              <w:fldChar w:fldCharType="end"/>
            </w:r>
          </w:hyperlink>
        </w:p>
        <w:p w14:paraId="35373C28" w14:textId="2F2255FE" w:rsidR="00C6774A" w:rsidRPr="00C6774A" w:rsidRDefault="00C6774A" w:rsidP="00C6774A">
          <w:pPr>
            <w:pStyle w:val="TOC1"/>
            <w:tabs>
              <w:tab w:val="right" w:leader="dot" w:pos="9016"/>
            </w:tabs>
            <w:spacing w:line="360" w:lineRule="auto"/>
            <w:jc w:val="both"/>
            <w:rPr>
              <w:noProof/>
            </w:rPr>
          </w:pPr>
          <w:hyperlink w:anchor="_Toc243142033" w:history="1">
            <w:r w:rsidRPr="00C6774A">
              <w:rPr>
                <w:rStyle w:val="Hyperlink"/>
                <w:noProof/>
              </w:rPr>
              <w:t>7.</w:t>
            </w:r>
            <w:r w:rsidRPr="00C6774A">
              <w:rPr>
                <w:rStyle w:val="Hyperlink"/>
                <w:noProof/>
                <w:lang w:val="en-US"/>
              </w:rPr>
              <w:t xml:space="preserve">0 </w:t>
            </w:r>
            <w:r w:rsidRPr="00C6774A">
              <w:rPr>
                <w:rStyle w:val="Hyperlink"/>
                <w:noProof/>
              </w:rPr>
              <w:t>Conclusion and Recommendations</w:t>
            </w:r>
            <w:r w:rsidRPr="00C6774A">
              <w:rPr>
                <w:noProof/>
                <w:webHidden/>
              </w:rPr>
              <w:tab/>
            </w:r>
            <w:r w:rsidRPr="00C6774A">
              <w:rPr>
                <w:noProof/>
                <w:webHidden/>
              </w:rPr>
              <w:fldChar w:fldCharType="begin"/>
            </w:r>
            <w:r w:rsidRPr="00C6774A">
              <w:rPr>
                <w:noProof/>
                <w:webHidden/>
              </w:rPr>
              <w:instrText xml:space="preserve"> PAGEREF _Toc243142033 \h </w:instrText>
            </w:r>
            <w:r w:rsidRPr="00C6774A">
              <w:rPr>
                <w:noProof/>
                <w:webHidden/>
              </w:rPr>
            </w:r>
            <w:r w:rsidRPr="00C6774A">
              <w:rPr>
                <w:noProof/>
                <w:webHidden/>
              </w:rPr>
              <w:fldChar w:fldCharType="separate"/>
            </w:r>
            <w:r w:rsidRPr="00C6774A">
              <w:rPr>
                <w:noProof/>
                <w:webHidden/>
              </w:rPr>
              <w:t>7</w:t>
            </w:r>
            <w:r w:rsidRPr="00C6774A">
              <w:rPr>
                <w:noProof/>
                <w:webHidden/>
              </w:rPr>
              <w:fldChar w:fldCharType="end"/>
            </w:r>
          </w:hyperlink>
        </w:p>
        <w:p w14:paraId="230B9FCD" w14:textId="70688ECF" w:rsidR="00C6774A" w:rsidRPr="00C6774A" w:rsidRDefault="00C6774A" w:rsidP="00C6774A">
          <w:pPr>
            <w:pStyle w:val="TOC1"/>
            <w:tabs>
              <w:tab w:val="right" w:leader="dot" w:pos="9016"/>
            </w:tabs>
            <w:spacing w:line="360" w:lineRule="auto"/>
            <w:jc w:val="both"/>
            <w:rPr>
              <w:noProof/>
            </w:rPr>
          </w:pPr>
          <w:hyperlink w:anchor="_Toc243142034" w:history="1">
            <w:r w:rsidRPr="00C6774A">
              <w:rPr>
                <w:rStyle w:val="Hyperlink"/>
                <w:noProof/>
              </w:rPr>
              <w:t>References</w:t>
            </w:r>
            <w:r w:rsidRPr="00C6774A">
              <w:rPr>
                <w:noProof/>
                <w:webHidden/>
              </w:rPr>
              <w:tab/>
            </w:r>
            <w:r w:rsidRPr="00C6774A">
              <w:rPr>
                <w:noProof/>
                <w:webHidden/>
              </w:rPr>
              <w:fldChar w:fldCharType="begin"/>
            </w:r>
            <w:r w:rsidRPr="00C6774A">
              <w:rPr>
                <w:noProof/>
                <w:webHidden/>
              </w:rPr>
              <w:instrText xml:space="preserve"> PAGEREF _Toc243142034 \h </w:instrText>
            </w:r>
            <w:r w:rsidRPr="00C6774A">
              <w:rPr>
                <w:noProof/>
                <w:webHidden/>
              </w:rPr>
            </w:r>
            <w:r w:rsidRPr="00C6774A">
              <w:rPr>
                <w:noProof/>
                <w:webHidden/>
              </w:rPr>
              <w:fldChar w:fldCharType="separate"/>
            </w:r>
            <w:r w:rsidRPr="00C6774A">
              <w:rPr>
                <w:noProof/>
                <w:webHidden/>
              </w:rPr>
              <w:t>8</w:t>
            </w:r>
            <w:r w:rsidRPr="00C6774A">
              <w:rPr>
                <w:noProof/>
                <w:webHidden/>
              </w:rPr>
              <w:fldChar w:fldCharType="end"/>
            </w:r>
          </w:hyperlink>
        </w:p>
        <w:p w14:paraId="239213BE" w14:textId="763B8572" w:rsidR="00C6774A" w:rsidRPr="00C6774A" w:rsidRDefault="00C6774A" w:rsidP="00C6774A">
          <w:pPr>
            <w:spacing w:line="360" w:lineRule="auto"/>
            <w:jc w:val="both"/>
          </w:pPr>
          <w:r w:rsidRPr="00C6774A">
            <w:rPr>
              <w:b/>
              <w:bCs/>
              <w:noProof/>
            </w:rPr>
            <w:fldChar w:fldCharType="end"/>
          </w:r>
        </w:p>
      </w:sdtContent>
    </w:sdt>
    <w:p w14:paraId="55105040" w14:textId="77777777" w:rsidR="004B7B10" w:rsidRPr="00C6774A" w:rsidRDefault="00000000" w:rsidP="00C6774A">
      <w:pPr>
        <w:spacing w:line="360" w:lineRule="auto"/>
        <w:jc w:val="both"/>
      </w:pPr>
      <w:r w:rsidRPr="00C6774A">
        <w:br w:type="page"/>
      </w:r>
    </w:p>
    <w:p w14:paraId="3066A51C" w14:textId="7F56756A" w:rsidR="00165905" w:rsidRPr="00C6774A" w:rsidRDefault="00165905" w:rsidP="00C6774A">
      <w:pPr>
        <w:pStyle w:val="Heading1"/>
        <w:spacing w:line="360" w:lineRule="auto"/>
        <w:jc w:val="both"/>
        <w:rPr>
          <w:color w:val="auto"/>
          <w:sz w:val="22"/>
          <w:szCs w:val="22"/>
        </w:rPr>
      </w:pPr>
      <w:bookmarkStart w:id="0" w:name="_Toc243142027"/>
      <w:r w:rsidRPr="00C6774A">
        <w:rPr>
          <w:color w:val="auto"/>
          <w:sz w:val="22"/>
          <w:szCs w:val="22"/>
        </w:rPr>
        <w:lastRenderedPageBreak/>
        <w:t>1.</w:t>
      </w:r>
      <w:r w:rsidR="004A409B" w:rsidRPr="00C6774A">
        <w:rPr>
          <w:color w:val="auto"/>
          <w:sz w:val="22"/>
          <w:szCs w:val="22"/>
          <w:lang w:val="en-US"/>
        </w:rPr>
        <w:t xml:space="preserve">0 </w:t>
      </w:r>
      <w:r w:rsidRPr="00C6774A">
        <w:rPr>
          <w:color w:val="auto"/>
          <w:sz w:val="22"/>
          <w:szCs w:val="22"/>
        </w:rPr>
        <w:t>Introduction</w:t>
      </w:r>
      <w:bookmarkEnd w:id="0"/>
    </w:p>
    <w:p w14:paraId="6CD8FCDC" w14:textId="1EFB03E0" w:rsidR="00165905" w:rsidRPr="00C6774A" w:rsidRDefault="00165905" w:rsidP="00C6774A">
      <w:pPr>
        <w:spacing w:after="160" w:line="360" w:lineRule="auto"/>
        <w:jc w:val="both"/>
      </w:pPr>
      <w:r w:rsidRPr="00C6774A">
        <w:t xml:space="preserve">Virtual wards, often called ‘hospital at </w:t>
      </w:r>
      <w:r w:rsidR="00C6774A">
        <w:t>home '</w:t>
      </w:r>
      <w:r w:rsidRPr="00C6774A">
        <w:t xml:space="preserve">, are a type of health service arrangement where multidisciplinary clinical management is delivered in a patient's usual home, with </w:t>
      </w:r>
      <w:r w:rsidR="00C6774A" w:rsidRPr="00C6774A">
        <w:t>technology-enabled</w:t>
      </w:r>
      <w:r w:rsidRPr="00C6774A">
        <w:t xml:space="preserve"> remote monitoring (NHS England, 2024a). They are a national programme which emerged from the COVID-19 oximetry wards of 2020 and received £450m of ring-fenced funding for two years and are now being used in all integrated care boards (</w:t>
      </w:r>
      <w:proofErr w:type="spellStart"/>
      <w:r w:rsidRPr="00C6774A">
        <w:t>ICBs</w:t>
      </w:r>
      <w:proofErr w:type="spellEnd"/>
      <w:r w:rsidRPr="00C6774A">
        <w:t>) in England (Begum and Greenstock, 2025). It is therefore a recent innovation and one of the largest redesigns of a service in the history of the NHS to include digital services. The concept of 'digital transformation' is not just the introduction of a device but the redesign of care pathways, professional roles and relationships to technology (Topol, 2019).</w:t>
      </w:r>
    </w:p>
    <w:p w14:paraId="5B696E05" w14:textId="1AF590E4" w:rsidR="00165905" w:rsidRPr="00C6774A" w:rsidRDefault="00165905" w:rsidP="00C6774A">
      <w:pPr>
        <w:spacing w:after="160" w:line="360" w:lineRule="auto"/>
        <w:jc w:val="both"/>
      </w:pPr>
      <w:r w:rsidRPr="00C6774A">
        <w:t xml:space="preserve">This report is a critical analysis of the implementation of virtual wards in England </w:t>
      </w:r>
      <w:r w:rsidR="00C6774A" w:rsidRPr="00C6774A">
        <w:t>across four areas: workforce; service delivery; patients and community; and the balance between</w:t>
      </w:r>
      <w:r w:rsidRPr="00C6774A">
        <w:t xml:space="preserve"> positive and negative outcomes. The Non-adoption, Abandonment, Scale-up, Spread and Sustainability (NASSS) framework by Greenhalgh et al. (2017) is utilized as an analytical lens, as it offers an explanation </w:t>
      </w:r>
      <w:r w:rsidR="00C6774A" w:rsidRPr="00C6774A">
        <w:t>of</w:t>
      </w:r>
      <w:r w:rsidRPr="00C6774A">
        <w:t xml:space="preserve"> why technologies that are successful in their pilots struggle when moving to scale. Regional data from the South East</w:t>
      </w:r>
      <w:r w:rsidR="00C6774A" w:rsidRPr="00C6774A">
        <w:t>,</w:t>
      </w:r>
      <w:r w:rsidRPr="00C6774A">
        <w:t xml:space="preserve"> Birmingham</w:t>
      </w:r>
      <w:r w:rsidR="00C6774A" w:rsidRPr="00C6774A">
        <w:t>,</w:t>
      </w:r>
      <w:r w:rsidRPr="00C6774A">
        <w:t xml:space="preserve"> and Wales </w:t>
      </w:r>
      <w:r w:rsidR="00C6774A" w:rsidRPr="00C6774A">
        <w:t>are</w:t>
      </w:r>
      <w:r w:rsidRPr="00C6774A">
        <w:t xml:space="preserve"> used to supplement National data.</w:t>
      </w:r>
    </w:p>
    <w:p w14:paraId="76AE9772" w14:textId="18267E0D" w:rsidR="00165905" w:rsidRPr="00C6774A" w:rsidRDefault="00165905" w:rsidP="00C6774A">
      <w:pPr>
        <w:pStyle w:val="Heading1"/>
        <w:spacing w:line="360" w:lineRule="auto"/>
        <w:jc w:val="both"/>
        <w:rPr>
          <w:color w:val="auto"/>
          <w:sz w:val="22"/>
          <w:szCs w:val="22"/>
        </w:rPr>
      </w:pPr>
      <w:bookmarkStart w:id="1" w:name="_Toc243142028"/>
      <w:r w:rsidRPr="00C6774A">
        <w:rPr>
          <w:color w:val="auto"/>
          <w:sz w:val="22"/>
          <w:szCs w:val="22"/>
        </w:rPr>
        <w:t>2.</w:t>
      </w:r>
      <w:r w:rsidR="004A409B" w:rsidRPr="00C6774A">
        <w:rPr>
          <w:color w:val="auto"/>
          <w:sz w:val="22"/>
          <w:szCs w:val="22"/>
          <w:lang w:val="en-US"/>
        </w:rPr>
        <w:t xml:space="preserve">0 </w:t>
      </w:r>
      <w:r w:rsidRPr="00C6774A">
        <w:rPr>
          <w:color w:val="auto"/>
          <w:sz w:val="22"/>
          <w:szCs w:val="22"/>
        </w:rPr>
        <w:t>Innovation and its Implementation</w:t>
      </w:r>
      <w:bookmarkEnd w:id="1"/>
    </w:p>
    <w:p w14:paraId="22F4E441" w14:textId="183B8313" w:rsidR="00165905" w:rsidRPr="00C6774A" w:rsidRDefault="00165905" w:rsidP="00C6774A">
      <w:pPr>
        <w:spacing w:after="160" w:line="360" w:lineRule="auto"/>
        <w:jc w:val="both"/>
      </w:pPr>
      <w:r w:rsidRPr="00C6774A">
        <w:t xml:space="preserve">A Virtual ward is a service that uses a virtual platform. The patient is equipped with a device or handheld device, such as a pulse oximeter or blood pressure monitor, that sends observations to a </w:t>
      </w:r>
      <w:r w:rsidR="00C6774A" w:rsidRPr="00C6774A">
        <w:t>monitoring</w:t>
      </w:r>
      <w:r w:rsidRPr="00C6774A">
        <w:t xml:space="preserve"> point where clinicians are able to see data, respond to alerts</w:t>
      </w:r>
      <w:r w:rsidR="00C6774A" w:rsidRPr="00C6774A">
        <w:t>,</w:t>
      </w:r>
      <w:r w:rsidRPr="00C6774A">
        <w:t xml:space="preserve"> and escalate deterioration. This is combined with in-person visits for interventions such as intravenous therapy (Begum and Greenstock, 2025). Patients arrive on ‘step-up</w:t>
      </w:r>
      <w:r w:rsidR="00C6774A">
        <w:t>'</w:t>
      </w:r>
      <w:r w:rsidRPr="00C6774A">
        <w:t xml:space="preserve"> (admission avoidance) or ‘step-down</w:t>
      </w:r>
      <w:r w:rsidR="00C6774A">
        <w:t>'</w:t>
      </w:r>
      <w:r w:rsidRPr="00C6774A">
        <w:t xml:space="preserve"> (early discharge) routes. Consultant-led working, </w:t>
      </w:r>
      <w:r w:rsidR="00C6774A" w:rsidRPr="00C6774A">
        <w:t>7-day-a-week</w:t>
      </w:r>
      <w:r w:rsidRPr="00C6774A">
        <w:t xml:space="preserve"> staffing, multidisciplinary board rounds, and access to hospital diagnostics each day are all part of the national operational framework, all at consultant level, reminding us that technology is a means of providing clinical care, not as its replacement (NHS England, 2024a).</w:t>
      </w:r>
    </w:p>
    <w:p w14:paraId="27E56490" w14:textId="5B982AC2" w:rsidR="00165905" w:rsidRPr="00C6774A" w:rsidRDefault="00165905" w:rsidP="00C6774A">
      <w:pPr>
        <w:spacing w:after="160" w:line="360" w:lineRule="auto"/>
        <w:jc w:val="both"/>
      </w:pPr>
      <w:r w:rsidRPr="00C6774A">
        <w:t>The scale of adoption is shown in Figure 1. Capacity increased from approximately 9,700 beds in July 2023 to 12,725 beds in January 2026</w:t>
      </w:r>
      <w:r w:rsidR="00C6774A" w:rsidRPr="00C6774A">
        <w:t>,</w:t>
      </w:r>
      <w:r w:rsidRPr="00C6774A">
        <w:t xml:space="preserve"> and the occupancy rate has hit a new record of 90% (Institute for Government, 2025; Patient Safety Learning, 2026). Despite this, the same data show a plateau, with capacity increasing by just 98 beds over the course of the year to January 2026 after ring-fenced funding came to an end and A&amp;E targets became a priority for commissioners (Patient Safety Learning, 2026). National capacity is at less than 20 beds per 100,000 (NHS England, 2025)</w:t>
      </w:r>
      <w:r w:rsidR="00C6774A" w:rsidRPr="00C6774A">
        <w:t>,</w:t>
      </w:r>
      <w:r w:rsidRPr="00C6774A">
        <w:t xml:space="preserve"> which is around half the number of beds that was originally targeted (40–50). Virtual ‘beds’ also don't represent the actual number of beds staffed by </w:t>
      </w:r>
      <w:r w:rsidRPr="00C6774A">
        <w:lastRenderedPageBreak/>
        <w:t>nurses</w:t>
      </w:r>
      <w:r w:rsidR="00C6774A" w:rsidRPr="00C6774A">
        <w:t>;</w:t>
      </w:r>
      <w:r w:rsidRPr="00C6774A">
        <w:t xml:space="preserve"> the number of monitoring slots has been used instead, meaning headline growth could be genuine growth in the number of hospital beds but not necessarily the number of beds staffed. The programme has been adopted, but is now facing a challenge to sustainable adoption due to the ‘wider context’ domain of funding and policy in NASSS terms.</w:t>
      </w:r>
    </w:p>
    <w:p w14:paraId="75D37C9F" w14:textId="733C3B11" w:rsidR="004B7B10" w:rsidRPr="00C6774A" w:rsidRDefault="00165905" w:rsidP="00C6774A">
      <w:pPr>
        <w:spacing w:after="160" w:line="360" w:lineRule="auto"/>
        <w:jc w:val="both"/>
      </w:pPr>
      <w:r w:rsidRPr="00C6774A">
        <w:t xml:space="preserve">Wales is a salutary comparison. Instead of targeting a national bed, Swansea Bay University Health Board focused on establishing virtual wards across all eight GP cluster collaboratives in 2021, through multidisciplinary teams to deliver proactive care for the frail before crisis and subsequent home monitoring devices via a Technology Enabled Care Cymru (TEC) pilot. The board estimates that it has prevented approximately 4,000 people from being admitted, but cautions that this is an estimate only (Swansea Bay University Health Board, 2025). This implies that technology is not a core requirement of fully integrated, relationship-based care and that the use of a </w:t>
      </w:r>
      <w:r w:rsidR="00C6774A" w:rsidRPr="00C6774A">
        <w:t>technology-centred</w:t>
      </w:r>
      <w:r w:rsidRPr="00C6774A">
        <w:t xml:space="preserve"> acute care delivery example is part of a choice of designs</w:t>
      </w:r>
      <w:r w:rsidR="00000000" w:rsidRPr="00C6774A">
        <w:t>.</w:t>
      </w:r>
    </w:p>
    <w:p w14:paraId="4D60CE5B" w14:textId="77777777" w:rsidR="004B7B10" w:rsidRPr="00C6774A" w:rsidRDefault="00000000" w:rsidP="00C6774A">
      <w:pPr>
        <w:keepNext/>
        <w:spacing w:before="120" w:line="360" w:lineRule="auto"/>
        <w:jc w:val="both"/>
      </w:pPr>
      <w:r w:rsidRPr="00C6774A">
        <w:rPr>
          <w:noProof/>
        </w:rPr>
        <w:drawing>
          <wp:inline distT="0" distB="0" distL="0" distR="0" wp14:anchorId="163C43BB" wp14:editId="20FF1369">
            <wp:extent cx="5486400" cy="2743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486400" cy="2743200"/>
                    </a:xfrm>
                    <a:prstGeom prst="rect">
                      <a:avLst/>
                    </a:prstGeom>
                  </pic:spPr>
                </pic:pic>
              </a:graphicData>
            </a:graphic>
          </wp:inline>
        </w:drawing>
      </w:r>
    </w:p>
    <w:p w14:paraId="15D956CC" w14:textId="1F6055D4" w:rsidR="004B7B10" w:rsidRPr="00C6774A" w:rsidRDefault="00000000" w:rsidP="00C6774A">
      <w:pPr>
        <w:spacing w:before="80" w:after="200" w:line="360" w:lineRule="auto"/>
        <w:jc w:val="both"/>
        <w:rPr>
          <w:b/>
          <w:bCs/>
        </w:rPr>
      </w:pPr>
      <w:r w:rsidRPr="00C6774A">
        <w:rPr>
          <w:b/>
          <w:bCs/>
          <w:i/>
          <w:iCs/>
        </w:rPr>
        <w:t xml:space="preserve">Figure 1: Virtual ward capacity and occupancy in England, July 2023 to January 2026. </w:t>
      </w:r>
    </w:p>
    <w:p w14:paraId="2B8A32B0" w14:textId="6BFEA57E" w:rsidR="00B00A0A" w:rsidRPr="00C6774A" w:rsidRDefault="00B00A0A" w:rsidP="00C6774A">
      <w:pPr>
        <w:pStyle w:val="Heading1"/>
        <w:spacing w:line="360" w:lineRule="auto"/>
        <w:jc w:val="both"/>
        <w:rPr>
          <w:color w:val="auto"/>
          <w:sz w:val="22"/>
          <w:szCs w:val="22"/>
        </w:rPr>
      </w:pPr>
      <w:bookmarkStart w:id="2" w:name="_Toc243142029"/>
      <w:r w:rsidRPr="00C6774A">
        <w:rPr>
          <w:color w:val="auto"/>
          <w:sz w:val="22"/>
          <w:szCs w:val="22"/>
        </w:rPr>
        <w:t>3.</w:t>
      </w:r>
      <w:r w:rsidR="004A409B" w:rsidRPr="00C6774A">
        <w:rPr>
          <w:color w:val="auto"/>
          <w:sz w:val="22"/>
          <w:szCs w:val="22"/>
          <w:lang w:val="en-US"/>
        </w:rPr>
        <w:t>0</w:t>
      </w:r>
      <w:r w:rsidRPr="00C6774A">
        <w:rPr>
          <w:color w:val="auto"/>
          <w:sz w:val="22"/>
          <w:szCs w:val="22"/>
        </w:rPr>
        <w:t xml:space="preserve"> Workforce</w:t>
      </w:r>
      <w:bookmarkEnd w:id="2"/>
    </w:p>
    <w:p w14:paraId="6FC747E7" w14:textId="4E5AFC40" w:rsidR="00B00A0A" w:rsidRPr="00C6774A" w:rsidRDefault="00B00A0A" w:rsidP="00C6774A">
      <w:pPr>
        <w:keepNext/>
        <w:spacing w:before="120" w:after="80" w:line="360" w:lineRule="auto"/>
        <w:jc w:val="both"/>
      </w:pPr>
      <w:r w:rsidRPr="00C6774A">
        <w:t xml:space="preserve">Virtual wards </w:t>
      </w:r>
      <w:r w:rsidR="00C6774A">
        <w:t>have</w:t>
      </w:r>
      <w:r w:rsidRPr="00C6774A">
        <w:t xml:space="preserve"> changed the nature of work. Nurses, advanced clinical practitioners, pharmacists and therapists are now able to do remote triage, interpret continuous physiological data and make decisions without meeting the patient, and consultants and GPs are responsible for people they may never meet in person (NHS England, 2024a). Competencies are being redistributed across professional and organisational boundaries</w:t>
      </w:r>
      <w:r w:rsidR="00C6774A" w:rsidRPr="00C6774A">
        <w:t>,</w:t>
      </w:r>
      <w:r w:rsidRPr="00C6774A">
        <w:t xml:space="preserve"> with effective frailty wards described as ‘team of </w:t>
      </w:r>
      <w:r w:rsidR="00C6774A">
        <w:t>teams'</w:t>
      </w:r>
      <w:r w:rsidRPr="00C6774A">
        <w:t>, a new type of frailty ward that includes competencies from primary, community and acute care sectors (Westby et al., 2024). The job roles require skills and competencies that were rarely covered in traditional curricula</w:t>
      </w:r>
      <w:r w:rsidR="00C6774A" w:rsidRPr="00C6774A">
        <w:t>,</w:t>
      </w:r>
      <w:r w:rsidRPr="00C6774A">
        <w:t xml:space="preserve"> such as </w:t>
      </w:r>
      <w:r w:rsidRPr="00C6774A">
        <w:lastRenderedPageBreak/>
        <w:t>digital literacy, remote clinical judgements</w:t>
      </w:r>
      <w:r w:rsidR="00C6774A" w:rsidRPr="00C6774A">
        <w:t>,</w:t>
      </w:r>
      <w:r w:rsidRPr="00C6774A">
        <w:t xml:space="preserve"> and confident risk-sharing with families</w:t>
      </w:r>
      <w:r w:rsidR="00C6774A" w:rsidRPr="00C6774A">
        <w:t xml:space="preserve"> —</w:t>
      </w:r>
      <w:r w:rsidRPr="00C6774A">
        <w:t xml:space="preserve"> skills that the Topol Review (2019) anticipated a digital NHS would require. Fortunately, NHS staff (63%) are significantly more supportive of virtual wards than the public (45%) (Health Foundation, 2023).</w:t>
      </w:r>
    </w:p>
    <w:p w14:paraId="4B1E4B13" w14:textId="04EC7BC9" w:rsidR="00B00A0A" w:rsidRPr="00C6774A" w:rsidRDefault="00B00A0A" w:rsidP="00C6774A">
      <w:pPr>
        <w:keepNext/>
        <w:spacing w:before="120" w:after="80" w:line="360" w:lineRule="auto"/>
        <w:jc w:val="both"/>
      </w:pPr>
      <w:r w:rsidRPr="00C6774A">
        <w:t>Yet the evidence also exposes strain. Litchfield et al</w:t>
      </w:r>
      <w:r w:rsidR="00C6774A" w:rsidRPr="00C6774A">
        <w:t>.</w:t>
      </w:r>
      <w:r w:rsidRPr="00C6774A">
        <w:t xml:space="preserve"> (2025) conducted 20 interviews with staff in one of the largest </w:t>
      </w:r>
      <w:r w:rsidR="00C6774A" w:rsidRPr="00C6774A">
        <w:t>ICSs</w:t>
      </w:r>
      <w:r w:rsidRPr="00C6774A">
        <w:t xml:space="preserve"> in England who felt there was a lack of clarity about shared clinical responsibility across settings and a need for targeted training and ring-fenced time. There is also professional ambivalence, with only 39% of frailty wards using remote monitoring, which clinicians doubt is useful for complex patients, and there are reported hidden set-up and maintenance costs (Lindsay, Cunnington and Dixon-Woods, 2025)</w:t>
      </w:r>
      <w:r w:rsidR="00C6774A">
        <w:t>,</w:t>
      </w:r>
      <w:r w:rsidRPr="00C6774A">
        <w:t xml:space="preserve"> meaning there is a disconnect between the domains of NASSS ‘condition’ and ‘technology’. Most importantly, more highly skilled staff are needed for scaling virtual wards, not less (NHS Providers, 2023). For teams that are created by a redeployment of district nurses, the innovation comes at the risk of moving rather than creating capacity, and taking pressure from acute to community services. Whether virtual wards can be provided as additional capacity will depend on workforce benefit. There is a national skills framework, Skills for Health, 2022, which is advisory but with no protected training time</w:t>
      </w:r>
      <w:r w:rsidR="00C6774A" w:rsidRPr="00C6774A">
        <w:t>;</w:t>
      </w:r>
      <w:r w:rsidRPr="00C6774A">
        <w:t xml:space="preserve"> role change has overtaken role preparation, a typical NASSS ‘adopter’ barrier.</w:t>
      </w:r>
    </w:p>
    <w:p w14:paraId="6432EFF1" w14:textId="1834E0C2" w:rsidR="00B00A0A" w:rsidRPr="00C6774A" w:rsidRDefault="00B00A0A" w:rsidP="00C6774A">
      <w:pPr>
        <w:pStyle w:val="Heading1"/>
        <w:spacing w:line="360" w:lineRule="auto"/>
        <w:jc w:val="both"/>
        <w:rPr>
          <w:color w:val="auto"/>
          <w:sz w:val="22"/>
          <w:szCs w:val="22"/>
        </w:rPr>
      </w:pPr>
      <w:bookmarkStart w:id="3" w:name="_Toc243142030"/>
      <w:r w:rsidRPr="00C6774A">
        <w:rPr>
          <w:color w:val="auto"/>
          <w:sz w:val="22"/>
          <w:szCs w:val="22"/>
        </w:rPr>
        <w:t>4.</w:t>
      </w:r>
      <w:r w:rsidR="004A409B" w:rsidRPr="00C6774A">
        <w:rPr>
          <w:color w:val="auto"/>
          <w:sz w:val="22"/>
          <w:szCs w:val="22"/>
          <w:lang w:val="en-US"/>
        </w:rPr>
        <w:t xml:space="preserve">0 </w:t>
      </w:r>
      <w:r w:rsidRPr="00C6774A">
        <w:rPr>
          <w:color w:val="auto"/>
          <w:sz w:val="22"/>
          <w:szCs w:val="22"/>
        </w:rPr>
        <w:t>Service Delivery</w:t>
      </w:r>
      <w:bookmarkEnd w:id="3"/>
    </w:p>
    <w:p w14:paraId="112BDACD" w14:textId="5835BA64" w:rsidR="00B00A0A" w:rsidRPr="00C6774A" w:rsidRDefault="00B00A0A" w:rsidP="00C6774A">
      <w:pPr>
        <w:keepNext/>
        <w:spacing w:before="120" w:after="80" w:line="360" w:lineRule="auto"/>
        <w:jc w:val="both"/>
      </w:pPr>
      <w:r w:rsidRPr="00C6774A">
        <w:t>The ward round is transformed into a virtual board round, observations are received as dashboard notifications</w:t>
      </w:r>
      <w:r w:rsidR="00C6774A">
        <w:t>,</w:t>
      </w:r>
      <w:r w:rsidRPr="00C6774A">
        <w:t xml:space="preserve"> and ward visits are managed by clinical risk and not by the normal ward round. The best evidence for impact in the UK is from the independent evaluation of over 22,000 virtual ward admissions in 29 South East pathways, which found that for every 2.5 virtual ward admissions, there was one fewer non-elective hospital admission and estimated a net cost saving of £10.4 million per year (NHS England, 2024b). Mature ‘legacy</w:t>
      </w:r>
      <w:r w:rsidR="00C6774A">
        <w:t>'</w:t>
      </w:r>
      <w:r w:rsidRPr="00C6774A">
        <w:t xml:space="preserve"> wards enjoyed the most benefit, indicating that the more teams do</w:t>
      </w:r>
      <w:r w:rsidR="00C6774A" w:rsidRPr="00C6774A">
        <w:t>,</w:t>
      </w:r>
      <w:r w:rsidRPr="00C6774A">
        <w:t xml:space="preserve"> the more effective they will be.</w:t>
      </w:r>
    </w:p>
    <w:p w14:paraId="5A75B3AD" w14:textId="6927795C" w:rsidR="00B00A0A" w:rsidRPr="00C6774A" w:rsidRDefault="00B00A0A" w:rsidP="00C6774A">
      <w:pPr>
        <w:keepNext/>
        <w:spacing w:before="120" w:after="80" w:line="360" w:lineRule="auto"/>
        <w:jc w:val="both"/>
      </w:pPr>
      <w:r w:rsidRPr="00C6774A">
        <w:t>There is strong support from international trials on safety. A Cochrane review found that admission-avoidance hospital at home likely has little or no effect on six-month mortality and nearly halves the risk of residential care (RR 0.53, 95% CI 0.41–0.69) (Edgar et al., 2024). The Cochrane data also indicate no increased risk of readmission for these models (RR 1.14, range 0.97–1.34), although an upward trend is not statistically significant and should not be used to make definitive statements about safety.</w:t>
      </w:r>
    </w:p>
    <w:p w14:paraId="707ADF71" w14:textId="46A673A1" w:rsidR="00B00A0A" w:rsidRPr="00C6774A" w:rsidRDefault="00B00A0A" w:rsidP="00C6774A">
      <w:pPr>
        <w:keepNext/>
        <w:spacing w:before="120" w:after="80" w:line="360" w:lineRule="auto"/>
        <w:jc w:val="both"/>
      </w:pPr>
      <w:r w:rsidRPr="00C6774A">
        <w:t xml:space="preserve">There are, however, three disclaimers here. First, the South East findings are observational and correlational, which means admissions </w:t>
      </w:r>
      <w:r w:rsidR="00C6774A" w:rsidRPr="00C6774A">
        <w:t>that</w:t>
      </w:r>
      <w:r w:rsidRPr="00C6774A">
        <w:t xml:space="preserve"> are avoided cannot be attributed to virtual wards exclusively. Its savings are also notional, depending on tariff costs </w:t>
      </w:r>
      <w:r w:rsidR="00C6774A" w:rsidRPr="00C6774A">
        <w:t>rather than</w:t>
      </w:r>
      <w:r w:rsidRPr="00C6774A">
        <w:t xml:space="preserve"> cash </w:t>
      </w:r>
      <w:r w:rsidRPr="00C6774A">
        <w:lastRenderedPageBreak/>
        <w:t xml:space="preserve">freed up; vacated hospital cubicles are normally rescheduled, and a virtual ward can enhance patient flows without bringing about an overall saving. Second, Shi et al. (2024) did not discover any evidence indicating that high-intensity technology offers value beyond low-tech technology, nor any evidence of cost-effectiveness for </w:t>
      </w:r>
      <w:r w:rsidR="00C6774A" w:rsidRPr="00C6774A">
        <w:t>high-intensity</w:t>
      </w:r>
      <w:r w:rsidRPr="00C6774A">
        <w:t xml:space="preserve"> technology, which questions the need for investing in digital platforms. Third, some wards receive lower acuity patients (Begum and Greenstock 2025), thereby increasing throughput without adding to the ‘hospital-level’ purpose. Commissioners now demand more transparency for releasing cash evidence to justify more expansion, and thereby echo the confusion about the NASSS ‘value proposition’.</w:t>
      </w:r>
    </w:p>
    <w:p w14:paraId="34DAEBF6" w14:textId="07692599" w:rsidR="00B00A0A" w:rsidRPr="00C6774A" w:rsidRDefault="00B00A0A" w:rsidP="00C6774A">
      <w:pPr>
        <w:pStyle w:val="Heading1"/>
        <w:spacing w:line="360" w:lineRule="auto"/>
        <w:jc w:val="both"/>
        <w:rPr>
          <w:color w:val="auto"/>
          <w:sz w:val="22"/>
          <w:szCs w:val="22"/>
        </w:rPr>
      </w:pPr>
      <w:bookmarkStart w:id="4" w:name="_Toc243142031"/>
      <w:r w:rsidRPr="00C6774A">
        <w:rPr>
          <w:color w:val="auto"/>
          <w:sz w:val="22"/>
          <w:szCs w:val="22"/>
        </w:rPr>
        <w:t>5.</w:t>
      </w:r>
      <w:r w:rsidR="004A409B" w:rsidRPr="00C6774A">
        <w:rPr>
          <w:color w:val="auto"/>
          <w:sz w:val="22"/>
          <w:szCs w:val="22"/>
          <w:lang w:val="en-US"/>
        </w:rPr>
        <w:t xml:space="preserve">0 </w:t>
      </w:r>
      <w:r w:rsidRPr="00C6774A">
        <w:rPr>
          <w:color w:val="auto"/>
          <w:sz w:val="22"/>
          <w:szCs w:val="22"/>
        </w:rPr>
        <w:t>Patients &amp; Service Users</w:t>
      </w:r>
      <w:bookmarkEnd w:id="4"/>
    </w:p>
    <w:p w14:paraId="4D9B0439" w14:textId="05DFBC7A" w:rsidR="00B00A0A" w:rsidRPr="00C6774A" w:rsidRDefault="00B00A0A" w:rsidP="00C6774A">
      <w:pPr>
        <w:keepNext/>
        <w:spacing w:before="120" w:after="80" w:line="360" w:lineRule="auto"/>
        <w:jc w:val="both"/>
      </w:pPr>
      <w:r w:rsidRPr="00C6774A">
        <w:t>High satisfaction was found in the largest national study of patient satisfaction, involving 56 patients and 24 carers from eight wards (Begum and Greenstock, 2025). Patients appreciated the comfort of being at home and felt that staff had more time than they would in hospital; many found the remote monitoring empowering and reassuring, and some felt safer than on a ward in hospital. Evidence from trials also indicates that satisfaction is likely to be higher with hospital at home and that for older people, avoiding hospital will decrease the risk of deconditioning and delirium (Norman, Bennett and Vardy, 2023</w:t>
      </w:r>
      <w:r w:rsidR="00345D0D">
        <w:rPr>
          <w:lang w:val="en-US"/>
        </w:rPr>
        <w:t xml:space="preserve">; </w:t>
      </w:r>
      <w:r w:rsidR="00345D0D" w:rsidRPr="00C6774A">
        <w:t>Edgar et al</w:t>
      </w:r>
      <w:r w:rsidR="00345D0D">
        <w:t>.</w:t>
      </w:r>
      <w:r w:rsidR="00345D0D" w:rsidRPr="00C6774A">
        <w:t>, 2024)</w:t>
      </w:r>
      <w:r w:rsidRPr="00C6774A">
        <w:t>.</w:t>
      </w:r>
    </w:p>
    <w:p w14:paraId="4EFDDFF7" w14:textId="6A76BD58" w:rsidR="00B00A0A" w:rsidRPr="00C6774A" w:rsidRDefault="00B00A0A" w:rsidP="00C6774A">
      <w:pPr>
        <w:keepNext/>
        <w:spacing w:before="120" w:after="80" w:line="360" w:lineRule="auto"/>
        <w:jc w:val="both"/>
      </w:pPr>
      <w:r w:rsidRPr="00C6774A">
        <w:t xml:space="preserve">However, it was not consistent. There was some confusion about what the virtual ward entailed, technical issues, lack of adequate device instruction, and sudden discharge without the caregiver feeling supported by the system (Begum and Greenstock, 2025). The findings must be interpreted with some care, given the recruitment process through ward teams, the fact that diverse populations were under-represented, and </w:t>
      </w:r>
      <w:r w:rsidR="00C6774A" w:rsidRPr="00C6774A">
        <w:t xml:space="preserve">that </w:t>
      </w:r>
      <w:r w:rsidRPr="00C6774A">
        <w:t xml:space="preserve">others who refused to participate or were never invited were excluded. A few comments have also highlighted that standards were not high, due to low expectations for an </w:t>
      </w:r>
      <w:r w:rsidR="00C6774A" w:rsidRPr="00C6774A">
        <w:t>overstretched</w:t>
      </w:r>
      <w:r w:rsidRPr="00C6774A">
        <w:t xml:space="preserve"> NHS. Patients' perceptions thus seem favourable for those found suitable, but the evidence tells little about those for whom the model is not suitable.</w:t>
      </w:r>
    </w:p>
    <w:p w14:paraId="7C85D7B9" w14:textId="21D10D79" w:rsidR="00B00A0A" w:rsidRPr="00C6774A" w:rsidRDefault="00B00A0A" w:rsidP="00C6774A">
      <w:pPr>
        <w:pStyle w:val="Heading1"/>
        <w:spacing w:line="360" w:lineRule="auto"/>
        <w:jc w:val="both"/>
        <w:rPr>
          <w:color w:val="auto"/>
          <w:sz w:val="22"/>
          <w:szCs w:val="22"/>
        </w:rPr>
      </w:pPr>
      <w:bookmarkStart w:id="5" w:name="_Toc243142032"/>
      <w:r w:rsidRPr="00C6774A">
        <w:rPr>
          <w:color w:val="auto"/>
          <w:sz w:val="22"/>
          <w:szCs w:val="22"/>
        </w:rPr>
        <w:t>6.</w:t>
      </w:r>
      <w:r w:rsidR="004A409B" w:rsidRPr="00C6774A">
        <w:rPr>
          <w:color w:val="auto"/>
          <w:sz w:val="22"/>
          <w:szCs w:val="22"/>
          <w:lang w:val="en-US"/>
        </w:rPr>
        <w:t xml:space="preserve">0 </w:t>
      </w:r>
      <w:r w:rsidRPr="00C6774A">
        <w:rPr>
          <w:color w:val="auto"/>
          <w:sz w:val="22"/>
          <w:szCs w:val="22"/>
        </w:rPr>
        <w:t>Community</w:t>
      </w:r>
      <w:bookmarkEnd w:id="5"/>
    </w:p>
    <w:p w14:paraId="659DB85B" w14:textId="77777777" w:rsidR="00345D0D" w:rsidRDefault="00B00A0A" w:rsidP="00C6774A">
      <w:pPr>
        <w:keepNext/>
        <w:spacing w:before="120" w:after="80" w:line="360" w:lineRule="auto"/>
        <w:jc w:val="both"/>
      </w:pPr>
      <w:r w:rsidRPr="00C6774A">
        <w:t xml:space="preserve">Medication used in home-based acute care has a ripple effect to families and communities. Virtual wards can also serve as a lifeline for rural communities, where they can help reduce the need for long journeys to hospital, with a number of carers saying they appreciated not having to make the usual stressful trips to hospital (Begum and Greenstock 2025). Reduced exposure to hospitals decreases the chances of developing a </w:t>
      </w:r>
      <w:r w:rsidR="00C6774A" w:rsidRPr="00C6774A">
        <w:t>hospital-acquired</w:t>
      </w:r>
      <w:r w:rsidRPr="00C6774A">
        <w:t xml:space="preserve"> infection and functional decline, and fewer moves to residential areas of care maintain independent living (from a public health perspective; Edgar et al., 2024). However, the model is reliant upon a large number of unpaid carers who are responsible for the use of devices, medication</w:t>
      </w:r>
      <w:r w:rsidR="00C6774A" w:rsidRPr="00C6774A">
        <w:t>,</w:t>
      </w:r>
      <w:r w:rsidRPr="00C6774A">
        <w:t xml:space="preserve"> and </w:t>
      </w:r>
      <w:r w:rsidRPr="00C6774A">
        <w:lastRenderedPageBreak/>
        <w:t xml:space="preserve">personal care. Carers often felt their capacity was taken for granted, working carers felt the burden, and young carers' needs were not recognised (Begum and Greenstock, 2025). </w:t>
      </w:r>
    </w:p>
    <w:p w14:paraId="0CC648C9" w14:textId="1356022A" w:rsidR="00B00A0A" w:rsidRPr="00C6774A" w:rsidRDefault="00B00A0A" w:rsidP="00C6774A">
      <w:pPr>
        <w:keepNext/>
        <w:spacing w:before="120" w:after="80" w:line="360" w:lineRule="auto"/>
        <w:jc w:val="both"/>
      </w:pPr>
      <w:r w:rsidRPr="00C6774A">
        <w:t xml:space="preserve">Equity implications </w:t>
      </w:r>
      <w:r w:rsidR="00C6774A" w:rsidRPr="00C6774A">
        <w:t>are also</w:t>
      </w:r>
      <w:r w:rsidRPr="00C6774A">
        <w:t xml:space="preserve"> two-sided. In the first UK systematic review of virtual ward equity, ethnicity, language, deprivation, housing and digital exclusion were found to influence who benefited (</w:t>
      </w:r>
      <w:proofErr w:type="spellStart"/>
      <w:r w:rsidRPr="00C6774A">
        <w:t>Pahirden</w:t>
      </w:r>
      <w:proofErr w:type="spellEnd"/>
      <w:r w:rsidRPr="00C6774A">
        <w:t xml:space="preserve">, </w:t>
      </w:r>
      <w:proofErr w:type="spellStart"/>
      <w:r w:rsidRPr="00C6774A">
        <w:t>Stefler</w:t>
      </w:r>
      <w:proofErr w:type="spellEnd"/>
      <w:r w:rsidRPr="00C6774A">
        <w:t xml:space="preserve"> and </w:t>
      </w:r>
      <w:proofErr w:type="spellStart"/>
      <w:r w:rsidRPr="00C6774A">
        <w:t>Jayatunga</w:t>
      </w:r>
      <w:proofErr w:type="spellEnd"/>
      <w:r w:rsidRPr="00C6774A">
        <w:t>, 2025). That's important because the majority of the population that virtual wards are targeting are adults without basic digital skills, and 77% of these in the UK are aged 65 and above (Good Things Foundation, 2025). Black and minority ethnic patients were consistently under-represented in the South East evaluation (NHS England, 2024b)</w:t>
      </w:r>
      <w:r w:rsidR="00C6774A" w:rsidRPr="00C6774A">
        <w:t>,</w:t>
      </w:r>
      <w:r w:rsidRPr="00C6774A">
        <w:t xml:space="preserve"> and eligibility is based on home circumstances, which may lead to further inequalities (McGowan and Graham, 2026). Virtual wards might emulate Tudor Hart's (1971) inverse care law without intentional design. There is also limited co-production, with carers feeling excluded from decisions and lacking culturally specific information. Table 1 combines the positive and negative outcomes in each of the four domains and connects each outcome to its primary NASSS domain.</w:t>
      </w:r>
    </w:p>
    <w:p w14:paraId="433E5523" w14:textId="4DC96D92" w:rsidR="004B7B10" w:rsidRPr="00C6774A" w:rsidRDefault="00000000" w:rsidP="00C6774A">
      <w:pPr>
        <w:keepNext/>
        <w:spacing w:before="120" w:after="80" w:line="360" w:lineRule="auto"/>
        <w:jc w:val="both"/>
        <w:rPr>
          <w:b/>
          <w:bCs/>
        </w:rPr>
      </w:pPr>
      <w:r w:rsidRPr="00C6774A">
        <w:rPr>
          <w:b/>
          <w:bCs/>
          <w:i/>
          <w:iCs/>
        </w:rPr>
        <w:t xml:space="preserve">Table 1: Summary evaluation of positive and negative outcomes by domain, mapped to the NASSS </w:t>
      </w:r>
    </w:p>
    <w:tbl>
      <w:tblPr>
        <w:tblStyle w:val="TableGrid"/>
        <w:tblW w:w="9026" w:type="dxa"/>
        <w:tblLook w:val="04A0" w:firstRow="1" w:lastRow="0" w:firstColumn="1" w:lastColumn="0" w:noHBand="0" w:noVBand="1"/>
      </w:tblPr>
      <w:tblGrid>
        <w:gridCol w:w="1450"/>
        <w:gridCol w:w="1550"/>
        <w:gridCol w:w="3013"/>
        <w:gridCol w:w="3013"/>
      </w:tblGrid>
      <w:tr w:rsidR="00C6774A" w:rsidRPr="00C6774A" w14:paraId="4B864E09" w14:textId="77777777" w:rsidTr="00C6774A">
        <w:tc>
          <w:tcPr>
            <w:tcW w:w="1450" w:type="dxa"/>
          </w:tcPr>
          <w:p w14:paraId="4954F79B" w14:textId="77777777" w:rsidR="004B7B10" w:rsidRPr="00C6774A" w:rsidRDefault="00000000" w:rsidP="00C6774A">
            <w:pPr>
              <w:spacing w:line="360" w:lineRule="auto"/>
              <w:jc w:val="both"/>
            </w:pPr>
            <w:r w:rsidRPr="00C6774A">
              <w:rPr>
                <w:b/>
                <w:bCs/>
              </w:rPr>
              <w:t>Domain</w:t>
            </w:r>
          </w:p>
        </w:tc>
        <w:tc>
          <w:tcPr>
            <w:tcW w:w="1550" w:type="dxa"/>
          </w:tcPr>
          <w:p w14:paraId="5BABD19E" w14:textId="77777777" w:rsidR="004B7B10" w:rsidRPr="00C6774A" w:rsidRDefault="00000000" w:rsidP="00C6774A">
            <w:pPr>
              <w:spacing w:line="360" w:lineRule="auto"/>
              <w:jc w:val="both"/>
            </w:pPr>
            <w:r w:rsidRPr="00C6774A">
              <w:rPr>
                <w:b/>
                <w:bCs/>
              </w:rPr>
              <w:t>Main NASSS domain</w:t>
            </w:r>
          </w:p>
        </w:tc>
        <w:tc>
          <w:tcPr>
            <w:tcW w:w="3013" w:type="dxa"/>
          </w:tcPr>
          <w:p w14:paraId="69959235" w14:textId="77777777" w:rsidR="004B7B10" w:rsidRPr="00C6774A" w:rsidRDefault="00000000" w:rsidP="00C6774A">
            <w:pPr>
              <w:spacing w:line="360" w:lineRule="auto"/>
              <w:jc w:val="both"/>
            </w:pPr>
            <w:r w:rsidRPr="00C6774A">
              <w:rPr>
                <w:b/>
                <w:bCs/>
              </w:rPr>
              <w:t>Positive outcomes</w:t>
            </w:r>
          </w:p>
        </w:tc>
        <w:tc>
          <w:tcPr>
            <w:tcW w:w="3013" w:type="dxa"/>
          </w:tcPr>
          <w:p w14:paraId="2A16E61A" w14:textId="77777777" w:rsidR="004B7B10" w:rsidRPr="00C6774A" w:rsidRDefault="00000000" w:rsidP="00C6774A">
            <w:pPr>
              <w:spacing w:line="360" w:lineRule="auto"/>
              <w:jc w:val="both"/>
            </w:pPr>
            <w:r w:rsidRPr="00C6774A">
              <w:rPr>
                <w:b/>
                <w:bCs/>
              </w:rPr>
              <w:t>Negative outcomes</w:t>
            </w:r>
          </w:p>
        </w:tc>
      </w:tr>
      <w:tr w:rsidR="00C6774A" w:rsidRPr="00C6774A" w14:paraId="3C5624B1" w14:textId="77777777" w:rsidTr="00C6774A">
        <w:tc>
          <w:tcPr>
            <w:tcW w:w="1450" w:type="dxa"/>
          </w:tcPr>
          <w:p w14:paraId="7A6C79E5" w14:textId="77777777" w:rsidR="004B7B10" w:rsidRPr="00C6774A" w:rsidRDefault="00000000" w:rsidP="00C6774A">
            <w:pPr>
              <w:spacing w:line="360" w:lineRule="auto"/>
              <w:jc w:val="both"/>
            </w:pPr>
            <w:r w:rsidRPr="00C6774A">
              <w:rPr>
                <w:b/>
                <w:bCs/>
              </w:rPr>
              <w:t>Workforce</w:t>
            </w:r>
          </w:p>
        </w:tc>
        <w:tc>
          <w:tcPr>
            <w:tcW w:w="1550" w:type="dxa"/>
          </w:tcPr>
          <w:p w14:paraId="2E8D4319" w14:textId="77777777" w:rsidR="004B7B10" w:rsidRPr="00C6774A" w:rsidRDefault="00000000" w:rsidP="00C6774A">
            <w:pPr>
              <w:spacing w:line="360" w:lineRule="auto"/>
              <w:jc w:val="both"/>
            </w:pPr>
            <w:r w:rsidRPr="00C6774A">
              <w:t>Adopters; organisation</w:t>
            </w:r>
          </w:p>
        </w:tc>
        <w:tc>
          <w:tcPr>
            <w:tcW w:w="3013" w:type="dxa"/>
          </w:tcPr>
          <w:p w14:paraId="7C53E820" w14:textId="77777777" w:rsidR="004B7B10" w:rsidRPr="00C6774A" w:rsidRDefault="00000000" w:rsidP="00C6774A">
            <w:pPr>
              <w:spacing w:line="360" w:lineRule="auto"/>
              <w:jc w:val="both"/>
            </w:pPr>
            <w:r w:rsidRPr="00C6774A">
              <w:t>New advanced and remote-monitoring roles; personalised, unhurried care; strong staff support (63%).</w:t>
            </w:r>
          </w:p>
        </w:tc>
        <w:tc>
          <w:tcPr>
            <w:tcW w:w="3013" w:type="dxa"/>
          </w:tcPr>
          <w:p w14:paraId="39FD0FDB" w14:textId="77777777" w:rsidR="004B7B10" w:rsidRPr="00C6774A" w:rsidRDefault="00000000" w:rsidP="00C6774A">
            <w:pPr>
              <w:spacing w:line="360" w:lineRule="auto"/>
              <w:jc w:val="both"/>
            </w:pPr>
            <w:r w:rsidRPr="00C6774A">
              <w:t>Unclear shared responsibility; advisory framework without protected training; redeployment risks depleting community nursing.</w:t>
            </w:r>
          </w:p>
        </w:tc>
      </w:tr>
      <w:tr w:rsidR="00C6774A" w:rsidRPr="00C6774A" w14:paraId="484AF593" w14:textId="77777777" w:rsidTr="00C6774A">
        <w:tc>
          <w:tcPr>
            <w:tcW w:w="1450" w:type="dxa"/>
          </w:tcPr>
          <w:p w14:paraId="4FCA75DD" w14:textId="77777777" w:rsidR="004B7B10" w:rsidRPr="00C6774A" w:rsidRDefault="00000000" w:rsidP="00C6774A">
            <w:pPr>
              <w:spacing w:line="360" w:lineRule="auto"/>
              <w:jc w:val="both"/>
            </w:pPr>
            <w:r w:rsidRPr="00C6774A">
              <w:rPr>
                <w:b/>
                <w:bCs/>
              </w:rPr>
              <w:t>Service delivery</w:t>
            </w:r>
          </w:p>
        </w:tc>
        <w:tc>
          <w:tcPr>
            <w:tcW w:w="1550" w:type="dxa"/>
          </w:tcPr>
          <w:p w14:paraId="251877C7" w14:textId="77777777" w:rsidR="004B7B10" w:rsidRPr="00C6774A" w:rsidRDefault="00000000" w:rsidP="00C6774A">
            <w:pPr>
              <w:spacing w:line="360" w:lineRule="auto"/>
              <w:jc w:val="both"/>
            </w:pPr>
            <w:r w:rsidRPr="00C6774A">
              <w:t>Value proposition</w:t>
            </w:r>
          </w:p>
        </w:tc>
        <w:tc>
          <w:tcPr>
            <w:tcW w:w="3013" w:type="dxa"/>
          </w:tcPr>
          <w:p w14:paraId="36B7D4A0" w14:textId="77777777" w:rsidR="004B7B10" w:rsidRPr="00C6774A" w:rsidRDefault="00000000" w:rsidP="00C6774A">
            <w:pPr>
              <w:spacing w:line="360" w:lineRule="auto"/>
              <w:jc w:val="both"/>
            </w:pPr>
            <w:r w:rsidRPr="00C6774A">
              <w:t>One avoided admission per 2.5 virtual ward admissions; £10.4m net benefit (South East); no excess mortality or readmission.</w:t>
            </w:r>
          </w:p>
        </w:tc>
        <w:tc>
          <w:tcPr>
            <w:tcW w:w="3013" w:type="dxa"/>
          </w:tcPr>
          <w:p w14:paraId="4564D4F8" w14:textId="77777777" w:rsidR="004B7B10" w:rsidRPr="00C6774A" w:rsidRDefault="00000000" w:rsidP="00C6774A">
            <w:pPr>
              <w:spacing w:line="360" w:lineRule="auto"/>
              <w:jc w:val="both"/>
            </w:pPr>
            <w:r w:rsidRPr="00C6774A">
              <w:t>Observational evidence; notional savings; uncertain value of high-intensity technology; capacity plateau.</w:t>
            </w:r>
          </w:p>
        </w:tc>
      </w:tr>
      <w:tr w:rsidR="00C6774A" w:rsidRPr="00C6774A" w14:paraId="2E39C957" w14:textId="77777777" w:rsidTr="00C6774A">
        <w:tc>
          <w:tcPr>
            <w:tcW w:w="1450" w:type="dxa"/>
          </w:tcPr>
          <w:p w14:paraId="7EBBED2D" w14:textId="77777777" w:rsidR="004B7B10" w:rsidRPr="00C6774A" w:rsidRDefault="00000000" w:rsidP="00C6774A">
            <w:pPr>
              <w:spacing w:line="360" w:lineRule="auto"/>
              <w:jc w:val="both"/>
            </w:pPr>
            <w:r w:rsidRPr="00C6774A">
              <w:rPr>
                <w:b/>
                <w:bCs/>
              </w:rPr>
              <w:t>Patient / service user</w:t>
            </w:r>
          </w:p>
        </w:tc>
        <w:tc>
          <w:tcPr>
            <w:tcW w:w="1550" w:type="dxa"/>
          </w:tcPr>
          <w:p w14:paraId="0A86E351" w14:textId="77777777" w:rsidR="004B7B10" w:rsidRPr="00C6774A" w:rsidRDefault="00000000" w:rsidP="00C6774A">
            <w:pPr>
              <w:spacing w:line="360" w:lineRule="auto"/>
              <w:jc w:val="both"/>
            </w:pPr>
            <w:r w:rsidRPr="00C6774A">
              <w:t>Condition; technology</w:t>
            </w:r>
          </w:p>
        </w:tc>
        <w:tc>
          <w:tcPr>
            <w:tcW w:w="3013" w:type="dxa"/>
          </w:tcPr>
          <w:p w14:paraId="73CB5996" w14:textId="77777777" w:rsidR="004B7B10" w:rsidRPr="00C6774A" w:rsidRDefault="00000000" w:rsidP="00C6774A">
            <w:pPr>
              <w:spacing w:line="360" w:lineRule="auto"/>
              <w:jc w:val="both"/>
            </w:pPr>
            <w:r w:rsidRPr="00C6774A">
              <w:t>Comfort of home; reassurance from monitoring; reduced deconditioning; high satisfaction.</w:t>
            </w:r>
          </w:p>
        </w:tc>
        <w:tc>
          <w:tcPr>
            <w:tcW w:w="3013" w:type="dxa"/>
          </w:tcPr>
          <w:p w14:paraId="5B38D46A" w14:textId="77777777" w:rsidR="004B7B10" w:rsidRPr="00C6774A" w:rsidRDefault="00000000" w:rsidP="00C6774A">
            <w:pPr>
              <w:spacing w:line="360" w:lineRule="auto"/>
              <w:jc w:val="both"/>
            </w:pPr>
            <w:r w:rsidRPr="00C6774A">
              <w:t>Confusion, technical problems and abrupt discharge; low remote-monitoring fit for frailty; evidence excludes those who decline.</w:t>
            </w:r>
          </w:p>
        </w:tc>
      </w:tr>
      <w:tr w:rsidR="00C6774A" w:rsidRPr="00C6774A" w14:paraId="45C82A10" w14:textId="77777777" w:rsidTr="00C6774A">
        <w:tc>
          <w:tcPr>
            <w:tcW w:w="1450" w:type="dxa"/>
          </w:tcPr>
          <w:p w14:paraId="79EDD87B" w14:textId="77777777" w:rsidR="004B7B10" w:rsidRPr="00C6774A" w:rsidRDefault="00000000" w:rsidP="00C6774A">
            <w:pPr>
              <w:spacing w:line="360" w:lineRule="auto"/>
              <w:jc w:val="both"/>
            </w:pPr>
            <w:r w:rsidRPr="00C6774A">
              <w:rPr>
                <w:b/>
                <w:bCs/>
              </w:rPr>
              <w:lastRenderedPageBreak/>
              <w:t>Community</w:t>
            </w:r>
          </w:p>
        </w:tc>
        <w:tc>
          <w:tcPr>
            <w:tcW w:w="1550" w:type="dxa"/>
          </w:tcPr>
          <w:p w14:paraId="3496EAA2" w14:textId="77777777" w:rsidR="004B7B10" w:rsidRPr="00C6774A" w:rsidRDefault="00000000" w:rsidP="00C6774A">
            <w:pPr>
              <w:spacing w:line="360" w:lineRule="auto"/>
              <w:jc w:val="both"/>
            </w:pPr>
            <w:r w:rsidRPr="00C6774A">
              <w:t>Wider context</w:t>
            </w:r>
          </w:p>
        </w:tc>
        <w:tc>
          <w:tcPr>
            <w:tcW w:w="3013" w:type="dxa"/>
          </w:tcPr>
          <w:p w14:paraId="1CB41DBF" w14:textId="77777777" w:rsidR="004B7B10" w:rsidRPr="00C6774A" w:rsidRDefault="00000000" w:rsidP="00C6774A">
            <w:pPr>
              <w:spacing w:line="360" w:lineRule="auto"/>
              <w:jc w:val="both"/>
            </w:pPr>
            <w:r w:rsidRPr="00C6774A">
              <w:t>Improved rural access; fewer hospital visits for families; fewer moves into residential care.</w:t>
            </w:r>
          </w:p>
        </w:tc>
        <w:tc>
          <w:tcPr>
            <w:tcW w:w="3013" w:type="dxa"/>
          </w:tcPr>
          <w:p w14:paraId="44E5FA82" w14:textId="77777777" w:rsidR="004B7B10" w:rsidRPr="00C6774A" w:rsidRDefault="00000000" w:rsidP="00C6774A">
            <w:pPr>
              <w:spacing w:line="360" w:lineRule="auto"/>
              <w:jc w:val="both"/>
            </w:pPr>
            <w:r w:rsidRPr="00C6774A">
              <w:t>Hidden carer burden; digital exclusion; under-representation of minority ethnic groups; inverse care law risk.</w:t>
            </w:r>
          </w:p>
        </w:tc>
      </w:tr>
    </w:tbl>
    <w:p w14:paraId="2B0283AD" w14:textId="77777777" w:rsidR="004B7B10" w:rsidRPr="00C6774A" w:rsidRDefault="004B7B10" w:rsidP="00C6774A">
      <w:pPr>
        <w:spacing w:after="120" w:line="360" w:lineRule="auto"/>
        <w:jc w:val="both"/>
      </w:pPr>
    </w:p>
    <w:p w14:paraId="025A8524" w14:textId="357102BC" w:rsidR="004A409B" w:rsidRPr="00C6774A" w:rsidRDefault="004A409B" w:rsidP="00C6774A">
      <w:pPr>
        <w:pStyle w:val="Heading1"/>
        <w:spacing w:line="360" w:lineRule="auto"/>
        <w:jc w:val="both"/>
        <w:rPr>
          <w:color w:val="auto"/>
          <w:sz w:val="22"/>
          <w:szCs w:val="22"/>
        </w:rPr>
      </w:pPr>
      <w:bookmarkStart w:id="6" w:name="_Toc243142033"/>
      <w:r w:rsidRPr="00C6774A">
        <w:rPr>
          <w:color w:val="auto"/>
          <w:sz w:val="22"/>
          <w:szCs w:val="22"/>
        </w:rPr>
        <w:t>7.</w:t>
      </w:r>
      <w:r w:rsidRPr="00C6774A">
        <w:rPr>
          <w:color w:val="auto"/>
          <w:sz w:val="22"/>
          <w:szCs w:val="22"/>
          <w:lang w:val="en-US"/>
        </w:rPr>
        <w:t xml:space="preserve">0 </w:t>
      </w:r>
      <w:r w:rsidRPr="00C6774A">
        <w:rPr>
          <w:color w:val="auto"/>
          <w:sz w:val="22"/>
          <w:szCs w:val="22"/>
        </w:rPr>
        <w:t>Conclusion and Recommendations</w:t>
      </w:r>
      <w:bookmarkEnd w:id="6"/>
    </w:p>
    <w:p w14:paraId="65B26834" w14:textId="301B1FD3" w:rsidR="004A409B" w:rsidRPr="00C6774A" w:rsidRDefault="004A409B" w:rsidP="00C6774A">
      <w:pPr>
        <w:spacing w:after="160" w:line="360" w:lineRule="auto"/>
        <w:jc w:val="both"/>
      </w:pPr>
      <w:r w:rsidRPr="00C6774A">
        <w:t xml:space="preserve">Virtual wards are seen as a successful digital transformation </w:t>
      </w:r>
      <w:r w:rsidR="00C6774A">
        <w:t>in terms of</w:t>
      </w:r>
      <w:r w:rsidRPr="00C6774A">
        <w:t xml:space="preserve"> scale, safety</w:t>
      </w:r>
      <w:r w:rsidR="00C6774A">
        <w:t>,</w:t>
      </w:r>
      <w:r w:rsidRPr="00C6774A">
        <w:t xml:space="preserve"> and patient experience, and are in line with the 10 Year Health Plan's direction from hospital to community and analogue to digital (DHSC, 2025). But they don't work unless they are successful. Benefits are dependent on ward maturity, patient selection, adequate support for multi-disciplinary teams</w:t>
      </w:r>
      <w:r w:rsidR="00C6774A" w:rsidRPr="00C6774A">
        <w:t>,</w:t>
      </w:r>
      <w:r w:rsidRPr="00C6774A">
        <w:t xml:space="preserve"> and volunteer input from carers; evidence of cost-effectiveness is incomplete, especially for </w:t>
      </w:r>
      <w:r w:rsidR="00C6774A">
        <w:t>high-technology</w:t>
      </w:r>
      <w:r w:rsidRPr="00C6774A">
        <w:t xml:space="preserve"> models. The critical risk is that the innovation will widen the gap and exacerbate inequality. Overall, the evidence suggests ongoing investment, but more targeted to good step-up pathways to recovery</w:t>
      </w:r>
      <w:r w:rsidR="00C6774A">
        <w:t>,</w:t>
      </w:r>
      <w:r w:rsidRPr="00C6774A">
        <w:t xml:space="preserve"> especially for the frailty and respiratory illness areas, where there is most benefit, than to increasing bed numbers.</w:t>
      </w:r>
    </w:p>
    <w:p w14:paraId="22E11001" w14:textId="1CF8464A" w:rsidR="004B7B10" w:rsidRPr="00C6774A" w:rsidRDefault="004A409B" w:rsidP="00C6774A">
      <w:pPr>
        <w:spacing w:after="160" w:line="360" w:lineRule="auto"/>
        <w:jc w:val="both"/>
        <w:rPr>
          <w:lang w:val="en-US"/>
        </w:rPr>
      </w:pPr>
      <w:r w:rsidRPr="00C6774A">
        <w:t xml:space="preserve">There are 4 specific recommendations. First, </w:t>
      </w:r>
      <w:proofErr w:type="spellStart"/>
      <w:r w:rsidRPr="00C6774A">
        <w:t>ICBs</w:t>
      </w:r>
      <w:proofErr w:type="spellEnd"/>
      <w:r w:rsidRPr="00C6774A">
        <w:t xml:space="preserve"> need to dedicate recurrent funding for virtual wards in their plans for 2027/28 as additional capacity</w:t>
      </w:r>
      <w:r w:rsidR="00C6774A">
        <w:t>,</w:t>
      </w:r>
      <w:r w:rsidRPr="00C6774A">
        <w:t xml:space="preserve"> and staff need to ensure they have undergone Skills for Health (2022) Capabilities training within 6 months of their appointment</w:t>
      </w:r>
      <w:r w:rsidR="00C6774A" w:rsidRPr="00C6774A">
        <w:t>,</w:t>
      </w:r>
      <w:r w:rsidRPr="00C6774A">
        <w:t xml:space="preserve"> with protected time being audited once a year. Secondly, providers should conduct a structured carer assessment (including of young and working carers) before all admissions, to be reported to the local authority quarterly against a 90% target. Third, there should be an alternative to a device to loan on, and ethnicity should be documented for at least 95% of hospital admissions by 2027/28 to facilitate </w:t>
      </w:r>
      <w:r w:rsidR="00C6774A" w:rsidRPr="00C6774A">
        <w:t xml:space="preserve">an </w:t>
      </w:r>
      <w:r w:rsidRPr="00C6774A">
        <w:t xml:space="preserve">equity audit. Lastly, DHSC and NHS England should fund an independent multi-site controlled study of </w:t>
      </w:r>
      <w:r w:rsidR="00C6774A" w:rsidRPr="00C6774A">
        <w:t>low-</w:t>
      </w:r>
      <w:r w:rsidRPr="00C6774A">
        <w:t xml:space="preserve"> and high-tech ward options on re-hospitalisations, costs, and </w:t>
      </w:r>
      <w:r w:rsidR="00C6774A" w:rsidRPr="00C6774A">
        <w:t>patient-reported</w:t>
      </w:r>
      <w:r w:rsidRPr="00C6774A">
        <w:t xml:space="preserve"> outcomes to be debriefed by 2028, to ensure that virtual wards continue on evidence, not goodwill</w:t>
      </w:r>
      <w:r w:rsidRPr="00C6774A">
        <w:rPr>
          <w:lang w:val="en-US"/>
        </w:rPr>
        <w:t>.</w:t>
      </w:r>
      <w:r w:rsidR="00000000" w:rsidRPr="00C6774A">
        <w:br w:type="page"/>
      </w:r>
    </w:p>
    <w:p w14:paraId="2F2FAF16" w14:textId="76904981" w:rsidR="004B7B10" w:rsidRPr="00C6774A" w:rsidRDefault="00C6774A" w:rsidP="00C6774A">
      <w:pPr>
        <w:pStyle w:val="Heading1"/>
        <w:keepNext/>
        <w:spacing w:before="240" w:after="120" w:line="360" w:lineRule="auto"/>
        <w:jc w:val="both"/>
        <w:rPr>
          <w:color w:val="auto"/>
          <w:sz w:val="22"/>
          <w:szCs w:val="22"/>
        </w:rPr>
      </w:pPr>
      <w:bookmarkStart w:id="7" w:name="_Toc243142034"/>
      <w:r>
        <w:rPr>
          <w:color w:val="auto"/>
          <w:sz w:val="22"/>
          <w:szCs w:val="22"/>
          <w:lang w:val="en-US"/>
        </w:rPr>
        <w:lastRenderedPageBreak/>
        <w:t xml:space="preserve">8.0 </w:t>
      </w:r>
      <w:r w:rsidR="00000000" w:rsidRPr="00C6774A">
        <w:rPr>
          <w:color w:val="auto"/>
          <w:sz w:val="22"/>
          <w:szCs w:val="22"/>
        </w:rPr>
        <w:t>References</w:t>
      </w:r>
      <w:bookmarkEnd w:id="7"/>
    </w:p>
    <w:p w14:paraId="2995ADE3" w14:textId="3F901183" w:rsidR="004A409B" w:rsidRPr="00C6774A" w:rsidRDefault="00000000" w:rsidP="00C6774A">
      <w:pPr>
        <w:spacing w:after="120" w:line="360" w:lineRule="auto"/>
        <w:ind w:left="567" w:hanging="567"/>
        <w:jc w:val="both"/>
      </w:pPr>
      <w:r w:rsidRPr="00C6774A">
        <w:t xml:space="preserve">Begum, M. and Greenstock, J. (2025) </w:t>
      </w:r>
      <w:r w:rsidRPr="00C6774A">
        <w:rPr>
          <w:i/>
          <w:iCs/>
        </w:rPr>
        <w:t>Virtual wards evaluation: patients’ and unpaid carers’ experiences. Final report.</w:t>
      </w:r>
      <w:r w:rsidRPr="00C6774A">
        <w:t xml:space="preserve"> Birmingham: The Strategy Unit.</w:t>
      </w:r>
      <w:r w:rsidR="004A409B" w:rsidRPr="00C6774A">
        <w:rPr>
          <w:lang w:val="en-US"/>
        </w:rPr>
        <w:t xml:space="preserve"> </w:t>
      </w:r>
      <w:hyperlink r:id="rId9" w:history="1">
        <w:r w:rsidR="004A409B" w:rsidRPr="00C6774A">
          <w:rPr>
            <w:rStyle w:val="Hyperlink"/>
            <w:color w:val="auto"/>
          </w:rPr>
          <w:t>https://www.strategyunitwm.nhs.uk/sites/default/files/2025-06/1171_Virtual_wards_final_report_June2025.pdf</w:t>
        </w:r>
      </w:hyperlink>
    </w:p>
    <w:p w14:paraId="1873D1AB" w14:textId="77777777" w:rsidR="004A409B" w:rsidRPr="00C6774A" w:rsidRDefault="00000000" w:rsidP="00C6774A">
      <w:pPr>
        <w:spacing w:after="120" w:line="360" w:lineRule="auto"/>
        <w:ind w:left="567" w:hanging="567"/>
        <w:jc w:val="both"/>
      </w:pPr>
      <w:r w:rsidRPr="00C6774A">
        <w:t xml:space="preserve">Department of Health and Social Care (DHSC) (2025) </w:t>
      </w:r>
      <w:r w:rsidRPr="00C6774A">
        <w:rPr>
          <w:i/>
          <w:iCs/>
        </w:rPr>
        <w:t>Fit for the future: 10 Year Health Plan for England</w:t>
      </w:r>
      <w:r w:rsidRPr="00C6774A">
        <w:t xml:space="preserve"> (CP 1350). London: DHSC.</w:t>
      </w:r>
      <w:r w:rsidR="004A409B" w:rsidRPr="00C6774A">
        <w:rPr>
          <w:lang w:val="en-US"/>
        </w:rPr>
        <w:t xml:space="preserve"> </w:t>
      </w:r>
      <w:hyperlink r:id="rId10" w:history="1">
        <w:r w:rsidR="004A409B" w:rsidRPr="00C6774A">
          <w:rPr>
            <w:rStyle w:val="Hyperlink"/>
            <w:color w:val="auto"/>
          </w:rPr>
          <w:t>https://www.gov.uk/government/publications/10-year-health-plan-for-england-fit-for-the-future</w:t>
        </w:r>
      </w:hyperlink>
    </w:p>
    <w:p w14:paraId="6BF7C379" w14:textId="77777777" w:rsidR="004A409B" w:rsidRPr="00C6774A" w:rsidRDefault="00000000" w:rsidP="00C6774A">
      <w:pPr>
        <w:spacing w:after="120" w:line="360" w:lineRule="auto"/>
        <w:ind w:left="567" w:hanging="567"/>
        <w:jc w:val="both"/>
      </w:pPr>
      <w:r w:rsidRPr="00C6774A">
        <w:t xml:space="preserve">Edgar, K., Iliffe, S., Doll, H.A., Clarke, M.J., Gonçalves-Bradley, D.C., Wong, E. and Shepperd, S. (2024) ‘Admission avoidance hospital at home’, </w:t>
      </w:r>
      <w:r w:rsidRPr="00C6774A">
        <w:rPr>
          <w:i/>
          <w:iCs/>
        </w:rPr>
        <w:t>Cochrane Database of Systematic Reviews</w:t>
      </w:r>
      <w:r w:rsidRPr="00C6774A">
        <w:t xml:space="preserve">, 3, CD007491. </w:t>
      </w:r>
      <w:hyperlink r:id="rId11" w:history="1">
        <w:r w:rsidR="004A409B" w:rsidRPr="00C6774A">
          <w:rPr>
            <w:rStyle w:val="Hyperlink"/>
            <w:color w:val="auto"/>
          </w:rPr>
          <w:t>https://doi.org/10.1002/14651858.CD007491.pub3</w:t>
        </w:r>
      </w:hyperlink>
    </w:p>
    <w:p w14:paraId="429CEAB3" w14:textId="6AB2E489" w:rsidR="004A409B" w:rsidRPr="00C6774A" w:rsidRDefault="00000000" w:rsidP="00C6774A">
      <w:pPr>
        <w:spacing w:after="120" w:line="360" w:lineRule="auto"/>
        <w:ind w:left="567" w:hanging="567"/>
        <w:jc w:val="both"/>
      </w:pPr>
      <w:r w:rsidRPr="00C6774A">
        <w:t xml:space="preserve">Good Things Foundation (2025) </w:t>
      </w:r>
      <w:r w:rsidRPr="00C6774A">
        <w:rPr>
          <w:i/>
          <w:iCs/>
        </w:rPr>
        <w:t>Digital Nation 2025.</w:t>
      </w:r>
      <w:r w:rsidRPr="00C6774A">
        <w:t xml:space="preserve"> Sheffield: Good Things Foundation.  </w:t>
      </w:r>
      <w:hyperlink r:id="rId12" w:history="1">
        <w:r w:rsidR="004A409B" w:rsidRPr="00C6774A">
          <w:rPr>
            <w:rStyle w:val="Hyperlink"/>
            <w:color w:val="auto"/>
          </w:rPr>
          <w:t>https://www.goodthingsfoundation.org/policy-and-research/research-and-evidence/research-2024/digital-nation</w:t>
        </w:r>
      </w:hyperlink>
    </w:p>
    <w:p w14:paraId="6C7FF9F9" w14:textId="77777777" w:rsidR="004A409B" w:rsidRPr="00C6774A" w:rsidRDefault="00000000" w:rsidP="00C6774A">
      <w:pPr>
        <w:spacing w:after="120" w:line="360" w:lineRule="auto"/>
        <w:ind w:left="567" w:hanging="567"/>
        <w:jc w:val="both"/>
      </w:pPr>
      <w:r w:rsidRPr="00C6774A">
        <w:t xml:space="preserve">Greenhalgh, T., </w:t>
      </w:r>
      <w:proofErr w:type="spellStart"/>
      <w:r w:rsidRPr="00C6774A">
        <w:t>Wherton</w:t>
      </w:r>
      <w:proofErr w:type="spellEnd"/>
      <w:r w:rsidRPr="00C6774A">
        <w:t xml:space="preserve">, J., Papoutsi, C., Lynch, J., Hughes, G., A’Court, C., Hinder, S., Fahy, N., Procter, R. and Shaw, S. (2017) ‘Beyond adoption: a new framework for theorizing and evaluating </w:t>
      </w:r>
      <w:proofErr w:type="spellStart"/>
      <w:r w:rsidRPr="00C6774A">
        <w:t>nonadoption</w:t>
      </w:r>
      <w:proofErr w:type="spellEnd"/>
      <w:r w:rsidRPr="00C6774A">
        <w:t xml:space="preserve">, abandonment, and challenges to the scale-up, spread, and sustainability of health and care technologies’, </w:t>
      </w:r>
      <w:r w:rsidRPr="00C6774A">
        <w:rPr>
          <w:i/>
          <w:iCs/>
        </w:rPr>
        <w:t>Journal of Medical Internet Research</w:t>
      </w:r>
      <w:r w:rsidRPr="00C6774A">
        <w:t xml:space="preserve">, 19(11), e367. </w:t>
      </w:r>
      <w:hyperlink r:id="rId13" w:history="1">
        <w:r w:rsidR="004A409B" w:rsidRPr="00C6774A">
          <w:rPr>
            <w:rStyle w:val="Hyperlink"/>
            <w:color w:val="auto"/>
          </w:rPr>
          <w:t>https://doi.org/10.2196/jmir.8775</w:t>
        </w:r>
      </w:hyperlink>
    </w:p>
    <w:p w14:paraId="12E40DEB" w14:textId="77777777" w:rsidR="004A409B" w:rsidRPr="00C6774A" w:rsidRDefault="00000000" w:rsidP="00C6774A">
      <w:pPr>
        <w:spacing w:after="120" w:line="360" w:lineRule="auto"/>
        <w:ind w:left="567" w:hanging="567"/>
        <w:jc w:val="both"/>
      </w:pPr>
      <w:r w:rsidRPr="00C6774A">
        <w:t xml:space="preserve">Health Foundation (2023) </w:t>
      </w:r>
      <w:r w:rsidRPr="00C6774A">
        <w:rPr>
          <w:i/>
          <w:iCs/>
        </w:rPr>
        <w:t>How do the public and NHS staff feel about virtual wards?</w:t>
      </w:r>
      <w:r w:rsidRPr="00C6774A">
        <w:t xml:space="preserve"> London: The Health Foundation. </w:t>
      </w:r>
      <w:hyperlink r:id="rId14" w:history="1">
        <w:r w:rsidR="004A409B" w:rsidRPr="00C6774A">
          <w:rPr>
            <w:rStyle w:val="Hyperlink"/>
            <w:color w:val="auto"/>
          </w:rPr>
          <w:t>https://www.health.org.uk/reports-and-analysis/analysis/how-do-the-public-and-nhs-staff-feel-about-virtual-wards</w:t>
        </w:r>
      </w:hyperlink>
    </w:p>
    <w:p w14:paraId="01710FB3" w14:textId="77777777" w:rsidR="004A409B" w:rsidRPr="00C6774A" w:rsidRDefault="00000000" w:rsidP="00C6774A">
      <w:pPr>
        <w:spacing w:after="120" w:line="360" w:lineRule="auto"/>
        <w:ind w:left="567" w:hanging="567"/>
        <w:jc w:val="both"/>
      </w:pPr>
      <w:r w:rsidRPr="00C6774A">
        <w:t xml:space="preserve">Institute for Government (2025) </w:t>
      </w:r>
      <w:r w:rsidRPr="00C6774A">
        <w:rPr>
          <w:i/>
          <w:iCs/>
        </w:rPr>
        <w:t>NHS virtual ward beds, total and occupied, July 2023 to September 2025</w:t>
      </w:r>
      <w:r w:rsidRPr="00C6774A">
        <w:t xml:space="preserve"> [Chart]. London: Institute for Government.</w:t>
      </w:r>
      <w:r w:rsidR="004A409B" w:rsidRPr="00C6774A">
        <w:rPr>
          <w:lang w:val="en-US"/>
        </w:rPr>
        <w:t xml:space="preserve"> </w:t>
      </w:r>
      <w:hyperlink r:id="rId15" w:history="1">
        <w:r w:rsidR="004A409B" w:rsidRPr="00C6774A">
          <w:rPr>
            <w:rStyle w:val="Hyperlink"/>
            <w:color w:val="auto"/>
          </w:rPr>
          <w:t>https://datawrapper.dwcdn.net/Tsw19/6/</w:t>
        </w:r>
      </w:hyperlink>
    </w:p>
    <w:p w14:paraId="29DF5116" w14:textId="77777777" w:rsidR="004A409B" w:rsidRPr="00C6774A" w:rsidRDefault="00000000" w:rsidP="00C6774A">
      <w:pPr>
        <w:spacing w:after="120" w:line="360" w:lineRule="auto"/>
        <w:ind w:left="567" w:hanging="567"/>
        <w:jc w:val="both"/>
      </w:pPr>
      <w:r w:rsidRPr="00C6774A">
        <w:t xml:space="preserve">Lindsay, R.K., Cunnington, P. and Dixon-Woods, M. (2025) ‘Why is implementing remote monitoring in virtual wards (Hospital at Home) for people living with frailty so hard? Qualitative interview study’, </w:t>
      </w:r>
      <w:r w:rsidRPr="00C6774A">
        <w:rPr>
          <w:i/>
          <w:iCs/>
        </w:rPr>
        <w:t>Age and Ageing</w:t>
      </w:r>
      <w:r w:rsidRPr="00C6774A">
        <w:t xml:space="preserve">, 54(1), afaf003. </w:t>
      </w:r>
      <w:hyperlink r:id="rId16" w:history="1">
        <w:r w:rsidR="004A409B" w:rsidRPr="00C6774A">
          <w:rPr>
            <w:rStyle w:val="Hyperlink"/>
            <w:color w:val="auto"/>
          </w:rPr>
          <w:t>https://doi.org/10.1093/ageing/afaf003</w:t>
        </w:r>
      </w:hyperlink>
    </w:p>
    <w:p w14:paraId="4C75DCF2" w14:textId="77777777" w:rsidR="004A409B" w:rsidRPr="00C6774A" w:rsidRDefault="00000000" w:rsidP="00C6774A">
      <w:pPr>
        <w:spacing w:after="120" w:line="360" w:lineRule="auto"/>
        <w:ind w:left="567" w:hanging="567"/>
        <w:jc w:val="both"/>
      </w:pPr>
      <w:r w:rsidRPr="00C6774A">
        <w:t xml:space="preserve">Litchfield, I., Lewis, R., </w:t>
      </w:r>
      <w:proofErr w:type="spellStart"/>
      <w:r w:rsidRPr="00C6774A">
        <w:t>Delanerolle</w:t>
      </w:r>
      <w:proofErr w:type="spellEnd"/>
      <w:r w:rsidRPr="00C6774A">
        <w:t xml:space="preserve">, G., </w:t>
      </w:r>
      <w:proofErr w:type="spellStart"/>
      <w:r w:rsidRPr="00C6774A">
        <w:t>Melyda</w:t>
      </w:r>
      <w:proofErr w:type="spellEnd"/>
      <w:r w:rsidRPr="00C6774A">
        <w:t xml:space="preserve">, M. and Harper, L. (2025) ‘Factors influencing the implementation of a multispecialty virtual ward program in the United Kingdom: qualitative exploration of staff experiences and perspectives’, </w:t>
      </w:r>
      <w:r w:rsidRPr="00C6774A">
        <w:rPr>
          <w:i/>
          <w:iCs/>
        </w:rPr>
        <w:t>Journal of Medical Internet Research</w:t>
      </w:r>
      <w:r w:rsidRPr="00C6774A">
        <w:t xml:space="preserve">, 27, e75406. </w:t>
      </w:r>
      <w:hyperlink r:id="rId17" w:history="1">
        <w:r w:rsidR="004A409B" w:rsidRPr="00C6774A">
          <w:rPr>
            <w:rStyle w:val="Hyperlink"/>
            <w:color w:val="auto"/>
          </w:rPr>
          <w:t>https://doi.org/10.2196/75406</w:t>
        </w:r>
      </w:hyperlink>
    </w:p>
    <w:p w14:paraId="0DD159C4" w14:textId="77777777" w:rsidR="004A409B" w:rsidRPr="00C6774A" w:rsidRDefault="00000000" w:rsidP="00C6774A">
      <w:pPr>
        <w:spacing w:after="120" w:line="360" w:lineRule="auto"/>
        <w:ind w:left="567" w:hanging="567"/>
        <w:jc w:val="both"/>
      </w:pPr>
      <w:r w:rsidRPr="00C6774A">
        <w:lastRenderedPageBreak/>
        <w:t xml:space="preserve">McGowan, L. and Graham, F. (2026) </w:t>
      </w:r>
      <w:r w:rsidRPr="00C6774A">
        <w:rPr>
          <w:i/>
          <w:iCs/>
        </w:rPr>
        <w:t>Factors influencing the roll-out of virtual wards in England: lay summary.</w:t>
      </w:r>
      <w:r w:rsidRPr="00C6774A">
        <w:t xml:space="preserve"> NIHR Policy Research Unit. </w:t>
      </w:r>
      <w:hyperlink r:id="rId18" w:history="1">
        <w:r w:rsidR="004A409B" w:rsidRPr="00C6774A">
          <w:rPr>
            <w:rStyle w:val="Hyperlink"/>
            <w:color w:val="auto"/>
          </w:rPr>
          <w:t>https://ascru.nihr.ac.uk/?p=630</w:t>
        </w:r>
      </w:hyperlink>
    </w:p>
    <w:p w14:paraId="3E4A9705" w14:textId="77777777" w:rsidR="004A409B" w:rsidRPr="00C6774A" w:rsidRDefault="00000000" w:rsidP="00C6774A">
      <w:pPr>
        <w:spacing w:after="120" w:line="360" w:lineRule="auto"/>
        <w:ind w:left="567" w:hanging="567"/>
        <w:jc w:val="both"/>
      </w:pPr>
      <w:r w:rsidRPr="00C6774A">
        <w:t xml:space="preserve">NHS England (2024a) </w:t>
      </w:r>
      <w:r w:rsidRPr="00C6774A">
        <w:rPr>
          <w:i/>
          <w:iCs/>
        </w:rPr>
        <w:t>Virtual wards operational framework.</w:t>
      </w:r>
      <w:r w:rsidR="004A409B" w:rsidRPr="00C6774A">
        <w:rPr>
          <w:lang w:val="en-US"/>
        </w:rPr>
        <w:t xml:space="preserve"> </w:t>
      </w:r>
      <w:hyperlink r:id="rId19" w:history="1">
        <w:r w:rsidR="004A409B" w:rsidRPr="00C6774A">
          <w:rPr>
            <w:rStyle w:val="Hyperlink"/>
            <w:color w:val="auto"/>
          </w:rPr>
          <w:t>https://www.england.nhs.uk/long-read/virtual-wards-operational-framework/</w:t>
        </w:r>
      </w:hyperlink>
    </w:p>
    <w:p w14:paraId="2DCD0764" w14:textId="77777777" w:rsidR="004A409B" w:rsidRPr="00C6774A" w:rsidRDefault="00000000" w:rsidP="00C6774A">
      <w:pPr>
        <w:spacing w:after="120" w:line="360" w:lineRule="auto"/>
        <w:ind w:left="567" w:hanging="567"/>
        <w:jc w:val="both"/>
      </w:pPr>
      <w:r w:rsidRPr="00C6774A">
        <w:t xml:space="preserve">NHS England (2024b) </w:t>
      </w:r>
      <w:r w:rsidRPr="00C6774A">
        <w:rPr>
          <w:i/>
          <w:iCs/>
        </w:rPr>
        <w:t>Summary of South East region virtual wards evaluation.</w:t>
      </w:r>
      <w:r w:rsidR="004A409B" w:rsidRPr="00C6774A">
        <w:rPr>
          <w:lang w:val="en-US"/>
        </w:rPr>
        <w:t xml:space="preserve"> </w:t>
      </w:r>
      <w:hyperlink r:id="rId20" w:history="1">
        <w:r w:rsidR="004A409B" w:rsidRPr="00C6774A">
          <w:rPr>
            <w:rStyle w:val="Hyperlink"/>
            <w:color w:val="auto"/>
          </w:rPr>
          <w:t>https://www.england.nhs.uk/long-read/summary-of-south-east-region-virtual-wards-evaluation/</w:t>
        </w:r>
      </w:hyperlink>
    </w:p>
    <w:p w14:paraId="5E3EC7B3" w14:textId="77777777" w:rsidR="004A409B" w:rsidRPr="00C6774A" w:rsidRDefault="00000000" w:rsidP="00C6774A">
      <w:pPr>
        <w:spacing w:after="120" w:line="360" w:lineRule="auto"/>
        <w:ind w:left="567" w:hanging="567"/>
        <w:jc w:val="both"/>
      </w:pPr>
      <w:r w:rsidRPr="00C6774A">
        <w:t xml:space="preserve">NHS England (2025) </w:t>
      </w:r>
      <w:r w:rsidRPr="00C6774A">
        <w:rPr>
          <w:i/>
          <w:iCs/>
        </w:rPr>
        <w:t>Virtual ward statistics.</w:t>
      </w:r>
      <w:r w:rsidRPr="00C6774A">
        <w:t xml:space="preserve"> </w:t>
      </w:r>
      <w:hyperlink r:id="rId21" w:history="1">
        <w:r w:rsidR="004A409B" w:rsidRPr="00C6774A">
          <w:rPr>
            <w:rStyle w:val="Hyperlink"/>
            <w:color w:val="auto"/>
          </w:rPr>
          <w:t>https://www.england.nhs.uk/statistics/statistical-work-areas/virtual-ward/</w:t>
        </w:r>
      </w:hyperlink>
    </w:p>
    <w:p w14:paraId="218A636C" w14:textId="479561C5" w:rsidR="004A409B" w:rsidRPr="00C6774A" w:rsidRDefault="00000000" w:rsidP="00C6774A">
      <w:pPr>
        <w:spacing w:after="120" w:line="360" w:lineRule="auto"/>
        <w:ind w:left="567" w:hanging="567"/>
        <w:jc w:val="both"/>
      </w:pPr>
      <w:r w:rsidRPr="00C6774A">
        <w:t xml:space="preserve">NHS Providers (2023) </w:t>
      </w:r>
      <w:r w:rsidRPr="00C6774A">
        <w:rPr>
          <w:i/>
          <w:iCs/>
        </w:rPr>
        <w:t>The three steps in a successful virtual wards programme.</w:t>
      </w:r>
      <w:r w:rsidRPr="00C6774A">
        <w:t xml:space="preserve"> </w:t>
      </w:r>
      <w:hyperlink r:id="rId22" w:history="1">
        <w:r w:rsidR="004A409B" w:rsidRPr="00C6774A">
          <w:rPr>
            <w:rStyle w:val="Hyperlink"/>
            <w:color w:val="auto"/>
          </w:rPr>
          <w:t>https://nhsproviders.org/news-blogs/blogs/the-three-steps-in-a-successful-virtual-wards-programme</w:t>
        </w:r>
      </w:hyperlink>
    </w:p>
    <w:p w14:paraId="32257783" w14:textId="77777777" w:rsidR="004A409B" w:rsidRPr="00C6774A" w:rsidRDefault="00000000" w:rsidP="00C6774A">
      <w:pPr>
        <w:spacing w:after="120" w:line="360" w:lineRule="auto"/>
        <w:ind w:left="567" w:hanging="567"/>
        <w:jc w:val="both"/>
      </w:pPr>
      <w:r w:rsidRPr="00C6774A">
        <w:t xml:space="preserve">Norman, G., Bennett, P. and Vardy, E.R.L.C. (2023) ‘Virtual wards: a rapid evidence synthesis and implications for the care of older people’, </w:t>
      </w:r>
      <w:r w:rsidRPr="00C6774A">
        <w:rPr>
          <w:i/>
          <w:iCs/>
        </w:rPr>
        <w:t>Age and Ageing</w:t>
      </w:r>
      <w:r w:rsidRPr="00C6774A">
        <w:t xml:space="preserve">, 52(1), afac319. </w:t>
      </w:r>
      <w:hyperlink r:id="rId23" w:history="1">
        <w:r w:rsidR="004A409B" w:rsidRPr="00C6774A">
          <w:rPr>
            <w:rStyle w:val="Hyperlink"/>
            <w:color w:val="auto"/>
          </w:rPr>
          <w:t>https://doi.org/10.1093/ageing/afac319</w:t>
        </w:r>
      </w:hyperlink>
    </w:p>
    <w:p w14:paraId="79839276" w14:textId="77777777" w:rsidR="004A409B" w:rsidRPr="00C6774A" w:rsidRDefault="00000000" w:rsidP="00C6774A">
      <w:pPr>
        <w:spacing w:after="120" w:line="360" w:lineRule="auto"/>
        <w:ind w:left="567" w:hanging="567"/>
        <w:jc w:val="both"/>
      </w:pPr>
      <w:proofErr w:type="spellStart"/>
      <w:r w:rsidRPr="00C6774A">
        <w:t>Pahirden</w:t>
      </w:r>
      <w:proofErr w:type="spellEnd"/>
      <w:r w:rsidRPr="00C6774A">
        <w:t xml:space="preserve">, G.R., </w:t>
      </w:r>
      <w:proofErr w:type="spellStart"/>
      <w:r w:rsidRPr="00C6774A">
        <w:t>Stefler</w:t>
      </w:r>
      <w:proofErr w:type="spellEnd"/>
      <w:r w:rsidRPr="00C6774A">
        <w:t xml:space="preserve">, D. and </w:t>
      </w:r>
      <w:proofErr w:type="spellStart"/>
      <w:r w:rsidRPr="00C6774A">
        <w:t>Jayatunga</w:t>
      </w:r>
      <w:proofErr w:type="spellEnd"/>
      <w:r w:rsidRPr="00C6774A">
        <w:t xml:space="preserve">, W. (2025) ‘The equity of virtual ward models of care across sociodemographic groups in the United Kingdom – a systematic review’, </w:t>
      </w:r>
      <w:r w:rsidRPr="00C6774A">
        <w:rPr>
          <w:i/>
          <w:iCs/>
        </w:rPr>
        <w:t>Journal of Integrated Care</w:t>
      </w:r>
      <w:r w:rsidRPr="00C6774A">
        <w:t xml:space="preserve"> [in press]. </w:t>
      </w:r>
      <w:hyperlink r:id="rId24" w:history="1">
        <w:r w:rsidR="004A409B" w:rsidRPr="00C6774A">
          <w:rPr>
            <w:rStyle w:val="Hyperlink"/>
            <w:color w:val="auto"/>
          </w:rPr>
          <w:t>https://doi.org/10.1108/JICA-03-2025-0018</w:t>
        </w:r>
      </w:hyperlink>
    </w:p>
    <w:p w14:paraId="4CFC7833" w14:textId="77777777" w:rsidR="004A409B" w:rsidRPr="00C6774A" w:rsidRDefault="00000000" w:rsidP="00C6774A">
      <w:pPr>
        <w:spacing w:after="120" w:line="360" w:lineRule="auto"/>
        <w:ind w:left="567" w:hanging="567"/>
        <w:jc w:val="both"/>
      </w:pPr>
      <w:r w:rsidRPr="00C6774A">
        <w:t xml:space="preserve">Patient Safety Learning (2026) </w:t>
      </w:r>
      <w:r w:rsidRPr="00C6774A">
        <w:rPr>
          <w:i/>
          <w:iCs/>
        </w:rPr>
        <w:t>Virtual ward expansion stalls despite record take-up</w:t>
      </w:r>
      <w:r w:rsidRPr="00C6774A">
        <w:t xml:space="preserve"> [summary of Health Service Journal article, 16 March 2026].</w:t>
      </w:r>
      <w:r w:rsidR="004A409B" w:rsidRPr="00C6774A">
        <w:rPr>
          <w:lang w:val="en-US"/>
        </w:rPr>
        <w:t xml:space="preserve"> </w:t>
      </w:r>
      <w:hyperlink r:id="rId25" w:history="1">
        <w:r w:rsidR="004A409B" w:rsidRPr="00C6774A">
          <w:rPr>
            <w:rStyle w:val="Hyperlink"/>
            <w:color w:val="auto"/>
          </w:rPr>
          <w:t>https://www.pslhub.org/news/virtual-ward-expansion-stalls-despite-record-take-up-r9573/</w:t>
        </w:r>
      </w:hyperlink>
    </w:p>
    <w:p w14:paraId="531A118C" w14:textId="77777777" w:rsidR="004A409B" w:rsidRPr="00C6774A" w:rsidRDefault="00000000" w:rsidP="00C6774A">
      <w:pPr>
        <w:spacing w:after="120" w:line="360" w:lineRule="auto"/>
        <w:ind w:left="567" w:hanging="567"/>
        <w:jc w:val="both"/>
      </w:pPr>
      <w:r w:rsidRPr="00C6774A">
        <w:t xml:space="preserve">Shi, C., </w:t>
      </w:r>
      <w:proofErr w:type="spellStart"/>
      <w:r w:rsidRPr="00C6774A">
        <w:t>Dumville</w:t>
      </w:r>
      <w:proofErr w:type="spellEnd"/>
      <w:r w:rsidRPr="00C6774A">
        <w:t xml:space="preserve">, J., Rubinstein, F., Norman, G., Ullah, A., Bashir, S., Bower, P. and Vardy, E.R.L.C. (2024) ‘Inpatient-level care at home delivered by virtual wards and hospital at home: a systematic review and meta-analysis of complex interventions and their components’, </w:t>
      </w:r>
      <w:r w:rsidRPr="00C6774A">
        <w:rPr>
          <w:i/>
          <w:iCs/>
        </w:rPr>
        <w:t>BMC Medicine</w:t>
      </w:r>
      <w:r w:rsidRPr="00C6774A">
        <w:t xml:space="preserve">, 22, 145. </w:t>
      </w:r>
      <w:hyperlink r:id="rId26" w:history="1">
        <w:r w:rsidR="004A409B" w:rsidRPr="00C6774A">
          <w:rPr>
            <w:rStyle w:val="Hyperlink"/>
            <w:color w:val="auto"/>
          </w:rPr>
          <w:t>https://doi.org/10.1186/s12916-024-03312-3</w:t>
        </w:r>
      </w:hyperlink>
    </w:p>
    <w:p w14:paraId="2DCD74F2" w14:textId="3E0C4400" w:rsidR="004A409B" w:rsidRPr="00C6774A" w:rsidRDefault="00000000" w:rsidP="00C6774A">
      <w:pPr>
        <w:spacing w:after="120" w:line="360" w:lineRule="auto"/>
        <w:ind w:left="567" w:hanging="567"/>
        <w:jc w:val="both"/>
      </w:pPr>
      <w:r w:rsidRPr="00C6774A">
        <w:t xml:space="preserve">Skills for Health (2022) </w:t>
      </w:r>
      <w:r w:rsidRPr="00C6774A">
        <w:rPr>
          <w:i/>
          <w:iCs/>
        </w:rPr>
        <w:t>Virtual ward and urgent community response capabilities framework.</w:t>
      </w:r>
      <w:r w:rsidRPr="00C6774A">
        <w:t xml:space="preserve"> Bristol: Skills for Health. </w:t>
      </w:r>
      <w:hyperlink r:id="rId27" w:history="1">
        <w:r w:rsidR="004A409B" w:rsidRPr="00C6774A">
          <w:rPr>
            <w:rStyle w:val="Hyperlink"/>
            <w:color w:val="auto"/>
          </w:rPr>
          <w:t>https://www.skillsforhealth.org.uk/wp-content/uploads/2024/04/VW-and-UCR-Capabilities-Framework-FINAL.pdf</w:t>
        </w:r>
      </w:hyperlink>
    </w:p>
    <w:p w14:paraId="2A52B521" w14:textId="77777777" w:rsidR="004A409B" w:rsidRPr="00C6774A" w:rsidRDefault="00000000" w:rsidP="00C6774A">
      <w:pPr>
        <w:spacing w:after="120" w:line="360" w:lineRule="auto"/>
        <w:ind w:left="567" w:hanging="567"/>
        <w:jc w:val="both"/>
      </w:pPr>
      <w:r w:rsidRPr="00C6774A">
        <w:t xml:space="preserve">Swansea Bay University Health Board (2025) </w:t>
      </w:r>
      <w:r w:rsidRPr="00C6774A">
        <w:rPr>
          <w:i/>
          <w:iCs/>
        </w:rPr>
        <w:t>Virtual wards milestone sees thousands of patients cared for at home</w:t>
      </w:r>
      <w:r w:rsidRPr="00C6774A">
        <w:t xml:space="preserve">, 22 August. </w:t>
      </w:r>
      <w:hyperlink r:id="rId28" w:history="1">
        <w:r w:rsidR="004A409B" w:rsidRPr="00C6774A">
          <w:rPr>
            <w:rStyle w:val="Hyperlink"/>
            <w:color w:val="auto"/>
          </w:rPr>
          <w:t>https://sbuhb.nhs.wales/news/swansea-bay-health-news/virtual-wards-milestone-sees-thousands-of-patients-cared-for-at-home/</w:t>
        </w:r>
      </w:hyperlink>
    </w:p>
    <w:p w14:paraId="7154B9A4" w14:textId="77777777" w:rsidR="004A409B" w:rsidRPr="00C6774A" w:rsidRDefault="00000000" w:rsidP="00C6774A">
      <w:pPr>
        <w:spacing w:after="120" w:line="360" w:lineRule="auto"/>
        <w:ind w:left="567" w:hanging="567"/>
        <w:jc w:val="both"/>
      </w:pPr>
      <w:r w:rsidRPr="00C6774A">
        <w:lastRenderedPageBreak/>
        <w:t xml:space="preserve">Topol, E. (2019) </w:t>
      </w:r>
      <w:r w:rsidRPr="00C6774A">
        <w:rPr>
          <w:i/>
          <w:iCs/>
        </w:rPr>
        <w:t>The Topol Review: preparing the healthcare workforce to deliver the digital future.</w:t>
      </w:r>
      <w:r w:rsidRPr="00C6774A">
        <w:t xml:space="preserve"> Leeds: Health Education England. Available at: </w:t>
      </w:r>
      <w:hyperlink r:id="rId29" w:history="1">
        <w:r w:rsidR="004A409B" w:rsidRPr="00C6774A">
          <w:rPr>
            <w:rStyle w:val="Hyperlink"/>
            <w:color w:val="auto"/>
          </w:rPr>
          <w:t>https://topol.hee.nhs.uk/wp-content/uploads/HEE-Topol-Review-2019.pdf</w:t>
        </w:r>
      </w:hyperlink>
    </w:p>
    <w:p w14:paraId="50F557F4" w14:textId="77777777" w:rsidR="004A409B" w:rsidRPr="00C6774A" w:rsidRDefault="00000000" w:rsidP="00C6774A">
      <w:pPr>
        <w:spacing w:after="120" w:line="360" w:lineRule="auto"/>
        <w:ind w:left="567" w:hanging="567"/>
        <w:jc w:val="both"/>
      </w:pPr>
      <w:r w:rsidRPr="00C6774A">
        <w:t xml:space="preserve">Tudor Hart, J. (1971) ‘The inverse care law’, </w:t>
      </w:r>
      <w:r w:rsidRPr="00C6774A">
        <w:rPr>
          <w:i/>
          <w:iCs/>
        </w:rPr>
        <w:t>The Lancet</w:t>
      </w:r>
      <w:r w:rsidRPr="00C6774A">
        <w:t xml:space="preserve">, 297(7696), pp. 405–412. </w:t>
      </w:r>
      <w:hyperlink r:id="rId30" w:history="1">
        <w:r w:rsidR="004A409B" w:rsidRPr="00C6774A">
          <w:rPr>
            <w:rStyle w:val="Hyperlink"/>
            <w:color w:val="auto"/>
          </w:rPr>
          <w:t>https://doi.org/10.1016/S0140-6736(71)92410-X</w:t>
        </w:r>
      </w:hyperlink>
    </w:p>
    <w:p w14:paraId="6021C0E4" w14:textId="77777777" w:rsidR="004A409B" w:rsidRPr="00C6774A" w:rsidRDefault="00000000" w:rsidP="00C6774A">
      <w:pPr>
        <w:spacing w:after="120" w:line="360" w:lineRule="auto"/>
        <w:ind w:left="567" w:hanging="567"/>
        <w:jc w:val="both"/>
      </w:pPr>
      <w:r w:rsidRPr="00C6774A">
        <w:t xml:space="preserve">UK Parliament (2025) </w:t>
      </w:r>
      <w:r w:rsidRPr="00C6774A">
        <w:rPr>
          <w:i/>
          <w:iCs/>
        </w:rPr>
        <w:t>Virtual wards: written question 90753, answered 24 November 2025.</w:t>
      </w:r>
      <w:r w:rsidRPr="00C6774A">
        <w:t xml:space="preserve"> Available at: </w:t>
      </w:r>
      <w:hyperlink r:id="rId31" w:history="1">
        <w:r w:rsidR="004A409B" w:rsidRPr="00C6774A">
          <w:rPr>
            <w:rStyle w:val="Hyperlink"/>
            <w:color w:val="auto"/>
          </w:rPr>
          <w:t>https://questions-statements.parliament.uk/written-questions/detail/2025-11-13/90753</w:t>
        </w:r>
      </w:hyperlink>
    </w:p>
    <w:p w14:paraId="73B58856" w14:textId="2AEF0BFA" w:rsidR="004B7B10" w:rsidRPr="00C6774A" w:rsidRDefault="00000000" w:rsidP="00C6774A">
      <w:pPr>
        <w:spacing w:after="120" w:line="360" w:lineRule="auto"/>
        <w:ind w:left="567" w:hanging="567"/>
        <w:jc w:val="both"/>
      </w:pPr>
      <w:r w:rsidRPr="00C6774A">
        <w:t xml:space="preserve">Westby, M. et al. (2024) ‘Virtual wards for people with frailty: what works, for whom, how and why – a rapid realist review’, </w:t>
      </w:r>
      <w:r w:rsidRPr="00C6774A">
        <w:rPr>
          <w:i/>
          <w:iCs/>
        </w:rPr>
        <w:t>Age and Ageing</w:t>
      </w:r>
      <w:r w:rsidRPr="00C6774A">
        <w:t xml:space="preserve">, 53(3), afae039. </w:t>
      </w:r>
      <w:hyperlink r:id="rId32" w:history="1">
        <w:r w:rsidR="004A409B" w:rsidRPr="00C6774A">
          <w:rPr>
            <w:rStyle w:val="Hyperlink"/>
            <w:color w:val="auto"/>
          </w:rPr>
          <w:t>https://doi.org/10.1093/ageing/afae039</w:t>
        </w:r>
      </w:hyperlink>
    </w:p>
    <w:p w14:paraId="0E1D434E" w14:textId="77777777" w:rsidR="004A409B" w:rsidRPr="00C6774A" w:rsidRDefault="004A409B" w:rsidP="00C6774A">
      <w:pPr>
        <w:spacing w:after="120" w:line="360" w:lineRule="auto"/>
        <w:ind w:left="567" w:hanging="567"/>
        <w:jc w:val="both"/>
      </w:pPr>
    </w:p>
    <w:sectPr w:rsidR="004A409B" w:rsidRPr="00C6774A">
      <w:footerReference w:type="default" r:id="rId33"/>
      <w:footerReference w:type="first" r:id="rId34"/>
      <w:pgSz w:w="11906" w:h="16838"/>
      <w:pgMar w:top="1440" w:right="1440" w:bottom="1440" w:left="1440" w:header="708" w:footer="70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AF81DB" w14:textId="77777777" w:rsidR="004C7688" w:rsidRDefault="004C7688">
      <w:r>
        <w:separator/>
      </w:r>
    </w:p>
  </w:endnote>
  <w:endnote w:type="continuationSeparator" w:id="0">
    <w:p w14:paraId="347FE763" w14:textId="77777777" w:rsidR="004C7688" w:rsidRDefault="004C76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74977675"/>
      <w:docPartObj>
        <w:docPartGallery w:val="Page Numbers (Bottom of Page)"/>
        <w:docPartUnique/>
      </w:docPartObj>
    </w:sdtPr>
    <w:sdtContent>
      <w:sdt>
        <w:sdtPr>
          <w:id w:val="-1705238520"/>
          <w:docPartObj>
            <w:docPartGallery w:val="Page Numbers (Top of Page)"/>
            <w:docPartUnique/>
          </w:docPartObj>
        </w:sdtPr>
        <w:sdtContent>
          <w:p w14:paraId="6F81DABC" w14:textId="05012CE3" w:rsidR="004A409B" w:rsidRDefault="004A409B">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617631E" w14:textId="2A00C97A" w:rsidR="004B7B10" w:rsidRDefault="004B7B10">
    <w:pP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8911795"/>
      <w:docPartObj>
        <w:docPartGallery w:val="Page Numbers (Bottom of Page)"/>
        <w:docPartUnique/>
      </w:docPartObj>
    </w:sdtPr>
    <w:sdtContent>
      <w:sdt>
        <w:sdtPr>
          <w:id w:val="-2019921260"/>
          <w:docPartObj>
            <w:docPartGallery w:val="Page Numbers (Top of Page)"/>
            <w:docPartUnique/>
          </w:docPartObj>
        </w:sdtPr>
        <w:sdtContent>
          <w:p w14:paraId="75AB5009" w14:textId="1750C529" w:rsidR="00C6774A" w:rsidRDefault="00C6774A">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B2F61F2" w14:textId="77777777" w:rsidR="00C6774A" w:rsidRDefault="00C677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825EAA" w14:textId="77777777" w:rsidR="004C7688" w:rsidRDefault="004C7688">
      <w:r>
        <w:separator/>
      </w:r>
    </w:p>
  </w:footnote>
  <w:footnote w:type="continuationSeparator" w:id="0">
    <w:p w14:paraId="7D276DAC" w14:textId="77777777" w:rsidR="004C7688" w:rsidRDefault="004C76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0F3030"/>
    <w:multiLevelType w:val="hybridMultilevel"/>
    <w:tmpl w:val="995270B6"/>
    <w:lvl w:ilvl="0" w:tplc="99AA76F0">
      <w:start w:val="1"/>
      <w:numFmt w:val="bullet"/>
      <w:lvlText w:val="●"/>
      <w:lvlJc w:val="left"/>
      <w:pPr>
        <w:ind w:left="720" w:hanging="360"/>
      </w:pPr>
    </w:lvl>
    <w:lvl w:ilvl="1" w:tplc="6C8EED10">
      <w:start w:val="1"/>
      <w:numFmt w:val="bullet"/>
      <w:lvlText w:val="○"/>
      <w:lvlJc w:val="left"/>
      <w:pPr>
        <w:ind w:left="1440" w:hanging="360"/>
      </w:pPr>
    </w:lvl>
    <w:lvl w:ilvl="2" w:tplc="402EA470">
      <w:start w:val="1"/>
      <w:numFmt w:val="bullet"/>
      <w:lvlText w:val="■"/>
      <w:lvlJc w:val="left"/>
      <w:pPr>
        <w:ind w:left="2160" w:hanging="360"/>
      </w:pPr>
    </w:lvl>
    <w:lvl w:ilvl="3" w:tplc="E8465484">
      <w:start w:val="1"/>
      <w:numFmt w:val="bullet"/>
      <w:lvlText w:val="●"/>
      <w:lvlJc w:val="left"/>
      <w:pPr>
        <w:ind w:left="2880" w:hanging="360"/>
      </w:pPr>
    </w:lvl>
    <w:lvl w:ilvl="4" w:tplc="B38EF112">
      <w:start w:val="1"/>
      <w:numFmt w:val="bullet"/>
      <w:lvlText w:val="○"/>
      <w:lvlJc w:val="left"/>
      <w:pPr>
        <w:ind w:left="3600" w:hanging="360"/>
      </w:pPr>
    </w:lvl>
    <w:lvl w:ilvl="5" w:tplc="FD4ACBD4">
      <w:start w:val="1"/>
      <w:numFmt w:val="bullet"/>
      <w:lvlText w:val="■"/>
      <w:lvlJc w:val="left"/>
      <w:pPr>
        <w:ind w:left="4320" w:hanging="360"/>
      </w:pPr>
    </w:lvl>
    <w:lvl w:ilvl="6" w:tplc="09905B0A">
      <w:start w:val="1"/>
      <w:numFmt w:val="bullet"/>
      <w:lvlText w:val="●"/>
      <w:lvlJc w:val="left"/>
      <w:pPr>
        <w:ind w:left="5040" w:hanging="360"/>
      </w:pPr>
    </w:lvl>
    <w:lvl w:ilvl="7" w:tplc="EC42200A">
      <w:start w:val="1"/>
      <w:numFmt w:val="bullet"/>
      <w:lvlText w:val="●"/>
      <w:lvlJc w:val="left"/>
      <w:pPr>
        <w:ind w:left="5760" w:hanging="360"/>
      </w:pPr>
    </w:lvl>
    <w:lvl w:ilvl="8" w:tplc="6060C5CA">
      <w:start w:val="1"/>
      <w:numFmt w:val="bullet"/>
      <w:lvlText w:val="●"/>
      <w:lvlJc w:val="left"/>
      <w:pPr>
        <w:ind w:left="6480" w:hanging="360"/>
      </w:pPr>
    </w:lvl>
  </w:abstractNum>
  <w:num w:numId="1" w16cid:durableId="146369676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7B10"/>
    <w:rsid w:val="00165905"/>
    <w:rsid w:val="00345D0D"/>
    <w:rsid w:val="004A409B"/>
    <w:rsid w:val="004B7B10"/>
    <w:rsid w:val="004C7688"/>
    <w:rsid w:val="00B00A0A"/>
    <w:rsid w:val="00C6774A"/>
    <w:rsid w:val="00D16345"/>
  </w:rsids>
  <m:mathPr>
    <m:mathFont m:val="Cambria Math"/>
    <m:brkBin m:val="before"/>
    <m:brkBinSub m:val="--"/>
    <m:smallFrac m:val="0"/>
    <m:dispDef/>
    <m:lMargin m:val="0"/>
    <m:rMargin m:val="0"/>
    <m:defJc m:val="centerGroup"/>
    <m:wrapIndent m:val="1440"/>
    <m:intLim m:val="subSup"/>
    <m:naryLim m:val="undOvr"/>
  </m:mathPr>
  <w:themeFontLang w:val="en-K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3CDC0C"/>
  <w15:docId w15:val="{DE88D0C3-E1B1-4585-BB02-DE8CFE4EE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KE" w:eastAsia="en-KE"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b/>
      <w:bCs/>
      <w:color w:val="1F4E79"/>
      <w:sz w:val="24"/>
      <w:szCs w:val="24"/>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4A409B"/>
    <w:pPr>
      <w:tabs>
        <w:tab w:val="center" w:pos="4513"/>
        <w:tab w:val="right" w:pos="9026"/>
      </w:tabs>
    </w:pPr>
  </w:style>
  <w:style w:type="character" w:customStyle="1" w:styleId="HeaderChar">
    <w:name w:val="Header Char"/>
    <w:basedOn w:val="DefaultParagraphFont"/>
    <w:link w:val="Header"/>
    <w:uiPriority w:val="99"/>
    <w:rsid w:val="004A409B"/>
  </w:style>
  <w:style w:type="paragraph" w:styleId="Footer">
    <w:name w:val="footer"/>
    <w:basedOn w:val="Normal"/>
    <w:link w:val="FooterChar"/>
    <w:uiPriority w:val="99"/>
    <w:unhideWhenUsed/>
    <w:rsid w:val="004A409B"/>
    <w:pPr>
      <w:tabs>
        <w:tab w:val="center" w:pos="4513"/>
        <w:tab w:val="right" w:pos="9026"/>
      </w:tabs>
    </w:pPr>
  </w:style>
  <w:style w:type="character" w:customStyle="1" w:styleId="FooterChar">
    <w:name w:val="Footer Char"/>
    <w:basedOn w:val="DefaultParagraphFont"/>
    <w:link w:val="Footer"/>
    <w:uiPriority w:val="99"/>
    <w:rsid w:val="004A409B"/>
  </w:style>
  <w:style w:type="character" w:styleId="UnresolvedMention">
    <w:name w:val="Unresolved Mention"/>
    <w:basedOn w:val="DefaultParagraphFont"/>
    <w:uiPriority w:val="99"/>
    <w:semiHidden/>
    <w:unhideWhenUsed/>
    <w:rsid w:val="004A409B"/>
    <w:rPr>
      <w:color w:val="605E5C"/>
      <w:shd w:val="clear" w:color="auto" w:fill="E1DFDD"/>
    </w:rPr>
  </w:style>
  <w:style w:type="table" w:styleId="TableGrid">
    <w:name w:val="Table Grid"/>
    <w:basedOn w:val="TableNormal"/>
    <w:uiPriority w:val="39"/>
    <w:rsid w:val="00C677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6774A"/>
    <w:pPr>
      <w:keepNext/>
      <w:keepLines/>
      <w:spacing w:before="240" w:line="259" w:lineRule="auto"/>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C6774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doi.org/10.2196/jmir.8775" TargetMode="External"/><Relationship Id="rId18" Type="http://schemas.openxmlformats.org/officeDocument/2006/relationships/hyperlink" Target="https://ascru.nihr.ac.uk/?p=630" TargetMode="External"/><Relationship Id="rId26" Type="http://schemas.openxmlformats.org/officeDocument/2006/relationships/hyperlink" Target="https://doi.org/10.1186/s12916-024-03312-3" TargetMode="External"/><Relationship Id="rId3" Type="http://schemas.openxmlformats.org/officeDocument/2006/relationships/styles" Target="styles.xml"/><Relationship Id="rId21" Type="http://schemas.openxmlformats.org/officeDocument/2006/relationships/hyperlink" Target="https://www.england.nhs.uk/statistics/statistical-work-areas/virtual-ward/"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goodthingsfoundation.org/policy-and-research/research-and-evidence/research-2024/digital-nation" TargetMode="External"/><Relationship Id="rId17" Type="http://schemas.openxmlformats.org/officeDocument/2006/relationships/hyperlink" Target="https://doi.org/10.2196/75406" TargetMode="External"/><Relationship Id="rId25" Type="http://schemas.openxmlformats.org/officeDocument/2006/relationships/hyperlink" Target="https://www.pslhub.org/news/virtual-ward-expansion-stalls-despite-record-take-up-r9573/"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93/ageing/afaf003" TargetMode="External"/><Relationship Id="rId20" Type="http://schemas.openxmlformats.org/officeDocument/2006/relationships/hyperlink" Target="https://www.england.nhs.uk/long-read/summary-of-south-east-region-virtual-wards-evaluation/" TargetMode="External"/><Relationship Id="rId29" Type="http://schemas.openxmlformats.org/officeDocument/2006/relationships/hyperlink" Target="https://topol.hee.nhs.uk/wp-content/uploads/HEE-Topol-Review-2019.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14651858.CD007491.pub3" TargetMode="External"/><Relationship Id="rId24" Type="http://schemas.openxmlformats.org/officeDocument/2006/relationships/hyperlink" Target="https://doi.org/10.1108/JICA-03-2025-0018" TargetMode="External"/><Relationship Id="rId32" Type="http://schemas.openxmlformats.org/officeDocument/2006/relationships/hyperlink" Target="https://doi.org/10.1093/ageing/afae039" TargetMode="External"/><Relationship Id="rId5" Type="http://schemas.openxmlformats.org/officeDocument/2006/relationships/webSettings" Target="webSettings.xml"/><Relationship Id="rId15" Type="http://schemas.openxmlformats.org/officeDocument/2006/relationships/hyperlink" Target="https://datawrapper.dwcdn.net/Tsw19/6/" TargetMode="External"/><Relationship Id="rId23" Type="http://schemas.openxmlformats.org/officeDocument/2006/relationships/hyperlink" Target="https://doi.org/10.1093/ageing/afac319" TargetMode="External"/><Relationship Id="rId28" Type="http://schemas.openxmlformats.org/officeDocument/2006/relationships/hyperlink" Target="https://sbuhb.nhs.wales/news/swansea-bay-health-news/virtual-wards-milestone-sees-thousands-of-patients-cared-for-at-home/" TargetMode="External"/><Relationship Id="rId36" Type="http://schemas.openxmlformats.org/officeDocument/2006/relationships/theme" Target="theme/theme1.xml"/><Relationship Id="rId10" Type="http://schemas.openxmlformats.org/officeDocument/2006/relationships/hyperlink" Target="https://www.gov.uk/government/publications/10-year-health-plan-for-england-fit-for-the-future" TargetMode="External"/><Relationship Id="rId19" Type="http://schemas.openxmlformats.org/officeDocument/2006/relationships/hyperlink" Target="https://www.england.nhs.uk/long-read/virtual-wards-operational-framework/" TargetMode="External"/><Relationship Id="rId31" Type="http://schemas.openxmlformats.org/officeDocument/2006/relationships/hyperlink" Target="https://questions-statements.parliament.uk/written-questions/detail/2025-11-13/90753" TargetMode="External"/><Relationship Id="rId4" Type="http://schemas.openxmlformats.org/officeDocument/2006/relationships/settings" Target="settings.xml"/><Relationship Id="rId9" Type="http://schemas.openxmlformats.org/officeDocument/2006/relationships/hyperlink" Target="https://www.strategyunitwm.nhs.uk/sites/default/files/2025-06/1171_Virtual_wards_final_report_June2025.pdf" TargetMode="External"/><Relationship Id="rId14" Type="http://schemas.openxmlformats.org/officeDocument/2006/relationships/hyperlink" Target="https://www.health.org.uk/reports-and-analysis/analysis/how-do-the-public-and-nhs-staff-feel-about-virtual-wards" TargetMode="External"/><Relationship Id="rId22" Type="http://schemas.openxmlformats.org/officeDocument/2006/relationships/hyperlink" Target="https://nhsproviders.org/news-blogs/blogs/the-three-steps-in-a-successful-virtual-wards-programme" TargetMode="External"/><Relationship Id="rId27" Type="http://schemas.openxmlformats.org/officeDocument/2006/relationships/hyperlink" Target="https://www.skillsforhealth.org.uk/wp-content/uploads/2024/04/VW-and-UCR-Capabilities-Framework-FINAL.pdf" TargetMode="External"/><Relationship Id="rId30" Type="http://schemas.openxmlformats.org/officeDocument/2006/relationships/hyperlink" Target="https://doi.org/10.1016/S0140-6736(71)92410-X"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E6F544-D1FD-4DE8-B931-6EE75069E4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11</Pages>
  <Words>3522</Words>
  <Characters>20082</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4</cp:revision>
  <dcterms:created xsi:type="dcterms:W3CDTF">2026-10-17T11:57:00Z</dcterms:created>
  <dcterms:modified xsi:type="dcterms:W3CDTF">2026-10-17T12:15:00Z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3838513179919011e928e1273f1323b6749c8eac7d21c94470e1f8ccce4f406b</vt:lpwstr>
  </property>
</Properties>
</file>