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2CBA61" w14:textId="2C119A16" w:rsidR="009848E6" w:rsidRDefault="0040697D" w:rsidP="0040697D">
      <w:pPr>
        <w:pStyle w:val="Title"/>
        <w:jc w:val="center"/>
      </w:pPr>
      <w:r>
        <w:t>Delegated and primary legislation compared</w:t>
      </w:r>
    </w:p>
    <w:p w14:paraId="3A50FDFB" w14:textId="502C64AB" w:rsidR="0040697D" w:rsidRDefault="0040697D" w:rsidP="0040697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40697D" w14:paraId="0914A8C6" w14:textId="77777777" w:rsidTr="0040697D">
        <w:tc>
          <w:tcPr>
            <w:tcW w:w="3005" w:type="dxa"/>
          </w:tcPr>
          <w:p w14:paraId="4F2F1D88" w14:textId="77777777" w:rsidR="0040697D" w:rsidRDefault="0040697D" w:rsidP="00A508E0">
            <w:pPr>
              <w:pStyle w:val="Heading2"/>
            </w:pPr>
          </w:p>
        </w:tc>
        <w:tc>
          <w:tcPr>
            <w:tcW w:w="3005" w:type="dxa"/>
          </w:tcPr>
          <w:p w14:paraId="5D8CD674" w14:textId="53B0C55B" w:rsidR="0040697D" w:rsidRDefault="0040697D" w:rsidP="00A508E0">
            <w:pPr>
              <w:pStyle w:val="Heading2"/>
            </w:pPr>
            <w:r>
              <w:t>Delegated legislation</w:t>
            </w:r>
          </w:p>
        </w:tc>
        <w:tc>
          <w:tcPr>
            <w:tcW w:w="3006" w:type="dxa"/>
          </w:tcPr>
          <w:p w14:paraId="33772C7F" w14:textId="77777777" w:rsidR="0040697D" w:rsidRDefault="0040697D" w:rsidP="00A508E0">
            <w:pPr>
              <w:pStyle w:val="Heading2"/>
            </w:pPr>
            <w:r>
              <w:t xml:space="preserve">Primary legislation </w:t>
            </w:r>
          </w:p>
          <w:p w14:paraId="7F0BF721" w14:textId="6C5C7EBE" w:rsidR="0040697D" w:rsidRDefault="0040697D" w:rsidP="00A508E0">
            <w:pPr>
              <w:pStyle w:val="Heading2"/>
            </w:pPr>
            <w:r>
              <w:t>(Acts of Parliament)</w:t>
            </w:r>
          </w:p>
        </w:tc>
      </w:tr>
      <w:tr w:rsidR="0040697D" w14:paraId="2B7887C0" w14:textId="77777777" w:rsidTr="0040697D">
        <w:tc>
          <w:tcPr>
            <w:tcW w:w="3005" w:type="dxa"/>
          </w:tcPr>
          <w:p w14:paraId="789B6A1A" w14:textId="44C9B743" w:rsidR="0040697D" w:rsidRDefault="0040697D" w:rsidP="00A508E0">
            <w:pPr>
              <w:pStyle w:val="Heading2"/>
            </w:pPr>
            <w:r>
              <w:t>Who makes it?</w:t>
            </w:r>
          </w:p>
        </w:tc>
        <w:tc>
          <w:tcPr>
            <w:tcW w:w="3005" w:type="dxa"/>
          </w:tcPr>
          <w:p w14:paraId="7D424DCB" w14:textId="4F255E9F" w:rsidR="0040697D" w:rsidRDefault="0040697D" w:rsidP="00A508E0">
            <w:pPr>
              <w:pStyle w:val="Heading2"/>
            </w:pPr>
            <w:r>
              <w:t>Ministers with the approval of Parliament</w:t>
            </w:r>
          </w:p>
        </w:tc>
        <w:tc>
          <w:tcPr>
            <w:tcW w:w="3006" w:type="dxa"/>
          </w:tcPr>
          <w:p w14:paraId="73AF69BE" w14:textId="7A86C655" w:rsidR="0040697D" w:rsidRDefault="00624157" w:rsidP="00A508E0">
            <w:pPr>
              <w:pStyle w:val="Heading2"/>
            </w:pPr>
            <w:r>
              <w:t xml:space="preserve">Parliament </w:t>
            </w:r>
          </w:p>
        </w:tc>
        <w:bookmarkStart w:id="0" w:name="_GoBack"/>
        <w:bookmarkEnd w:id="0"/>
      </w:tr>
      <w:tr w:rsidR="0040697D" w14:paraId="3886BFA1" w14:textId="77777777" w:rsidTr="0040697D">
        <w:tc>
          <w:tcPr>
            <w:tcW w:w="3005" w:type="dxa"/>
          </w:tcPr>
          <w:p w14:paraId="49FC8F9D" w14:textId="1B93FFC6" w:rsidR="0040697D" w:rsidRDefault="0040697D" w:rsidP="00A508E0">
            <w:pPr>
              <w:pStyle w:val="Heading2"/>
            </w:pPr>
            <w:r>
              <w:t>By what procedure?</w:t>
            </w:r>
          </w:p>
        </w:tc>
        <w:tc>
          <w:tcPr>
            <w:tcW w:w="3005" w:type="dxa"/>
          </w:tcPr>
          <w:p w14:paraId="3997BF3C" w14:textId="77777777" w:rsidR="0040697D" w:rsidRDefault="0040697D" w:rsidP="00A508E0">
            <w:pPr>
              <w:pStyle w:val="Heading2"/>
            </w:pPr>
            <w:r>
              <w:t>Varies</w:t>
            </w:r>
          </w:p>
          <w:p w14:paraId="7A7465D4" w14:textId="77777777" w:rsidR="0040697D" w:rsidRDefault="0040697D" w:rsidP="00A508E0">
            <w:pPr>
              <w:pStyle w:val="Heading2"/>
            </w:pPr>
            <w:r>
              <w:t xml:space="preserve">All is subject to ‘technical’ scrutiny by the </w:t>
            </w:r>
            <w:r w:rsidR="00624157">
              <w:t>Joint Committee on Statutory Instruments</w:t>
            </w:r>
          </w:p>
          <w:p w14:paraId="791E6315" w14:textId="6E8D4675" w:rsidR="00624157" w:rsidRDefault="00624157" w:rsidP="00A508E0">
            <w:pPr>
              <w:pStyle w:val="Heading2"/>
            </w:pPr>
            <w:r>
              <w:t>The House of Lords Committee on the Merits of Statutory Instruments reports on significant legislation</w:t>
            </w:r>
          </w:p>
        </w:tc>
        <w:tc>
          <w:tcPr>
            <w:tcW w:w="3006" w:type="dxa"/>
          </w:tcPr>
          <w:p w14:paraId="6EDEAEA6" w14:textId="77777777" w:rsidR="0040697D" w:rsidRDefault="00624157" w:rsidP="00A508E0">
            <w:pPr>
              <w:pStyle w:val="Heading2"/>
            </w:pPr>
            <w:r>
              <w:t>Secondary Reading, Committee</w:t>
            </w:r>
            <w:r w:rsidR="00A508E0">
              <w:t xml:space="preserve"> Reading, and Third Reading in Commons and Lords</w:t>
            </w:r>
          </w:p>
          <w:p w14:paraId="5C63CB7D" w14:textId="77777777" w:rsidR="00A508E0" w:rsidRDefault="00A508E0" w:rsidP="00A508E0">
            <w:pPr>
              <w:pStyle w:val="Heading2"/>
            </w:pPr>
          </w:p>
          <w:p w14:paraId="1DCC0FCC" w14:textId="072306D8" w:rsidR="00A508E0" w:rsidRDefault="00A508E0" w:rsidP="00A508E0">
            <w:pPr>
              <w:pStyle w:val="Heading2"/>
            </w:pPr>
            <w:r>
              <w:t>Scrutiny by Joint Committee on Human Rights and Constitution Committee</w:t>
            </w:r>
          </w:p>
        </w:tc>
      </w:tr>
      <w:tr w:rsidR="0040697D" w14:paraId="57646FD8" w14:textId="77777777" w:rsidTr="0040697D">
        <w:tc>
          <w:tcPr>
            <w:tcW w:w="3005" w:type="dxa"/>
          </w:tcPr>
          <w:p w14:paraId="24725802" w14:textId="3F15FD92" w:rsidR="0040697D" w:rsidRDefault="0040697D" w:rsidP="00A508E0">
            <w:pPr>
              <w:pStyle w:val="Heading2"/>
            </w:pPr>
            <w:r>
              <w:t>Is it amendable?</w:t>
            </w:r>
          </w:p>
        </w:tc>
        <w:tc>
          <w:tcPr>
            <w:tcW w:w="3005" w:type="dxa"/>
          </w:tcPr>
          <w:p w14:paraId="51A71A5E" w14:textId="5388B9C4" w:rsidR="0040697D" w:rsidRDefault="00624157" w:rsidP="00A508E0">
            <w:pPr>
              <w:pStyle w:val="Heading2"/>
            </w:pPr>
            <w:r>
              <w:t xml:space="preserve">No: MPs and peers cannot suggest improvements </w:t>
            </w:r>
          </w:p>
        </w:tc>
        <w:tc>
          <w:tcPr>
            <w:tcW w:w="3006" w:type="dxa"/>
          </w:tcPr>
          <w:p w14:paraId="12AB7998" w14:textId="5F441BBC" w:rsidR="0040697D" w:rsidRDefault="00A508E0" w:rsidP="00A508E0">
            <w:pPr>
              <w:pStyle w:val="Heading2"/>
            </w:pPr>
            <w:r>
              <w:t>Yes: much of the debate is on amendments by MPs and Peers</w:t>
            </w:r>
          </w:p>
        </w:tc>
      </w:tr>
      <w:tr w:rsidR="0040697D" w14:paraId="6EC5CBC1" w14:textId="77777777" w:rsidTr="0040697D">
        <w:tc>
          <w:tcPr>
            <w:tcW w:w="3005" w:type="dxa"/>
          </w:tcPr>
          <w:p w14:paraId="43239114" w14:textId="3E82889A" w:rsidR="0040697D" w:rsidRDefault="0040697D" w:rsidP="00A508E0">
            <w:pPr>
              <w:pStyle w:val="Heading2"/>
            </w:pPr>
            <w:r>
              <w:t>How long is the debate?</w:t>
            </w:r>
          </w:p>
        </w:tc>
        <w:tc>
          <w:tcPr>
            <w:tcW w:w="3005" w:type="dxa"/>
          </w:tcPr>
          <w:p w14:paraId="46817D6A" w14:textId="71DDE163" w:rsidR="0040697D" w:rsidRDefault="00624157" w:rsidP="00A508E0">
            <w:pPr>
              <w:pStyle w:val="Heading2"/>
            </w:pPr>
            <w:r>
              <w:t>Most is not debated at all. If there is debate, it is strictly limited to 90 minutes.</w:t>
            </w:r>
          </w:p>
        </w:tc>
        <w:tc>
          <w:tcPr>
            <w:tcW w:w="3006" w:type="dxa"/>
          </w:tcPr>
          <w:p w14:paraId="70B51A7B" w14:textId="040F5EBD" w:rsidR="0040697D" w:rsidRDefault="00A508E0" w:rsidP="00A508E0">
            <w:pPr>
              <w:pStyle w:val="Heading2"/>
            </w:pPr>
            <w:r>
              <w:t>Varies according to importance and complexity – usually many days</w:t>
            </w:r>
          </w:p>
        </w:tc>
      </w:tr>
      <w:tr w:rsidR="0040697D" w14:paraId="27A1B90F" w14:textId="77777777" w:rsidTr="0040697D">
        <w:tc>
          <w:tcPr>
            <w:tcW w:w="3005" w:type="dxa"/>
          </w:tcPr>
          <w:p w14:paraId="35269AAF" w14:textId="7EC255D4" w:rsidR="0040697D" w:rsidRDefault="0040697D" w:rsidP="00A508E0">
            <w:pPr>
              <w:pStyle w:val="Heading2"/>
            </w:pPr>
            <w:r>
              <w:t>Can the courts review it?</w:t>
            </w:r>
          </w:p>
        </w:tc>
        <w:tc>
          <w:tcPr>
            <w:tcW w:w="3005" w:type="dxa"/>
          </w:tcPr>
          <w:p w14:paraId="2508F0E3" w14:textId="215FE591" w:rsidR="0040697D" w:rsidRDefault="00624157" w:rsidP="00A508E0">
            <w:pPr>
              <w:pStyle w:val="Heading2"/>
            </w:pPr>
            <w:r>
              <w:t>Yes: the courts may apply the normal grounds of judicial review and quash delegated legislation</w:t>
            </w:r>
          </w:p>
        </w:tc>
        <w:tc>
          <w:tcPr>
            <w:tcW w:w="3006" w:type="dxa"/>
          </w:tcPr>
          <w:p w14:paraId="630DE89D" w14:textId="0CD490B1" w:rsidR="0040697D" w:rsidRDefault="00A508E0" w:rsidP="00A508E0">
            <w:pPr>
              <w:pStyle w:val="Heading2"/>
            </w:pPr>
            <w:r>
              <w:t xml:space="preserve">Not generally: parliamentary sovereignty prevents this (but the courts may make a declaration of incompatibility under the Human Rights Act 1998 and ‘disapply’ a section of an act that is contrary to EU law. </w:t>
            </w:r>
          </w:p>
        </w:tc>
      </w:tr>
    </w:tbl>
    <w:p w14:paraId="521ECFD5" w14:textId="77777777" w:rsidR="0040697D" w:rsidRPr="0040697D" w:rsidRDefault="0040697D" w:rsidP="0040697D"/>
    <w:sectPr w:rsidR="0040697D" w:rsidRPr="004069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697D"/>
    <w:rsid w:val="0040697D"/>
    <w:rsid w:val="00590B80"/>
    <w:rsid w:val="00624157"/>
    <w:rsid w:val="008E10FA"/>
    <w:rsid w:val="008F1E72"/>
    <w:rsid w:val="009848E6"/>
    <w:rsid w:val="00A508E0"/>
    <w:rsid w:val="00C735E0"/>
    <w:rsid w:val="00F57C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33F211"/>
  <w15:chartTrackingRefBased/>
  <w15:docId w15:val="{E2720779-6EE2-4EA7-AC4B-BEDBA71671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508E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40697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069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TableGrid">
    <w:name w:val="Table Grid"/>
    <w:basedOn w:val="TableNormal"/>
    <w:uiPriority w:val="39"/>
    <w:rsid w:val="0040697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A508E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175</Words>
  <Characters>1003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1</cp:revision>
  <dcterms:created xsi:type="dcterms:W3CDTF">2020-02-17T15:17:00Z</dcterms:created>
  <dcterms:modified xsi:type="dcterms:W3CDTF">2020-02-17T15:42:00Z</dcterms:modified>
</cp:coreProperties>
</file>