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7DDB20F1" w14:textId="77777777" w:rsidR="00B322E0" w:rsidRPr="00752C57" w:rsidRDefault="00B322E0" w:rsidP="009C2D59">
      <w:pPr>
        <w:rPr>
          <w:b/>
          <w:i/>
          <w:color w:val="auto"/>
          <w:sz w:val="88"/>
          <w:szCs w:val="88"/>
        </w:rPr>
      </w:pPr>
      <w:bookmarkStart w:id="0" w:name="__RefHeading___Toc82856599"/>
      <w:bookmarkEnd w:id="0"/>
    </w:p>
    <w:p w14:paraId="5A8BABB2" w14:textId="77777777" w:rsidR="00B322E0" w:rsidRPr="00752C57" w:rsidRDefault="00B322E0">
      <w:pPr>
        <w:jc w:val="center"/>
        <w:rPr>
          <w:b/>
          <w:i/>
          <w:color w:val="auto"/>
          <w:sz w:val="88"/>
          <w:szCs w:val="88"/>
        </w:rPr>
      </w:pPr>
    </w:p>
    <w:p w14:paraId="3B46A5F4" w14:textId="77777777" w:rsidR="002E633D" w:rsidRPr="00757EA4" w:rsidRDefault="002E633D" w:rsidP="002E633D">
      <w:pPr>
        <w:jc w:val="center"/>
        <w:rPr>
          <w:rFonts w:ascii="Arial" w:hAnsi="Arial" w:cs="Arial"/>
          <w:b/>
          <w:bCs/>
          <w:i/>
          <w:color w:val="auto"/>
          <w:sz w:val="40"/>
          <w:szCs w:val="40"/>
        </w:rPr>
      </w:pPr>
      <w:r w:rsidRPr="00757EA4">
        <w:rPr>
          <w:rFonts w:ascii="Arial" w:hAnsi="Arial" w:cs="Arial"/>
          <w:b/>
          <w:bCs/>
          <w:i/>
          <w:color w:val="auto"/>
          <w:sz w:val="40"/>
          <w:szCs w:val="40"/>
        </w:rPr>
        <w:t>Module: LCHS4008 – Introduction to Public Health</w:t>
      </w:r>
    </w:p>
    <w:p w14:paraId="205956C3" w14:textId="77777777" w:rsidR="002E633D" w:rsidRPr="00757EA4" w:rsidRDefault="002E633D" w:rsidP="002E633D">
      <w:pPr>
        <w:jc w:val="center"/>
        <w:rPr>
          <w:rFonts w:ascii="Arial" w:hAnsi="Arial" w:cs="Arial"/>
          <w:b/>
          <w:bCs/>
          <w:i/>
          <w:color w:val="auto"/>
          <w:sz w:val="40"/>
          <w:szCs w:val="40"/>
        </w:rPr>
      </w:pPr>
    </w:p>
    <w:p w14:paraId="1E623781" w14:textId="77777777" w:rsidR="00793373" w:rsidRDefault="002E633D" w:rsidP="002E633D">
      <w:pPr>
        <w:jc w:val="center"/>
        <w:rPr>
          <w:rFonts w:ascii="Arial" w:hAnsi="Arial" w:cs="Arial"/>
          <w:b/>
          <w:i/>
          <w:color w:val="auto"/>
          <w:sz w:val="40"/>
          <w:szCs w:val="40"/>
        </w:rPr>
      </w:pPr>
      <w:r w:rsidRPr="00757EA4">
        <w:rPr>
          <w:rFonts w:ascii="Arial" w:hAnsi="Arial" w:cs="Arial"/>
          <w:b/>
          <w:bCs/>
          <w:i/>
          <w:color w:val="auto"/>
          <w:sz w:val="40"/>
          <w:szCs w:val="40"/>
        </w:rPr>
        <w:t>Assessment 2: Report on Coronary Heart Disease (CHD)</w:t>
      </w:r>
      <w:r w:rsidR="009C2D59" w:rsidRPr="00757EA4">
        <w:rPr>
          <w:rFonts w:ascii="Arial" w:hAnsi="Arial" w:cs="Arial"/>
          <w:b/>
          <w:bCs/>
          <w:i/>
          <w:color w:val="auto"/>
          <w:sz w:val="40"/>
          <w:szCs w:val="40"/>
        </w:rPr>
        <w:t> </w:t>
      </w:r>
      <w:r w:rsidR="00B57A65" w:rsidRPr="00757EA4">
        <w:rPr>
          <w:rFonts w:ascii="Arial" w:hAnsi="Arial" w:cs="Arial"/>
          <w:b/>
          <w:i/>
          <w:color w:val="auto"/>
          <w:sz w:val="40"/>
          <w:szCs w:val="40"/>
        </w:rPr>
        <w:t xml:space="preserve"> </w:t>
      </w:r>
    </w:p>
    <w:p w14:paraId="67E6112A" w14:textId="29307356" w:rsidR="003C7F8B" w:rsidRDefault="003C7F8B" w:rsidP="002E633D">
      <w:pPr>
        <w:jc w:val="center"/>
        <w:rPr>
          <w:rFonts w:ascii="Arial" w:hAnsi="Arial" w:cs="Arial"/>
          <w:bCs/>
          <w:iCs/>
          <w:color w:val="auto"/>
          <w:sz w:val="40"/>
          <w:szCs w:val="40"/>
        </w:rPr>
      </w:pPr>
      <w:r>
        <w:rPr>
          <w:rFonts w:ascii="Arial" w:hAnsi="Arial" w:cs="Arial"/>
          <w:bCs/>
          <w:iCs/>
          <w:color w:val="auto"/>
          <w:sz w:val="40"/>
          <w:szCs w:val="40"/>
        </w:rPr>
        <w:t xml:space="preserve">Amal Hussain </w:t>
      </w:r>
    </w:p>
    <w:p w14:paraId="2B74ED51" w14:textId="029178CE" w:rsidR="003C7F8B" w:rsidRDefault="003C7F8B" w:rsidP="002E633D">
      <w:pPr>
        <w:jc w:val="center"/>
        <w:rPr>
          <w:rFonts w:ascii="Arial" w:hAnsi="Arial" w:cs="Arial"/>
          <w:bCs/>
          <w:iCs/>
          <w:color w:val="auto"/>
          <w:sz w:val="40"/>
          <w:szCs w:val="40"/>
        </w:rPr>
      </w:pPr>
      <w:r>
        <w:rPr>
          <w:rFonts w:ascii="Arial" w:hAnsi="Arial" w:cs="Arial"/>
          <w:bCs/>
          <w:iCs/>
          <w:color w:val="auto"/>
          <w:sz w:val="40"/>
          <w:szCs w:val="40"/>
        </w:rPr>
        <w:t>2520490</w:t>
      </w:r>
    </w:p>
    <w:p w14:paraId="65BDF5D6" w14:textId="77777777" w:rsidR="003C7F8B" w:rsidRPr="003C7F8B" w:rsidRDefault="003C7F8B" w:rsidP="002E633D">
      <w:pPr>
        <w:jc w:val="center"/>
        <w:rPr>
          <w:rFonts w:ascii="Arial" w:hAnsi="Arial" w:cs="Arial"/>
          <w:bCs/>
          <w:iCs/>
          <w:color w:val="auto"/>
          <w:sz w:val="40"/>
          <w:szCs w:val="40"/>
        </w:rPr>
      </w:pPr>
    </w:p>
    <w:p w14:paraId="38F82056" w14:textId="77777777" w:rsidR="00793373" w:rsidRPr="00757EA4" w:rsidRDefault="00793373">
      <w:pPr>
        <w:pStyle w:val="ContentsHeading"/>
        <w:pageBreakBefore/>
        <w:rPr>
          <w:rFonts w:ascii="Arial" w:hAnsi="Arial" w:cs="Arial"/>
          <w:color w:val="auto"/>
          <w:sz w:val="22"/>
          <w:szCs w:val="22"/>
        </w:rPr>
      </w:pPr>
      <w:r w:rsidRPr="00757EA4">
        <w:rPr>
          <w:rFonts w:ascii="Arial" w:hAnsi="Arial" w:cs="Arial"/>
          <w:color w:val="auto"/>
          <w:sz w:val="22"/>
          <w:szCs w:val="22"/>
        </w:rPr>
        <w:lastRenderedPageBreak/>
        <w:t>Table of Contents</w:t>
      </w:r>
    </w:p>
    <w:p w14:paraId="21FD603B" w14:textId="77777777" w:rsidR="00757EA4" w:rsidRPr="00D60D65" w:rsidRDefault="00793373">
      <w:pPr>
        <w:pStyle w:val="TOC1"/>
        <w:rPr>
          <w:rFonts w:ascii="Calibri" w:eastAsia="Times New Roman" w:hAnsi="Calibri" w:cs="Times New Roman"/>
          <w:noProof/>
          <w:color w:val="auto"/>
          <w:sz w:val="22"/>
          <w:lang w:eastAsia="en-GB"/>
        </w:rPr>
      </w:pPr>
      <w:r w:rsidRPr="00757EA4">
        <w:rPr>
          <w:rFonts w:ascii="Arial" w:hAnsi="Arial" w:cs="Arial"/>
          <w:color w:val="auto"/>
          <w:sz w:val="22"/>
        </w:rPr>
        <w:fldChar w:fldCharType="begin"/>
      </w:r>
      <w:r w:rsidRPr="00757EA4">
        <w:rPr>
          <w:rFonts w:ascii="Arial" w:hAnsi="Arial" w:cs="Arial"/>
          <w:color w:val="auto"/>
          <w:sz w:val="22"/>
        </w:rPr>
        <w:instrText xml:space="preserve"> TOC \f \o "1-9" \o "1-9" </w:instrText>
      </w:r>
      <w:r w:rsidRPr="00757EA4">
        <w:rPr>
          <w:rFonts w:ascii="Arial" w:hAnsi="Arial" w:cs="Arial"/>
          <w:color w:val="auto"/>
          <w:sz w:val="22"/>
        </w:rPr>
        <w:fldChar w:fldCharType="separate"/>
      </w:r>
      <w:r w:rsidR="00757EA4" w:rsidRPr="00757EA4">
        <w:rPr>
          <w:rFonts w:ascii="Arial" w:hAnsi="Arial" w:cs="Arial"/>
          <w:noProof/>
          <w:sz w:val="22"/>
        </w:rPr>
        <w:t>1. Introduction</w:t>
      </w:r>
      <w:r w:rsidR="00757EA4" w:rsidRPr="00757EA4">
        <w:rPr>
          <w:noProof/>
          <w:sz w:val="22"/>
        </w:rPr>
        <w:tab/>
      </w:r>
      <w:r w:rsidR="00757EA4" w:rsidRPr="00757EA4">
        <w:rPr>
          <w:noProof/>
          <w:sz w:val="22"/>
        </w:rPr>
        <w:fldChar w:fldCharType="begin"/>
      </w:r>
      <w:r w:rsidR="00757EA4" w:rsidRPr="00757EA4">
        <w:rPr>
          <w:noProof/>
          <w:sz w:val="22"/>
        </w:rPr>
        <w:instrText xml:space="preserve"> PAGEREF _Toc234664253 \h </w:instrText>
      </w:r>
      <w:r w:rsidR="00757EA4" w:rsidRPr="00757EA4">
        <w:rPr>
          <w:noProof/>
          <w:sz w:val="22"/>
        </w:rPr>
      </w:r>
      <w:r w:rsidR="00757EA4" w:rsidRPr="00757EA4">
        <w:rPr>
          <w:noProof/>
          <w:sz w:val="22"/>
        </w:rPr>
        <w:fldChar w:fldCharType="separate"/>
      </w:r>
      <w:r w:rsidR="00757EA4" w:rsidRPr="00757EA4">
        <w:rPr>
          <w:noProof/>
          <w:sz w:val="22"/>
        </w:rPr>
        <w:t>3</w:t>
      </w:r>
      <w:r w:rsidR="00757EA4" w:rsidRPr="00757EA4">
        <w:rPr>
          <w:noProof/>
          <w:sz w:val="22"/>
        </w:rPr>
        <w:fldChar w:fldCharType="end"/>
      </w:r>
    </w:p>
    <w:p w14:paraId="10617ADF" w14:textId="77777777" w:rsidR="00757EA4" w:rsidRPr="00D60D65" w:rsidRDefault="00757EA4">
      <w:pPr>
        <w:pStyle w:val="TOC1"/>
        <w:rPr>
          <w:rFonts w:ascii="Calibri" w:eastAsia="Times New Roman" w:hAnsi="Calibri" w:cs="Times New Roman"/>
          <w:noProof/>
          <w:color w:val="auto"/>
          <w:sz w:val="22"/>
          <w:lang w:eastAsia="en-GB"/>
        </w:rPr>
      </w:pPr>
      <w:r w:rsidRPr="00757EA4">
        <w:rPr>
          <w:rFonts w:ascii="Arial" w:hAnsi="Arial" w:cs="Arial"/>
          <w:noProof/>
          <w:sz w:val="22"/>
        </w:rPr>
        <w:t>2. Approaches Used to Measure and Monitor Coronary Heart Disease</w:t>
      </w:r>
      <w:r w:rsidRPr="00757EA4">
        <w:rPr>
          <w:noProof/>
          <w:sz w:val="22"/>
        </w:rPr>
        <w:tab/>
      </w:r>
      <w:r w:rsidRPr="00757EA4">
        <w:rPr>
          <w:noProof/>
          <w:sz w:val="22"/>
        </w:rPr>
        <w:fldChar w:fldCharType="begin"/>
      </w:r>
      <w:r w:rsidRPr="00757EA4">
        <w:rPr>
          <w:noProof/>
          <w:sz w:val="22"/>
        </w:rPr>
        <w:instrText xml:space="preserve"> PAGEREF _Toc234664254 \h </w:instrText>
      </w:r>
      <w:r w:rsidRPr="00757EA4">
        <w:rPr>
          <w:noProof/>
          <w:sz w:val="22"/>
        </w:rPr>
      </w:r>
      <w:r w:rsidRPr="00757EA4">
        <w:rPr>
          <w:noProof/>
          <w:sz w:val="22"/>
        </w:rPr>
        <w:fldChar w:fldCharType="separate"/>
      </w:r>
      <w:r w:rsidRPr="00757EA4">
        <w:rPr>
          <w:noProof/>
          <w:sz w:val="22"/>
        </w:rPr>
        <w:t>3</w:t>
      </w:r>
      <w:r w:rsidRPr="00757EA4">
        <w:rPr>
          <w:noProof/>
          <w:sz w:val="22"/>
        </w:rPr>
        <w:fldChar w:fldCharType="end"/>
      </w:r>
    </w:p>
    <w:p w14:paraId="06B382C6" w14:textId="77777777" w:rsidR="00757EA4" w:rsidRPr="00D60D65" w:rsidRDefault="00757EA4">
      <w:pPr>
        <w:pStyle w:val="TOC1"/>
        <w:rPr>
          <w:rFonts w:ascii="Calibri" w:eastAsia="Times New Roman" w:hAnsi="Calibri" w:cs="Times New Roman"/>
          <w:noProof/>
          <w:color w:val="auto"/>
          <w:sz w:val="22"/>
          <w:lang w:eastAsia="en-GB"/>
        </w:rPr>
      </w:pPr>
      <w:r w:rsidRPr="00757EA4">
        <w:rPr>
          <w:rFonts w:ascii="Arial" w:hAnsi="Arial" w:cs="Arial"/>
          <w:noProof/>
          <w:sz w:val="22"/>
        </w:rPr>
        <w:t>3. How Coronary Heart Disease is Controlled</w:t>
      </w:r>
      <w:r w:rsidRPr="00757EA4">
        <w:rPr>
          <w:noProof/>
          <w:sz w:val="22"/>
        </w:rPr>
        <w:tab/>
      </w:r>
      <w:r w:rsidRPr="00757EA4">
        <w:rPr>
          <w:noProof/>
          <w:sz w:val="22"/>
        </w:rPr>
        <w:fldChar w:fldCharType="begin"/>
      </w:r>
      <w:r w:rsidRPr="00757EA4">
        <w:rPr>
          <w:noProof/>
          <w:sz w:val="22"/>
        </w:rPr>
        <w:instrText xml:space="preserve"> PAGEREF _Toc234664255 \h </w:instrText>
      </w:r>
      <w:r w:rsidRPr="00757EA4">
        <w:rPr>
          <w:noProof/>
          <w:sz w:val="22"/>
        </w:rPr>
      </w:r>
      <w:r w:rsidRPr="00757EA4">
        <w:rPr>
          <w:noProof/>
          <w:sz w:val="22"/>
        </w:rPr>
        <w:fldChar w:fldCharType="separate"/>
      </w:r>
      <w:r w:rsidRPr="00757EA4">
        <w:rPr>
          <w:noProof/>
          <w:sz w:val="22"/>
        </w:rPr>
        <w:t>4</w:t>
      </w:r>
      <w:r w:rsidRPr="00757EA4">
        <w:rPr>
          <w:noProof/>
          <w:sz w:val="22"/>
        </w:rPr>
        <w:fldChar w:fldCharType="end"/>
      </w:r>
    </w:p>
    <w:p w14:paraId="2FAC9D87" w14:textId="77777777" w:rsidR="00757EA4" w:rsidRPr="00D60D65" w:rsidRDefault="00757EA4">
      <w:pPr>
        <w:pStyle w:val="TOC1"/>
        <w:rPr>
          <w:rFonts w:ascii="Calibri" w:eastAsia="Times New Roman" w:hAnsi="Calibri" w:cs="Times New Roman"/>
          <w:noProof/>
          <w:color w:val="auto"/>
          <w:sz w:val="22"/>
          <w:lang w:eastAsia="en-GB"/>
        </w:rPr>
      </w:pPr>
      <w:r w:rsidRPr="00757EA4">
        <w:rPr>
          <w:rFonts w:ascii="Arial" w:hAnsi="Arial" w:cs="Arial"/>
          <w:noProof/>
          <w:sz w:val="22"/>
        </w:rPr>
        <w:t>4. Consequences of Coronary Heart Disease within the Community</w:t>
      </w:r>
      <w:r w:rsidRPr="00757EA4">
        <w:rPr>
          <w:noProof/>
          <w:sz w:val="22"/>
        </w:rPr>
        <w:tab/>
      </w:r>
      <w:r w:rsidRPr="00757EA4">
        <w:rPr>
          <w:noProof/>
          <w:sz w:val="22"/>
        </w:rPr>
        <w:fldChar w:fldCharType="begin"/>
      </w:r>
      <w:r w:rsidRPr="00757EA4">
        <w:rPr>
          <w:noProof/>
          <w:sz w:val="22"/>
        </w:rPr>
        <w:instrText xml:space="preserve"> PAGEREF _Toc234664256 \h </w:instrText>
      </w:r>
      <w:r w:rsidRPr="00757EA4">
        <w:rPr>
          <w:noProof/>
          <w:sz w:val="22"/>
        </w:rPr>
      </w:r>
      <w:r w:rsidRPr="00757EA4">
        <w:rPr>
          <w:noProof/>
          <w:sz w:val="22"/>
        </w:rPr>
        <w:fldChar w:fldCharType="separate"/>
      </w:r>
      <w:r w:rsidRPr="00757EA4">
        <w:rPr>
          <w:noProof/>
          <w:sz w:val="22"/>
        </w:rPr>
        <w:t>5</w:t>
      </w:r>
      <w:r w:rsidRPr="00757EA4">
        <w:rPr>
          <w:noProof/>
          <w:sz w:val="22"/>
        </w:rPr>
        <w:fldChar w:fldCharType="end"/>
      </w:r>
    </w:p>
    <w:p w14:paraId="0C241558" w14:textId="77777777" w:rsidR="00757EA4" w:rsidRPr="00D60D65" w:rsidRDefault="00757EA4">
      <w:pPr>
        <w:pStyle w:val="TOC1"/>
        <w:rPr>
          <w:rFonts w:ascii="Calibri" w:eastAsia="Times New Roman" w:hAnsi="Calibri" w:cs="Times New Roman"/>
          <w:noProof/>
          <w:color w:val="auto"/>
          <w:sz w:val="22"/>
          <w:lang w:eastAsia="en-GB"/>
        </w:rPr>
      </w:pPr>
      <w:r w:rsidRPr="00757EA4">
        <w:rPr>
          <w:rFonts w:ascii="Arial" w:hAnsi="Arial" w:cs="Arial"/>
          <w:noProof/>
          <w:sz w:val="22"/>
        </w:rPr>
        <w:t>5. Health and Social Care Support Services</w:t>
      </w:r>
      <w:r w:rsidRPr="00757EA4">
        <w:rPr>
          <w:noProof/>
          <w:sz w:val="22"/>
        </w:rPr>
        <w:tab/>
      </w:r>
      <w:r w:rsidRPr="00757EA4">
        <w:rPr>
          <w:noProof/>
          <w:sz w:val="22"/>
        </w:rPr>
        <w:fldChar w:fldCharType="begin"/>
      </w:r>
      <w:r w:rsidRPr="00757EA4">
        <w:rPr>
          <w:noProof/>
          <w:sz w:val="22"/>
        </w:rPr>
        <w:instrText xml:space="preserve"> PAGEREF _Toc234664257 \h </w:instrText>
      </w:r>
      <w:r w:rsidRPr="00757EA4">
        <w:rPr>
          <w:noProof/>
          <w:sz w:val="22"/>
        </w:rPr>
      </w:r>
      <w:r w:rsidRPr="00757EA4">
        <w:rPr>
          <w:noProof/>
          <w:sz w:val="22"/>
        </w:rPr>
        <w:fldChar w:fldCharType="separate"/>
      </w:r>
      <w:r w:rsidRPr="00757EA4">
        <w:rPr>
          <w:noProof/>
          <w:sz w:val="22"/>
        </w:rPr>
        <w:t>6</w:t>
      </w:r>
      <w:r w:rsidRPr="00757EA4">
        <w:rPr>
          <w:noProof/>
          <w:sz w:val="22"/>
        </w:rPr>
        <w:fldChar w:fldCharType="end"/>
      </w:r>
    </w:p>
    <w:p w14:paraId="5F538784" w14:textId="77777777" w:rsidR="00757EA4" w:rsidRPr="00D60D65" w:rsidRDefault="00757EA4">
      <w:pPr>
        <w:pStyle w:val="TOC1"/>
        <w:rPr>
          <w:rFonts w:ascii="Calibri" w:eastAsia="Times New Roman" w:hAnsi="Calibri" w:cs="Times New Roman"/>
          <w:noProof/>
          <w:color w:val="auto"/>
          <w:sz w:val="22"/>
          <w:lang w:eastAsia="en-GB"/>
        </w:rPr>
      </w:pPr>
      <w:r w:rsidRPr="00757EA4">
        <w:rPr>
          <w:rFonts w:ascii="Arial" w:hAnsi="Arial" w:cs="Arial"/>
          <w:noProof/>
          <w:sz w:val="22"/>
        </w:rPr>
        <w:t>6. Conclusion</w:t>
      </w:r>
      <w:r w:rsidRPr="00757EA4">
        <w:rPr>
          <w:noProof/>
          <w:sz w:val="22"/>
        </w:rPr>
        <w:tab/>
      </w:r>
      <w:r w:rsidRPr="00757EA4">
        <w:rPr>
          <w:noProof/>
          <w:sz w:val="22"/>
        </w:rPr>
        <w:fldChar w:fldCharType="begin"/>
      </w:r>
      <w:r w:rsidRPr="00757EA4">
        <w:rPr>
          <w:noProof/>
          <w:sz w:val="22"/>
        </w:rPr>
        <w:instrText xml:space="preserve"> PAGEREF _Toc234664258 \h </w:instrText>
      </w:r>
      <w:r w:rsidRPr="00757EA4">
        <w:rPr>
          <w:noProof/>
          <w:sz w:val="22"/>
        </w:rPr>
      </w:r>
      <w:r w:rsidRPr="00757EA4">
        <w:rPr>
          <w:noProof/>
          <w:sz w:val="22"/>
        </w:rPr>
        <w:fldChar w:fldCharType="separate"/>
      </w:r>
      <w:r w:rsidRPr="00757EA4">
        <w:rPr>
          <w:noProof/>
          <w:sz w:val="22"/>
        </w:rPr>
        <w:t>7</w:t>
      </w:r>
      <w:r w:rsidRPr="00757EA4">
        <w:rPr>
          <w:noProof/>
          <w:sz w:val="22"/>
        </w:rPr>
        <w:fldChar w:fldCharType="end"/>
      </w:r>
    </w:p>
    <w:p w14:paraId="2282B5C9" w14:textId="77777777" w:rsidR="00757EA4" w:rsidRPr="00D60D65" w:rsidRDefault="00757EA4">
      <w:pPr>
        <w:pStyle w:val="TOC1"/>
        <w:rPr>
          <w:rFonts w:ascii="Calibri" w:eastAsia="Times New Roman" w:hAnsi="Calibri" w:cs="Times New Roman"/>
          <w:noProof/>
          <w:color w:val="auto"/>
          <w:sz w:val="22"/>
          <w:lang w:eastAsia="en-GB"/>
        </w:rPr>
      </w:pPr>
      <w:r w:rsidRPr="00757EA4">
        <w:rPr>
          <w:rFonts w:ascii="Arial" w:hAnsi="Arial" w:cs="Arial"/>
          <w:noProof/>
          <w:sz w:val="22"/>
        </w:rPr>
        <w:t>References</w:t>
      </w:r>
      <w:r w:rsidRPr="00757EA4">
        <w:rPr>
          <w:noProof/>
          <w:sz w:val="22"/>
        </w:rPr>
        <w:tab/>
      </w:r>
      <w:r w:rsidRPr="00757EA4">
        <w:rPr>
          <w:noProof/>
          <w:sz w:val="22"/>
        </w:rPr>
        <w:fldChar w:fldCharType="begin"/>
      </w:r>
      <w:r w:rsidRPr="00757EA4">
        <w:rPr>
          <w:noProof/>
          <w:sz w:val="22"/>
        </w:rPr>
        <w:instrText xml:space="preserve"> PAGEREF _Toc234664259 \h </w:instrText>
      </w:r>
      <w:r w:rsidRPr="00757EA4">
        <w:rPr>
          <w:noProof/>
          <w:sz w:val="22"/>
        </w:rPr>
      </w:r>
      <w:r w:rsidRPr="00757EA4">
        <w:rPr>
          <w:noProof/>
          <w:sz w:val="22"/>
        </w:rPr>
        <w:fldChar w:fldCharType="separate"/>
      </w:r>
      <w:r w:rsidRPr="00757EA4">
        <w:rPr>
          <w:noProof/>
          <w:sz w:val="22"/>
        </w:rPr>
        <w:t>8</w:t>
      </w:r>
      <w:r w:rsidRPr="00757EA4">
        <w:rPr>
          <w:noProof/>
          <w:sz w:val="22"/>
        </w:rPr>
        <w:fldChar w:fldCharType="end"/>
      </w:r>
    </w:p>
    <w:p w14:paraId="0B84A9E7" w14:textId="77777777" w:rsidR="005901D0" w:rsidRPr="00757EA4" w:rsidRDefault="00793373" w:rsidP="005901D0">
      <w:pPr>
        <w:pStyle w:val="TOC1"/>
        <w:rPr>
          <w:rFonts w:ascii="Arial" w:hAnsi="Arial" w:cs="Arial"/>
          <w:color w:val="auto"/>
          <w:szCs w:val="24"/>
        </w:rPr>
      </w:pPr>
      <w:r w:rsidRPr="00757EA4">
        <w:rPr>
          <w:rFonts w:ascii="Arial" w:hAnsi="Arial" w:cs="Arial"/>
          <w:color w:val="auto"/>
          <w:sz w:val="22"/>
        </w:rPr>
        <w:fldChar w:fldCharType="end"/>
      </w:r>
    </w:p>
    <w:p w14:paraId="7B76BA23" w14:textId="77777777" w:rsidR="00793373" w:rsidRPr="00757EA4" w:rsidRDefault="00793373">
      <w:pPr>
        <w:rPr>
          <w:rFonts w:ascii="Arial" w:hAnsi="Arial" w:cs="Arial"/>
          <w:color w:val="auto"/>
          <w:szCs w:val="24"/>
        </w:rPr>
      </w:pPr>
    </w:p>
    <w:p w14:paraId="14CFCBE6" w14:textId="77777777" w:rsidR="00FA3835" w:rsidRPr="00757EA4" w:rsidRDefault="00FA3835">
      <w:pPr>
        <w:rPr>
          <w:rFonts w:ascii="Arial" w:hAnsi="Arial" w:cs="Arial"/>
          <w:color w:val="auto"/>
          <w:szCs w:val="24"/>
        </w:rPr>
      </w:pPr>
    </w:p>
    <w:p w14:paraId="02CE01B6" w14:textId="77777777" w:rsidR="00FA3835" w:rsidRPr="00757EA4" w:rsidRDefault="00FA3835">
      <w:pPr>
        <w:rPr>
          <w:rFonts w:ascii="Arial" w:hAnsi="Arial" w:cs="Arial"/>
          <w:color w:val="auto"/>
          <w:szCs w:val="24"/>
        </w:rPr>
      </w:pPr>
    </w:p>
    <w:p w14:paraId="34245DB6" w14:textId="77777777" w:rsidR="000824D7" w:rsidRPr="00757EA4" w:rsidRDefault="006407FE" w:rsidP="004A42D9">
      <w:pPr>
        <w:pStyle w:val="Heading1"/>
        <w:rPr>
          <w:rFonts w:ascii="Arial" w:hAnsi="Arial" w:cs="Arial"/>
          <w:sz w:val="22"/>
          <w:szCs w:val="22"/>
        </w:rPr>
      </w:pPr>
      <w:r w:rsidRPr="00757EA4">
        <w:rPr>
          <w:rFonts w:ascii="Arial" w:hAnsi="Arial" w:cs="Arial"/>
        </w:rPr>
        <w:br w:type="page"/>
      </w:r>
      <w:bookmarkStart w:id="1" w:name="_Toc234664253"/>
      <w:r w:rsidR="002E633D" w:rsidRPr="00757EA4">
        <w:rPr>
          <w:rFonts w:ascii="Arial" w:hAnsi="Arial" w:cs="Arial"/>
          <w:sz w:val="22"/>
          <w:szCs w:val="22"/>
        </w:rPr>
        <w:lastRenderedPageBreak/>
        <w:t xml:space="preserve">1. </w:t>
      </w:r>
      <w:r w:rsidR="00607926" w:rsidRPr="00757EA4">
        <w:rPr>
          <w:rFonts w:ascii="Arial" w:hAnsi="Arial" w:cs="Arial"/>
          <w:sz w:val="22"/>
          <w:szCs w:val="22"/>
        </w:rPr>
        <w:t>Introduction</w:t>
      </w:r>
      <w:bookmarkEnd w:id="1"/>
    </w:p>
    <w:p w14:paraId="722BEA9B" w14:textId="77777777" w:rsidR="002E633D" w:rsidRPr="00757EA4" w:rsidRDefault="002E633D" w:rsidP="002E633D">
      <w:pPr>
        <w:rPr>
          <w:rFonts w:ascii="Arial" w:hAnsi="Arial" w:cs="Arial"/>
          <w:sz w:val="22"/>
        </w:rPr>
      </w:pPr>
      <w:r w:rsidRPr="00757EA4">
        <w:rPr>
          <w:rFonts w:ascii="Arial" w:hAnsi="Arial" w:cs="Arial"/>
          <w:sz w:val="22"/>
        </w:rPr>
        <w:t>Coronary heart disease (CHD) is a chronic cardiovascular disease characterized by a gradual narrowing of the coronary arteries due to the accumulation of atherosclerotic plaque, which decreases the blood flow to the heart and supplies of oxygen. This can lead to myocardial ischaemia, angina and, in extreme cases, myocardial infarction</w:t>
      </w:r>
      <w:r w:rsidR="00C26408" w:rsidRPr="00C26408">
        <w:t xml:space="preserve"> </w:t>
      </w:r>
      <w:r w:rsidR="00C26408" w:rsidRPr="00C26408">
        <w:rPr>
          <w:rFonts w:ascii="Arial" w:hAnsi="Arial" w:cs="Arial"/>
          <w:sz w:val="22"/>
        </w:rPr>
        <w:t>(Conrad et al., 2024)</w:t>
      </w:r>
      <w:r w:rsidRPr="00757EA4">
        <w:rPr>
          <w:rFonts w:ascii="Arial" w:hAnsi="Arial" w:cs="Arial"/>
          <w:sz w:val="22"/>
        </w:rPr>
        <w:t>. Common symptoms are chest pain, shortness of breath and tiredness, but some people may not have any symptoms until having a sudden cardiac episode. Cardiovascular diseases are still the leading cause of mortality in the world, with around 20.5 million mortalities per year</w:t>
      </w:r>
      <w:r w:rsidR="00C26408" w:rsidRPr="00C26408">
        <w:t xml:space="preserve"> </w:t>
      </w:r>
      <w:r w:rsidR="00C26408" w:rsidRPr="00C26408">
        <w:rPr>
          <w:rFonts w:ascii="Arial" w:hAnsi="Arial" w:cs="Arial"/>
          <w:sz w:val="22"/>
        </w:rPr>
        <w:t>(World, 2025)</w:t>
      </w:r>
      <w:r w:rsidRPr="00757EA4">
        <w:rPr>
          <w:rFonts w:ascii="Arial" w:hAnsi="Arial" w:cs="Arial"/>
          <w:sz w:val="22"/>
        </w:rPr>
        <w:t>. CHD affects around 2.3 million people in the UK, and results in about 66,000 deaths annually and significant healthcare and economic costs to the NHS</w:t>
      </w:r>
      <w:r w:rsidR="00C26408" w:rsidRPr="00C26408">
        <w:t xml:space="preserve"> </w:t>
      </w:r>
      <w:r w:rsidR="00C26408" w:rsidRPr="00C26408">
        <w:rPr>
          <w:rFonts w:ascii="Arial" w:hAnsi="Arial" w:cs="Arial"/>
          <w:sz w:val="22"/>
        </w:rPr>
        <w:t>(BHF, 2026)</w:t>
      </w:r>
      <w:r w:rsidRPr="00757EA4">
        <w:rPr>
          <w:rFonts w:ascii="Arial" w:hAnsi="Arial" w:cs="Arial"/>
          <w:sz w:val="22"/>
        </w:rPr>
        <w:t>.</w:t>
      </w:r>
    </w:p>
    <w:p w14:paraId="19D424D6" w14:textId="77777777" w:rsidR="002E633D" w:rsidRPr="00757EA4" w:rsidRDefault="002E633D" w:rsidP="002E633D">
      <w:pPr>
        <w:rPr>
          <w:rFonts w:ascii="Arial" w:hAnsi="Arial" w:cs="Arial"/>
          <w:sz w:val="22"/>
        </w:rPr>
      </w:pPr>
    </w:p>
    <w:p w14:paraId="7A95E833" w14:textId="77777777" w:rsidR="002E633D" w:rsidRPr="00757EA4" w:rsidRDefault="002E633D" w:rsidP="002E633D">
      <w:pPr>
        <w:pStyle w:val="Heading1"/>
        <w:rPr>
          <w:rFonts w:ascii="Arial" w:hAnsi="Arial" w:cs="Arial"/>
          <w:sz w:val="22"/>
          <w:szCs w:val="22"/>
        </w:rPr>
      </w:pPr>
      <w:bookmarkStart w:id="2" w:name="_Toc234664254"/>
      <w:r w:rsidRPr="00757EA4">
        <w:rPr>
          <w:rFonts w:ascii="Arial" w:hAnsi="Arial" w:cs="Arial"/>
          <w:sz w:val="22"/>
          <w:szCs w:val="22"/>
        </w:rPr>
        <w:t>2. Approaches Used to Measure and Monitor Coronary Heart Disease</w:t>
      </w:r>
      <w:bookmarkEnd w:id="2"/>
    </w:p>
    <w:p w14:paraId="63F9F126" w14:textId="77777777" w:rsidR="002E633D" w:rsidRPr="00757EA4" w:rsidRDefault="002E633D" w:rsidP="002E633D">
      <w:pPr>
        <w:rPr>
          <w:rFonts w:ascii="Arial" w:hAnsi="Arial" w:cs="Arial"/>
          <w:sz w:val="22"/>
        </w:rPr>
      </w:pPr>
      <w:r w:rsidRPr="00757EA4">
        <w:rPr>
          <w:rFonts w:ascii="Arial" w:hAnsi="Arial" w:cs="Arial"/>
          <w:sz w:val="22"/>
        </w:rPr>
        <w:t>Epidemiological surveillance and clinical assessment are used to monitor coronary heart disease (CHD) for prevention and early diagnosis and healthcare planning. Epidemiological indicators such as incidence, prevalence, mortality and morbidity and disability-adjusted life years (DALYs) measure the occurrence, severity and burden on the population of disease. Incidence indicates the number of new cases and can be used to assess the effectiveness of preventive interventions, while prevalence provides an estimate of the number of people who have CHD and helps to inform resource allocation. Mortality and morbidity data provides information on trends in premature deaths and disability, and DALYs combine years of life lost and years lived with disability (YLD) to measure the overall burden of disease</w:t>
      </w:r>
      <w:r w:rsidR="00C26408" w:rsidRPr="00C26408">
        <w:t xml:space="preserve"> </w:t>
      </w:r>
      <w:r w:rsidR="00C26408" w:rsidRPr="00C26408">
        <w:rPr>
          <w:rFonts w:ascii="Arial" w:hAnsi="Arial" w:cs="Arial"/>
          <w:sz w:val="22"/>
        </w:rPr>
        <w:t>(Tanner et al., 2022)</w:t>
      </w:r>
      <w:r w:rsidRPr="00757EA4">
        <w:rPr>
          <w:rFonts w:ascii="Arial" w:hAnsi="Arial" w:cs="Arial"/>
          <w:sz w:val="22"/>
        </w:rPr>
        <w:t>.</w:t>
      </w:r>
    </w:p>
    <w:p w14:paraId="06A52BFB" w14:textId="77777777" w:rsidR="002E3735" w:rsidRDefault="002E633D" w:rsidP="002E3735">
      <w:pPr>
        <w:ind w:firstLine="720"/>
        <w:rPr>
          <w:rFonts w:ascii="Arial" w:hAnsi="Arial" w:cs="Arial"/>
          <w:sz w:val="22"/>
        </w:rPr>
      </w:pPr>
      <w:r w:rsidRPr="00757EA4">
        <w:rPr>
          <w:rFonts w:ascii="Arial" w:hAnsi="Arial" w:cs="Arial"/>
          <w:sz w:val="22"/>
        </w:rPr>
        <w:t>Surveillance is carried out in the United Kingdom by ONS, the Department of Health and Social Care cardiovascular profiles, Quality and Outcomes Framework (QOF), National Cardiovascular Intelligence Network (NCVIN) and primary care CHD registers. These systems measure geographical inequities, service performance and temporal patterns, and support evidence-based commissioning and public health interventions</w:t>
      </w:r>
      <w:r w:rsidR="00C26408" w:rsidRPr="00C26408">
        <w:t xml:space="preserve"> </w:t>
      </w:r>
      <w:r w:rsidR="00C26408" w:rsidRPr="00C26408">
        <w:rPr>
          <w:rFonts w:ascii="Arial" w:hAnsi="Arial" w:cs="Arial"/>
          <w:sz w:val="22"/>
        </w:rPr>
        <w:t>(</w:t>
      </w:r>
      <w:proofErr w:type="spellStart"/>
      <w:r w:rsidR="00C26408" w:rsidRPr="00C26408">
        <w:rPr>
          <w:rFonts w:ascii="Arial" w:hAnsi="Arial" w:cs="Arial"/>
          <w:sz w:val="22"/>
        </w:rPr>
        <w:t>Hippisley-Cox</w:t>
      </w:r>
      <w:proofErr w:type="spellEnd"/>
      <w:r w:rsidR="00C26408" w:rsidRPr="00C26408">
        <w:rPr>
          <w:rFonts w:ascii="Arial" w:hAnsi="Arial" w:cs="Arial"/>
          <w:sz w:val="22"/>
        </w:rPr>
        <w:t xml:space="preserve">, </w:t>
      </w:r>
      <w:proofErr w:type="spellStart"/>
      <w:r w:rsidR="00C26408" w:rsidRPr="00C26408">
        <w:rPr>
          <w:rFonts w:ascii="Arial" w:hAnsi="Arial" w:cs="Arial"/>
          <w:sz w:val="22"/>
        </w:rPr>
        <w:t>Coupland</w:t>
      </w:r>
      <w:proofErr w:type="spellEnd"/>
      <w:r w:rsidR="00C26408" w:rsidRPr="00C26408">
        <w:rPr>
          <w:rFonts w:ascii="Arial" w:hAnsi="Arial" w:cs="Arial"/>
          <w:sz w:val="22"/>
        </w:rPr>
        <w:t xml:space="preserve"> and Brindle, 2017)</w:t>
      </w:r>
      <w:r w:rsidRPr="00757EA4">
        <w:rPr>
          <w:rFonts w:ascii="Arial" w:hAnsi="Arial" w:cs="Arial"/>
          <w:sz w:val="22"/>
        </w:rPr>
        <w:t>.</w:t>
      </w:r>
    </w:p>
    <w:p w14:paraId="0994E240" w14:textId="77777777" w:rsidR="002E3735" w:rsidRDefault="002E633D" w:rsidP="002E3735">
      <w:pPr>
        <w:ind w:firstLine="720"/>
        <w:rPr>
          <w:rFonts w:ascii="Arial" w:hAnsi="Arial" w:cs="Arial"/>
          <w:sz w:val="22"/>
        </w:rPr>
      </w:pPr>
      <w:r w:rsidRPr="00757EA4">
        <w:rPr>
          <w:rFonts w:ascii="Arial" w:hAnsi="Arial" w:cs="Arial"/>
          <w:sz w:val="22"/>
        </w:rPr>
        <w:t>Clinical monitoring is used in addition to population surveillance conducted via NHS Health Checks, QRISK3 cardiovascular risk assessment, blood pressure, lipid profile, ECG, echocardiography, CT coronary angiography, invasive coronary angiography and cardiac troponin testing. These investigations allow for the early detection, risk stratification, and prompt treatment of the disease, which improves the outcome of the disease</w:t>
      </w:r>
      <w:r w:rsidR="00C26408" w:rsidRPr="00C26408">
        <w:t xml:space="preserve"> </w:t>
      </w:r>
      <w:r w:rsidR="00C26408" w:rsidRPr="00C26408">
        <w:rPr>
          <w:rFonts w:ascii="Arial" w:hAnsi="Arial" w:cs="Arial"/>
          <w:sz w:val="22"/>
        </w:rPr>
        <w:t>(</w:t>
      </w:r>
      <w:proofErr w:type="spellStart"/>
      <w:r w:rsidR="00C26408" w:rsidRPr="00C26408">
        <w:rPr>
          <w:rFonts w:ascii="Arial" w:hAnsi="Arial" w:cs="Arial"/>
          <w:sz w:val="22"/>
        </w:rPr>
        <w:t>Samarasekera</w:t>
      </w:r>
      <w:proofErr w:type="spellEnd"/>
      <w:r w:rsidR="00C26408" w:rsidRPr="00C26408">
        <w:rPr>
          <w:rFonts w:ascii="Arial" w:hAnsi="Arial" w:cs="Arial"/>
          <w:sz w:val="22"/>
        </w:rPr>
        <w:t xml:space="preserve"> et al., 2023)</w:t>
      </w:r>
      <w:r w:rsidR="002E3735">
        <w:rPr>
          <w:rFonts w:ascii="Arial" w:hAnsi="Arial" w:cs="Arial"/>
          <w:sz w:val="22"/>
        </w:rPr>
        <w:t>.</w:t>
      </w:r>
    </w:p>
    <w:p w14:paraId="2FB86F38" w14:textId="77777777" w:rsidR="002E633D" w:rsidRPr="00757EA4" w:rsidRDefault="002E633D" w:rsidP="002E3735">
      <w:pPr>
        <w:ind w:firstLine="720"/>
        <w:rPr>
          <w:rFonts w:ascii="Arial" w:hAnsi="Arial" w:cs="Arial"/>
          <w:sz w:val="22"/>
        </w:rPr>
      </w:pPr>
      <w:r w:rsidRPr="00757EA4">
        <w:rPr>
          <w:rFonts w:ascii="Arial" w:hAnsi="Arial" w:cs="Arial"/>
          <w:sz w:val="22"/>
        </w:rPr>
        <w:lastRenderedPageBreak/>
        <w:t>However, population surveillance is useful to detect disease trends but is not useful for individual disease diagnosis, while diagnostic investigations are useful for obtaining detailed information on the disease but require more financial and health care resources. However, while NHS Health Checks have the potential to reduce the proportion of people who are not identified at an early stage, there is currently an unequal uptake of the checks in socioeconomically deprived populations, which may contribute to increasing health inequalities. Thus, combining epidemiological surveillance with the clinical assessment of each patient is the best approach to monitoring and decreasing the impact of CHD</w:t>
      </w:r>
      <w:r w:rsidR="00C26408" w:rsidRPr="00C26408">
        <w:t xml:space="preserve"> </w:t>
      </w:r>
      <w:r w:rsidR="00C26408" w:rsidRPr="00C26408">
        <w:rPr>
          <w:rFonts w:ascii="Arial" w:hAnsi="Arial" w:cs="Arial"/>
          <w:sz w:val="22"/>
        </w:rPr>
        <w:t>(Tanner et al., 2022)</w:t>
      </w:r>
      <w:r w:rsidRPr="00757EA4">
        <w:rPr>
          <w:rFonts w:ascii="Arial" w:hAnsi="Arial" w:cs="Arial"/>
          <w:sz w:val="22"/>
        </w:rPr>
        <w:t>.</w:t>
      </w:r>
    </w:p>
    <w:p w14:paraId="518F7323" w14:textId="77777777" w:rsidR="002E633D" w:rsidRPr="00757EA4" w:rsidRDefault="002E633D" w:rsidP="002E633D">
      <w:pPr>
        <w:rPr>
          <w:rFonts w:ascii="Arial" w:hAnsi="Arial" w:cs="Arial"/>
          <w:sz w:val="22"/>
        </w:rPr>
      </w:pPr>
    </w:p>
    <w:p w14:paraId="0740DD9C" w14:textId="77777777" w:rsidR="002E633D" w:rsidRPr="00757EA4" w:rsidRDefault="002E633D" w:rsidP="002E633D">
      <w:pPr>
        <w:pStyle w:val="Heading1"/>
        <w:rPr>
          <w:rFonts w:ascii="Arial" w:hAnsi="Arial" w:cs="Arial"/>
          <w:sz w:val="22"/>
          <w:szCs w:val="22"/>
        </w:rPr>
      </w:pPr>
      <w:bookmarkStart w:id="3" w:name="_Toc234664255"/>
      <w:r w:rsidRPr="00757EA4">
        <w:rPr>
          <w:rFonts w:ascii="Arial" w:hAnsi="Arial" w:cs="Arial"/>
          <w:sz w:val="22"/>
          <w:szCs w:val="22"/>
        </w:rPr>
        <w:t>3. How Coronary Heart Disease is Controlled</w:t>
      </w:r>
      <w:bookmarkEnd w:id="3"/>
      <w:r w:rsidRPr="00757EA4">
        <w:rPr>
          <w:rFonts w:ascii="Arial" w:hAnsi="Arial" w:cs="Arial"/>
          <w:sz w:val="22"/>
          <w:szCs w:val="22"/>
        </w:rPr>
        <w:t xml:space="preserve"> </w:t>
      </w:r>
    </w:p>
    <w:p w14:paraId="5E825F9E" w14:textId="77777777" w:rsidR="002E633D" w:rsidRPr="00757EA4" w:rsidRDefault="002E633D" w:rsidP="002E633D">
      <w:pPr>
        <w:rPr>
          <w:rFonts w:ascii="Arial" w:hAnsi="Arial" w:cs="Arial"/>
          <w:sz w:val="22"/>
        </w:rPr>
      </w:pPr>
      <w:r w:rsidRPr="00757EA4">
        <w:rPr>
          <w:rFonts w:ascii="Arial" w:hAnsi="Arial" w:cs="Arial"/>
          <w:sz w:val="22"/>
        </w:rPr>
        <w:t xml:space="preserve">Primary, secondary and tertiary prevention strategies all work together to decrease the incidence, progression and death caused by coronary heart disease (CHD). Primary prevention involves lifestyle changes to prevent disease from occurring, such as smoking cessation, consumption of a balanced diet with a high proportion of fruit and vegetables, regular exercise, weight management, control of alcohol consumption and well managed hypertension and </w:t>
      </w:r>
      <w:proofErr w:type="spellStart"/>
      <w:r w:rsidRPr="00757EA4">
        <w:rPr>
          <w:rFonts w:ascii="Arial" w:hAnsi="Arial" w:cs="Arial"/>
          <w:sz w:val="22"/>
        </w:rPr>
        <w:t>hypercholesterolaemia</w:t>
      </w:r>
      <w:proofErr w:type="spellEnd"/>
      <w:r w:rsidRPr="00757EA4">
        <w:rPr>
          <w:rFonts w:ascii="Arial" w:hAnsi="Arial" w:cs="Arial"/>
          <w:sz w:val="22"/>
        </w:rPr>
        <w:t>. In addition to advice for individual behaviour change, NICE advises for population-level interventions to help lower cardiovascular risk because healthy environments can help to create sustainable lifestyle change</w:t>
      </w:r>
      <w:r w:rsidR="00C26408" w:rsidRPr="00C26408">
        <w:t xml:space="preserve"> </w:t>
      </w:r>
      <w:r w:rsidR="00C26408" w:rsidRPr="00C26408">
        <w:rPr>
          <w:rFonts w:ascii="Arial" w:hAnsi="Arial" w:cs="Arial"/>
          <w:sz w:val="22"/>
        </w:rPr>
        <w:t>(NICE, 2010)</w:t>
      </w:r>
      <w:r w:rsidRPr="00757EA4">
        <w:rPr>
          <w:rFonts w:ascii="Arial" w:hAnsi="Arial" w:cs="Arial"/>
          <w:sz w:val="22"/>
        </w:rPr>
        <w:t>.</w:t>
      </w:r>
    </w:p>
    <w:p w14:paraId="4A9B2835" w14:textId="77777777" w:rsidR="002E3735" w:rsidRDefault="002E633D" w:rsidP="002E3735">
      <w:pPr>
        <w:ind w:firstLine="720"/>
        <w:rPr>
          <w:rFonts w:ascii="Arial" w:hAnsi="Arial" w:cs="Arial"/>
          <w:sz w:val="22"/>
        </w:rPr>
      </w:pPr>
      <w:r w:rsidRPr="00757EA4">
        <w:rPr>
          <w:rFonts w:ascii="Arial" w:hAnsi="Arial" w:cs="Arial"/>
          <w:sz w:val="22"/>
        </w:rPr>
        <w:t>Secondary prevention is to identify persons with an elevated risk prior to the onset of clinical complications. The NHS Health Check programme, QRISK3 assessment, blood pressure monitoring, lipid profiling and early diagnosis will help to make statins, anti-hypertensive medication and lifestyle changes possible early, thus minimising the risk of myocardial infarction and stroke</w:t>
      </w:r>
      <w:r w:rsidR="00C26408" w:rsidRPr="00C26408">
        <w:t xml:space="preserve"> </w:t>
      </w:r>
      <w:r w:rsidR="00C26408" w:rsidRPr="00C26408">
        <w:rPr>
          <w:rFonts w:ascii="Arial" w:hAnsi="Arial" w:cs="Arial"/>
          <w:sz w:val="22"/>
        </w:rPr>
        <w:t>(NICE, 2023)</w:t>
      </w:r>
      <w:r w:rsidRPr="00757EA4">
        <w:rPr>
          <w:rFonts w:ascii="Arial" w:hAnsi="Arial" w:cs="Arial"/>
          <w:sz w:val="22"/>
        </w:rPr>
        <w:t>.</w:t>
      </w:r>
    </w:p>
    <w:p w14:paraId="3D62641A" w14:textId="77777777" w:rsidR="002E3735" w:rsidRDefault="002E633D" w:rsidP="002E3735">
      <w:pPr>
        <w:ind w:firstLine="720"/>
        <w:rPr>
          <w:rFonts w:ascii="Arial" w:hAnsi="Arial" w:cs="Arial"/>
          <w:sz w:val="22"/>
        </w:rPr>
      </w:pPr>
      <w:r w:rsidRPr="00757EA4">
        <w:rPr>
          <w:rFonts w:ascii="Arial" w:hAnsi="Arial" w:cs="Arial"/>
          <w:sz w:val="22"/>
        </w:rPr>
        <w:t>Tertiary prevention aims to minimise complications among people who have been diagnosed with CHD. Cardiac rehabilitation, Coronary angioplasty, CABG (coronary artery bypass grafting) and the drugs (Aspirin, Beta-blockers, ACE inhibitors and statins) are all part of evidence-based management. Cardiac rehabilitation enhances functional capacity, quality of life and adherence to medications, and decreases recurrent cardiovascular events, hospital admissions and death</w:t>
      </w:r>
      <w:r w:rsidR="00C26408" w:rsidRPr="00C26408">
        <w:t xml:space="preserve"> </w:t>
      </w:r>
      <w:r w:rsidR="00C26408" w:rsidRPr="00C26408">
        <w:rPr>
          <w:rFonts w:ascii="Arial" w:hAnsi="Arial" w:cs="Arial"/>
          <w:sz w:val="22"/>
        </w:rPr>
        <w:t>(NHS, 2024)</w:t>
      </w:r>
      <w:r w:rsidR="002E3735">
        <w:rPr>
          <w:rFonts w:ascii="Arial" w:hAnsi="Arial" w:cs="Arial"/>
          <w:sz w:val="22"/>
        </w:rPr>
        <w:t>.</w:t>
      </w:r>
    </w:p>
    <w:p w14:paraId="02A7140A" w14:textId="77777777" w:rsidR="002E3735" w:rsidRDefault="002E633D" w:rsidP="002E3735">
      <w:pPr>
        <w:ind w:firstLine="720"/>
        <w:rPr>
          <w:rFonts w:ascii="Arial" w:hAnsi="Arial" w:cs="Arial"/>
          <w:sz w:val="22"/>
        </w:rPr>
      </w:pPr>
      <w:r w:rsidRPr="00757EA4">
        <w:rPr>
          <w:rFonts w:ascii="Arial" w:hAnsi="Arial" w:cs="Arial"/>
          <w:sz w:val="22"/>
        </w:rPr>
        <w:t>The NHS Long Term Plan, NICE cardiovascular prevention guidance and regional cardiovascular prevention programmes all support integrated cardiovascular prevention and early diagnosis, as well as delivery of services in an equitable manner at the policy level.</w:t>
      </w:r>
    </w:p>
    <w:p w14:paraId="5EB867E6" w14:textId="77777777" w:rsidR="002E633D" w:rsidRPr="00757EA4" w:rsidRDefault="002E633D" w:rsidP="002E3735">
      <w:pPr>
        <w:ind w:firstLine="720"/>
        <w:rPr>
          <w:rFonts w:ascii="Arial" w:hAnsi="Arial" w:cs="Arial"/>
          <w:sz w:val="22"/>
        </w:rPr>
      </w:pPr>
      <w:r w:rsidRPr="00757EA4">
        <w:rPr>
          <w:rFonts w:ascii="Arial" w:hAnsi="Arial" w:cs="Arial"/>
          <w:sz w:val="22"/>
        </w:rPr>
        <w:t xml:space="preserve">Preventing over 150,000 cardiovascular events is the goal of the NHS, and it needs to do more to use prevention measures and enhance risk identification. Yet, despite these efforts, there </w:t>
      </w:r>
      <w:r w:rsidRPr="00757EA4">
        <w:rPr>
          <w:rFonts w:ascii="Arial" w:hAnsi="Arial" w:cs="Arial"/>
          <w:sz w:val="22"/>
        </w:rPr>
        <w:lastRenderedPageBreak/>
        <w:t>are persistent links between socioeconomic disadvantage, ethnic differences and inequities in the access to preventive services and the incidence and outcome of CHD. Thus, despite increased efforts on cardiovascular prevention, addressing health inequalities is necessary for the continued improvement of cardiovascular health of the population</w:t>
      </w:r>
      <w:r w:rsidR="00C26408" w:rsidRPr="00C26408">
        <w:t xml:space="preserve"> </w:t>
      </w:r>
      <w:r w:rsidR="00C26408" w:rsidRPr="00C26408">
        <w:rPr>
          <w:rFonts w:ascii="Arial" w:hAnsi="Arial" w:cs="Arial"/>
          <w:sz w:val="22"/>
        </w:rPr>
        <w:t>(Public Health England, 2019)</w:t>
      </w:r>
      <w:r w:rsidRPr="00757EA4">
        <w:rPr>
          <w:rFonts w:ascii="Arial" w:hAnsi="Arial" w:cs="Arial"/>
          <w:sz w:val="22"/>
        </w:rPr>
        <w:t>.</w:t>
      </w:r>
    </w:p>
    <w:p w14:paraId="6376B919" w14:textId="77777777" w:rsidR="002E633D" w:rsidRPr="00757EA4" w:rsidRDefault="002E633D" w:rsidP="002E633D">
      <w:pPr>
        <w:rPr>
          <w:rFonts w:ascii="Arial" w:hAnsi="Arial" w:cs="Arial"/>
          <w:sz w:val="22"/>
        </w:rPr>
      </w:pPr>
    </w:p>
    <w:p w14:paraId="5CA7DD0E" w14:textId="77777777" w:rsidR="002E633D" w:rsidRPr="00757EA4" w:rsidRDefault="002E633D" w:rsidP="002E633D">
      <w:pPr>
        <w:pStyle w:val="Heading1"/>
        <w:rPr>
          <w:rFonts w:ascii="Arial" w:hAnsi="Arial" w:cs="Arial"/>
          <w:sz w:val="22"/>
          <w:szCs w:val="22"/>
        </w:rPr>
      </w:pPr>
      <w:bookmarkStart w:id="4" w:name="_Toc234664256"/>
      <w:r w:rsidRPr="00757EA4">
        <w:rPr>
          <w:rFonts w:ascii="Arial" w:hAnsi="Arial" w:cs="Arial"/>
          <w:sz w:val="22"/>
          <w:szCs w:val="22"/>
        </w:rPr>
        <w:t>4. Consequences of Coronary Heart Disease within the Community</w:t>
      </w:r>
      <w:bookmarkEnd w:id="4"/>
      <w:r w:rsidRPr="00757EA4">
        <w:rPr>
          <w:rFonts w:ascii="Arial" w:hAnsi="Arial" w:cs="Arial"/>
          <w:sz w:val="22"/>
          <w:szCs w:val="22"/>
        </w:rPr>
        <w:t xml:space="preserve"> </w:t>
      </w:r>
    </w:p>
    <w:p w14:paraId="2ED84E49" w14:textId="77777777" w:rsidR="002E633D" w:rsidRPr="00757EA4" w:rsidRDefault="002E633D" w:rsidP="002E633D">
      <w:pPr>
        <w:rPr>
          <w:rFonts w:ascii="Arial" w:hAnsi="Arial" w:cs="Arial"/>
          <w:sz w:val="22"/>
        </w:rPr>
      </w:pPr>
      <w:r w:rsidRPr="00757EA4">
        <w:rPr>
          <w:rFonts w:ascii="Arial" w:hAnsi="Arial" w:cs="Arial"/>
          <w:sz w:val="22"/>
        </w:rPr>
        <w:t>Chronic, it puts coronary heart disease (CHD) at the heart of the problem for the individual, family, community and health services with its long-term management needs. In people, CHD often affects their quality of life by causing angina, shortness of breath, fatigue and limited mobility, and it can lead to recurrent heart attacks, which can lead to more disability, premature death, and inability to work. Depression and anxiety are also frequent after myocardial infarction, which has a negative impact on recovery, treatment adherence and so on</w:t>
      </w:r>
      <w:r w:rsidR="00C26408" w:rsidRPr="00C26408">
        <w:t xml:space="preserve"> </w:t>
      </w:r>
      <w:r w:rsidR="00C26408" w:rsidRPr="00C26408">
        <w:rPr>
          <w:rFonts w:ascii="Arial" w:hAnsi="Arial" w:cs="Arial"/>
          <w:sz w:val="22"/>
        </w:rPr>
        <w:t xml:space="preserve">(Nicholson, </w:t>
      </w:r>
      <w:proofErr w:type="spellStart"/>
      <w:r w:rsidR="00C26408" w:rsidRPr="00C26408">
        <w:rPr>
          <w:rFonts w:ascii="Arial" w:hAnsi="Arial" w:cs="Arial"/>
          <w:sz w:val="22"/>
        </w:rPr>
        <w:t>Kuper</w:t>
      </w:r>
      <w:proofErr w:type="spellEnd"/>
      <w:r w:rsidR="00C26408" w:rsidRPr="00C26408">
        <w:rPr>
          <w:rFonts w:ascii="Arial" w:hAnsi="Arial" w:cs="Arial"/>
          <w:sz w:val="22"/>
        </w:rPr>
        <w:t xml:space="preserve"> and Hemingway, 2006)</w:t>
      </w:r>
      <w:r w:rsidRPr="00757EA4">
        <w:rPr>
          <w:rFonts w:ascii="Arial" w:hAnsi="Arial" w:cs="Arial"/>
          <w:sz w:val="22"/>
        </w:rPr>
        <w:t>.</w:t>
      </w:r>
    </w:p>
    <w:p w14:paraId="3B400516" w14:textId="77777777" w:rsidR="002E3735" w:rsidRDefault="002E633D" w:rsidP="002E3735">
      <w:pPr>
        <w:ind w:firstLine="720"/>
        <w:rPr>
          <w:rFonts w:ascii="Arial" w:hAnsi="Arial" w:cs="Arial"/>
          <w:sz w:val="22"/>
        </w:rPr>
      </w:pPr>
      <w:r w:rsidRPr="00757EA4">
        <w:rPr>
          <w:rFonts w:ascii="Arial" w:hAnsi="Arial" w:cs="Arial"/>
          <w:sz w:val="22"/>
        </w:rPr>
        <w:t>The disease also has significant impact on families as they are required to take on informal care and often feel emotional distress, changes in lifestyle, and financial pressures due to a loss of income or an increase in health care expenses. This could have an impact on the physical and psychological health of carers in the long-term</w:t>
      </w:r>
      <w:r w:rsidR="00C26408" w:rsidRPr="00C26408">
        <w:t xml:space="preserve"> </w:t>
      </w:r>
      <w:r w:rsidR="00C26408" w:rsidRPr="00C26408">
        <w:rPr>
          <w:rFonts w:ascii="Arial" w:hAnsi="Arial" w:cs="Arial"/>
          <w:sz w:val="22"/>
        </w:rPr>
        <w:t>(</w:t>
      </w:r>
      <w:proofErr w:type="spellStart"/>
      <w:r w:rsidR="00C26408" w:rsidRPr="00C26408">
        <w:rPr>
          <w:rFonts w:ascii="Arial" w:hAnsi="Arial" w:cs="Arial"/>
          <w:sz w:val="22"/>
        </w:rPr>
        <w:t>Khandaker</w:t>
      </w:r>
      <w:proofErr w:type="spellEnd"/>
      <w:r w:rsidR="00C26408" w:rsidRPr="00C26408">
        <w:rPr>
          <w:rFonts w:ascii="Arial" w:hAnsi="Arial" w:cs="Arial"/>
          <w:sz w:val="22"/>
        </w:rPr>
        <w:t xml:space="preserve"> et al., 2019)</w:t>
      </w:r>
      <w:r w:rsidRPr="00757EA4">
        <w:rPr>
          <w:rFonts w:ascii="Arial" w:hAnsi="Arial" w:cs="Arial"/>
          <w:sz w:val="22"/>
        </w:rPr>
        <w:t>.</w:t>
      </w:r>
    </w:p>
    <w:p w14:paraId="220FEA2C" w14:textId="77777777" w:rsidR="002E3735" w:rsidRDefault="002E633D" w:rsidP="002E3735">
      <w:pPr>
        <w:ind w:firstLine="720"/>
        <w:rPr>
          <w:rFonts w:ascii="Arial" w:hAnsi="Arial" w:cs="Arial"/>
          <w:sz w:val="22"/>
        </w:rPr>
      </w:pPr>
      <w:r w:rsidRPr="00757EA4">
        <w:rPr>
          <w:rFonts w:ascii="Arial" w:hAnsi="Arial" w:cs="Arial"/>
          <w:sz w:val="22"/>
        </w:rPr>
        <w:t>At a community level, CHD is a factor in health inequalities as it is more likely to occur in socioeconomically disadvantaged populations, where smoking, obesity and hypertension are more prevalent. The result is that costs to the economy of productivity losses, sickness absence and early retirement and increased dependency on social support services</w:t>
      </w:r>
      <w:r w:rsidR="00C26408" w:rsidRPr="00C26408">
        <w:t xml:space="preserve"> </w:t>
      </w:r>
      <w:r w:rsidR="00C26408" w:rsidRPr="00C26408">
        <w:rPr>
          <w:rFonts w:ascii="Arial" w:hAnsi="Arial" w:cs="Arial"/>
          <w:sz w:val="22"/>
        </w:rPr>
        <w:t>(BHF, 2025)</w:t>
      </w:r>
      <w:r w:rsidR="002E3735">
        <w:rPr>
          <w:rFonts w:ascii="Arial" w:hAnsi="Arial" w:cs="Arial"/>
          <w:sz w:val="22"/>
        </w:rPr>
        <w:t>.</w:t>
      </w:r>
    </w:p>
    <w:p w14:paraId="579750E8" w14:textId="77777777" w:rsidR="002E633D" w:rsidRPr="00757EA4" w:rsidRDefault="002E633D" w:rsidP="002E3735">
      <w:pPr>
        <w:ind w:firstLine="720"/>
        <w:rPr>
          <w:rFonts w:ascii="Arial" w:hAnsi="Arial" w:cs="Arial"/>
          <w:sz w:val="22"/>
        </w:rPr>
      </w:pPr>
      <w:r w:rsidRPr="00757EA4">
        <w:rPr>
          <w:rFonts w:ascii="Arial" w:hAnsi="Arial" w:cs="Arial"/>
          <w:sz w:val="22"/>
        </w:rPr>
        <w:t xml:space="preserve">This also has a substantial effect on health and social care services. CHD leads to high volume of consultations with GP, emergency admissions, diagnostic testing and procedures for interventional cardiology, and follow-up, all of which impose a burden on cardiology services and NHS resources. Cardiovascular disease continues to be one of the UK's biggest drivers of hospital activity and healthcare costs according to the British Heart Foundation. An aging population, however, coupled with an increasing </w:t>
      </w:r>
      <w:proofErr w:type="spellStart"/>
      <w:r w:rsidRPr="00757EA4">
        <w:rPr>
          <w:rFonts w:ascii="Arial" w:hAnsi="Arial" w:cs="Arial"/>
          <w:sz w:val="22"/>
        </w:rPr>
        <w:t>multimorbid</w:t>
      </w:r>
      <w:proofErr w:type="spellEnd"/>
      <w:r w:rsidRPr="00757EA4">
        <w:rPr>
          <w:rFonts w:ascii="Arial" w:hAnsi="Arial" w:cs="Arial"/>
          <w:sz w:val="22"/>
        </w:rPr>
        <w:t xml:space="preserve"> patient population, results in a need for more patients to be in need of long-term cardiovascular management. As a result, despite improvements in care and falling death rates, the need for integrated cardiovascular services remains high and workforce and financial pressures continue to be a challenge across the NHS</w:t>
      </w:r>
      <w:r w:rsidR="00C26408" w:rsidRPr="00C26408">
        <w:t xml:space="preserve"> </w:t>
      </w:r>
      <w:r w:rsidR="00C26408" w:rsidRPr="00C26408">
        <w:rPr>
          <w:rFonts w:ascii="Arial" w:hAnsi="Arial" w:cs="Arial"/>
          <w:sz w:val="22"/>
        </w:rPr>
        <w:t>(Hall et al., 2024)</w:t>
      </w:r>
      <w:r w:rsidRPr="00757EA4">
        <w:rPr>
          <w:rFonts w:ascii="Arial" w:hAnsi="Arial" w:cs="Arial"/>
          <w:sz w:val="22"/>
        </w:rPr>
        <w:t>.</w:t>
      </w:r>
    </w:p>
    <w:p w14:paraId="6307B397" w14:textId="77777777" w:rsidR="002E633D" w:rsidRPr="00757EA4" w:rsidRDefault="002E633D" w:rsidP="002E633D">
      <w:pPr>
        <w:rPr>
          <w:rFonts w:ascii="Arial" w:hAnsi="Arial" w:cs="Arial"/>
          <w:sz w:val="22"/>
        </w:rPr>
      </w:pPr>
    </w:p>
    <w:p w14:paraId="3981837E" w14:textId="77777777" w:rsidR="002E633D" w:rsidRPr="00757EA4" w:rsidRDefault="002E633D" w:rsidP="002E633D">
      <w:pPr>
        <w:pStyle w:val="Heading1"/>
        <w:rPr>
          <w:rFonts w:ascii="Arial" w:hAnsi="Arial" w:cs="Arial"/>
          <w:sz w:val="22"/>
          <w:szCs w:val="22"/>
        </w:rPr>
      </w:pPr>
      <w:bookmarkStart w:id="5" w:name="_Toc234664257"/>
      <w:r w:rsidRPr="00757EA4">
        <w:rPr>
          <w:rFonts w:ascii="Arial" w:hAnsi="Arial" w:cs="Arial"/>
          <w:sz w:val="22"/>
          <w:szCs w:val="22"/>
        </w:rPr>
        <w:lastRenderedPageBreak/>
        <w:t>5. Health and Social Care Support Services</w:t>
      </w:r>
      <w:bookmarkEnd w:id="5"/>
      <w:r w:rsidRPr="00757EA4">
        <w:rPr>
          <w:rFonts w:ascii="Arial" w:hAnsi="Arial" w:cs="Arial"/>
          <w:sz w:val="22"/>
          <w:szCs w:val="22"/>
        </w:rPr>
        <w:t xml:space="preserve"> </w:t>
      </w:r>
    </w:p>
    <w:p w14:paraId="389E583C" w14:textId="77777777" w:rsidR="002E633D" w:rsidRPr="00757EA4" w:rsidRDefault="002E633D" w:rsidP="002E633D">
      <w:pPr>
        <w:rPr>
          <w:rFonts w:ascii="Arial" w:hAnsi="Arial" w:cs="Arial"/>
          <w:sz w:val="22"/>
        </w:rPr>
      </w:pPr>
      <w:r w:rsidRPr="00757EA4">
        <w:rPr>
          <w:rFonts w:ascii="Arial" w:hAnsi="Arial" w:cs="Arial"/>
          <w:sz w:val="22"/>
        </w:rPr>
        <w:t>Coordinated health and social care services are needed to effectively manage the medical treatment, rehabilitation and long-term self-management of coronary heart disease (CHD). The general practitioner (GP) is responsible for recognizing cardiovascular risk, prescribing medication, arranging follow-up visits and monitoring chronic conditions, and making referrals in primary care, while practice nurses are responsible for general repeat monitoring of blood pressure and cholesterol, lifestyle education and follow-up reviews. NHS Health Checks and community pharmacists continue to make a contribution with their role in identifying people with a high risk of heart and blood vessel disease and helping them to stay on their medicines and quit smoking</w:t>
      </w:r>
      <w:r w:rsidR="00C26408" w:rsidRPr="00C26408">
        <w:t xml:space="preserve"> </w:t>
      </w:r>
      <w:r w:rsidR="00C26408">
        <w:rPr>
          <w:rFonts w:ascii="Arial" w:hAnsi="Arial" w:cs="Arial"/>
          <w:sz w:val="22"/>
        </w:rPr>
        <w:t>(NHS</w:t>
      </w:r>
      <w:r w:rsidR="00C26408" w:rsidRPr="00C26408">
        <w:rPr>
          <w:rFonts w:ascii="Arial" w:hAnsi="Arial" w:cs="Arial"/>
          <w:sz w:val="22"/>
        </w:rPr>
        <w:t>, 2020)</w:t>
      </w:r>
      <w:r w:rsidRPr="00757EA4">
        <w:rPr>
          <w:rFonts w:ascii="Arial" w:hAnsi="Arial" w:cs="Arial"/>
          <w:sz w:val="22"/>
        </w:rPr>
        <w:t>.</w:t>
      </w:r>
    </w:p>
    <w:p w14:paraId="2DABB902" w14:textId="77777777" w:rsidR="002E3735" w:rsidRDefault="002E633D" w:rsidP="002E3735">
      <w:pPr>
        <w:ind w:firstLine="720"/>
        <w:rPr>
          <w:rFonts w:ascii="Arial" w:hAnsi="Arial" w:cs="Arial"/>
          <w:sz w:val="22"/>
        </w:rPr>
      </w:pPr>
      <w:r w:rsidRPr="00757EA4">
        <w:rPr>
          <w:rFonts w:ascii="Arial" w:hAnsi="Arial" w:cs="Arial"/>
          <w:sz w:val="22"/>
        </w:rPr>
        <w:t>In the secondary care setting, cardiologists undertake specialist investigations and interventions for the diagnosis and management of complex CHD with cardiac nurse specialists delivering patient education and clinical management. Diagnostic services such as coronary angiography and echocardiography can help make timely treatment decisions; and multidisciplinary cardiac rehabilitation programmes incorporate supervised exercise, psychological support and education to aid recovery, minimise recurrent cardiac events and contribute to a better quality of life</w:t>
      </w:r>
      <w:r w:rsidR="00C26408" w:rsidRPr="00C26408">
        <w:t xml:space="preserve"> </w:t>
      </w:r>
      <w:r w:rsidR="00C26408" w:rsidRPr="00C26408">
        <w:rPr>
          <w:rFonts w:ascii="Arial" w:hAnsi="Arial" w:cs="Arial"/>
          <w:sz w:val="22"/>
        </w:rPr>
        <w:t>(NICE, 2015</w:t>
      </w:r>
      <w:r w:rsidR="00C26408">
        <w:rPr>
          <w:rFonts w:ascii="Arial" w:hAnsi="Arial" w:cs="Arial"/>
          <w:sz w:val="22"/>
        </w:rPr>
        <w:t xml:space="preserve">; </w:t>
      </w:r>
      <w:r w:rsidR="00C26408" w:rsidRPr="00C26408">
        <w:rPr>
          <w:rFonts w:ascii="Arial" w:hAnsi="Arial" w:cs="Arial"/>
          <w:sz w:val="22"/>
        </w:rPr>
        <w:t>NICE.org, 2023)</w:t>
      </w:r>
      <w:r w:rsidRPr="00757EA4">
        <w:rPr>
          <w:rFonts w:ascii="Arial" w:hAnsi="Arial" w:cs="Arial"/>
          <w:sz w:val="22"/>
        </w:rPr>
        <w:t>.</w:t>
      </w:r>
    </w:p>
    <w:p w14:paraId="2FE558F2" w14:textId="77777777" w:rsidR="002E3735" w:rsidRDefault="002E633D" w:rsidP="002E3735">
      <w:pPr>
        <w:ind w:firstLine="720"/>
        <w:rPr>
          <w:rFonts w:ascii="Arial" w:hAnsi="Arial" w:cs="Arial"/>
          <w:sz w:val="22"/>
        </w:rPr>
      </w:pPr>
      <w:r w:rsidRPr="00757EA4">
        <w:rPr>
          <w:rFonts w:ascii="Arial" w:hAnsi="Arial" w:cs="Arial"/>
          <w:sz w:val="22"/>
        </w:rPr>
        <w:t>Community services are provided long term to help patients maintain healthy lifestyle behaviours in the form of dietitians, physiotherapists, exercise referral schemes and smoking cessation programmes. Social care services such as occupational therapists, social workers, home care, and welfare advisers help them to live independently, get them discharged safely and to community services, especially for older people unable to function well</w:t>
      </w:r>
      <w:r w:rsidR="00C26408" w:rsidRPr="00C26408">
        <w:t xml:space="preserve"> </w:t>
      </w:r>
      <w:r w:rsidR="00C26408" w:rsidRPr="00C26408">
        <w:rPr>
          <w:rFonts w:ascii="Arial" w:hAnsi="Arial" w:cs="Arial"/>
          <w:sz w:val="22"/>
        </w:rPr>
        <w:t>(NHS England, 2024)</w:t>
      </w:r>
      <w:r w:rsidR="002E3735">
        <w:rPr>
          <w:rFonts w:ascii="Arial" w:hAnsi="Arial" w:cs="Arial"/>
          <w:sz w:val="22"/>
        </w:rPr>
        <w:t>.</w:t>
      </w:r>
    </w:p>
    <w:p w14:paraId="0C91FFE1" w14:textId="77777777" w:rsidR="002E3735" w:rsidRDefault="002E633D" w:rsidP="002E3735">
      <w:pPr>
        <w:ind w:firstLine="720"/>
        <w:rPr>
          <w:rFonts w:ascii="Arial" w:hAnsi="Arial" w:cs="Arial"/>
          <w:sz w:val="22"/>
        </w:rPr>
      </w:pPr>
      <w:r w:rsidRPr="00757EA4">
        <w:rPr>
          <w:rFonts w:ascii="Arial" w:hAnsi="Arial" w:cs="Arial"/>
          <w:sz w:val="22"/>
        </w:rPr>
        <w:t>The patient education, emotional support, rehabilitation guidance, peer networks and practical advice that patient and carer groups can receive from voluntary organisations like Age UK, HEART UK and the British Heart Foundation, complement statutory services</w:t>
      </w:r>
      <w:r w:rsidR="00C26408" w:rsidRPr="00C26408">
        <w:t xml:space="preserve"> </w:t>
      </w:r>
      <w:r w:rsidR="00C26408" w:rsidRPr="00C26408">
        <w:rPr>
          <w:rFonts w:ascii="Arial" w:hAnsi="Arial" w:cs="Arial"/>
          <w:sz w:val="22"/>
        </w:rPr>
        <w:t>(British Heart Foundation, 2020)</w:t>
      </w:r>
      <w:r w:rsidR="002E3735">
        <w:rPr>
          <w:rFonts w:ascii="Arial" w:hAnsi="Arial" w:cs="Arial"/>
          <w:sz w:val="22"/>
        </w:rPr>
        <w:t>.</w:t>
      </w:r>
    </w:p>
    <w:p w14:paraId="5812048C" w14:textId="77777777" w:rsidR="002E633D" w:rsidRPr="00757EA4" w:rsidRDefault="002E633D" w:rsidP="002E3735">
      <w:pPr>
        <w:ind w:firstLine="720"/>
        <w:rPr>
          <w:rFonts w:ascii="Arial" w:hAnsi="Arial" w:cs="Arial"/>
          <w:sz w:val="22"/>
        </w:rPr>
      </w:pPr>
      <w:r w:rsidRPr="00757EA4">
        <w:rPr>
          <w:rFonts w:ascii="Arial" w:hAnsi="Arial" w:cs="Arial"/>
          <w:sz w:val="22"/>
        </w:rPr>
        <w:t>MDT working between GPs, cardiologists, nurses, dietitians, pharmacists, physiotherapists, occupational therapists and social workers is integrated and provides care that is person centred and coordinated. This collaboration optimizes care transitions, medication compliance, avoids unnecessary re-admissions, and optimizes long-term health results. But effective MDT care requires effective communication, and shared care planning/equitable access to rehabilitation across all population groups</w:t>
      </w:r>
      <w:r w:rsidR="00DC5D84" w:rsidRPr="00DC5D84">
        <w:t xml:space="preserve"> </w:t>
      </w:r>
      <w:r w:rsidR="00DC5D84" w:rsidRPr="00DC5D84">
        <w:rPr>
          <w:rFonts w:ascii="Arial" w:hAnsi="Arial" w:cs="Arial"/>
          <w:sz w:val="22"/>
        </w:rPr>
        <w:t>(NICE, 2015)</w:t>
      </w:r>
      <w:r w:rsidRPr="00757EA4">
        <w:rPr>
          <w:rFonts w:ascii="Arial" w:hAnsi="Arial" w:cs="Arial"/>
          <w:sz w:val="22"/>
        </w:rPr>
        <w:t>.</w:t>
      </w:r>
    </w:p>
    <w:p w14:paraId="46455656" w14:textId="77777777" w:rsidR="002E633D" w:rsidRPr="00757EA4" w:rsidRDefault="002E633D" w:rsidP="002E633D">
      <w:pPr>
        <w:rPr>
          <w:rFonts w:ascii="Arial" w:hAnsi="Arial" w:cs="Arial"/>
          <w:sz w:val="22"/>
        </w:rPr>
      </w:pPr>
    </w:p>
    <w:p w14:paraId="6D0DF529" w14:textId="77777777" w:rsidR="002E633D" w:rsidRPr="00757EA4" w:rsidRDefault="002E633D" w:rsidP="002E633D">
      <w:pPr>
        <w:pStyle w:val="Heading1"/>
        <w:rPr>
          <w:rFonts w:ascii="Arial" w:hAnsi="Arial" w:cs="Arial"/>
          <w:sz w:val="22"/>
          <w:szCs w:val="22"/>
        </w:rPr>
      </w:pPr>
      <w:bookmarkStart w:id="6" w:name="_Toc234664258"/>
      <w:r w:rsidRPr="00757EA4">
        <w:rPr>
          <w:rFonts w:ascii="Arial" w:hAnsi="Arial" w:cs="Arial"/>
          <w:sz w:val="22"/>
          <w:szCs w:val="22"/>
        </w:rPr>
        <w:lastRenderedPageBreak/>
        <w:t>6. Conclusion</w:t>
      </w:r>
      <w:bookmarkEnd w:id="6"/>
      <w:r w:rsidRPr="00757EA4">
        <w:rPr>
          <w:rFonts w:ascii="Arial" w:hAnsi="Arial" w:cs="Arial"/>
          <w:sz w:val="22"/>
          <w:szCs w:val="22"/>
        </w:rPr>
        <w:t xml:space="preserve"> </w:t>
      </w:r>
    </w:p>
    <w:p w14:paraId="4B831084" w14:textId="77777777" w:rsidR="002E633D" w:rsidRPr="00757EA4" w:rsidRDefault="002E633D" w:rsidP="002E633D">
      <w:pPr>
        <w:rPr>
          <w:rFonts w:ascii="Arial" w:hAnsi="Arial" w:cs="Arial"/>
          <w:sz w:val="22"/>
        </w:rPr>
      </w:pPr>
      <w:r w:rsidRPr="00757EA4">
        <w:rPr>
          <w:rFonts w:ascii="Arial" w:hAnsi="Arial" w:cs="Arial"/>
          <w:sz w:val="22"/>
        </w:rPr>
        <w:t>CVD is one of the most important public health issues in the UK due to its burden of disease, morbidity and socioeconomic burden. Epidemiological surveillance and clinical monitoring allow for early detection and identification of people at risk, so that they can be managed and helped to improve their situation. Treatment of advanced disease is much more expensive than prevention by risk factor modification. Moreover, coordinated multidisciplinary care improves the recovery, quality of life and minimizes recurrent cardiovascular events. Investment and continued efforts in prevention, access to health care with integrated cardiovascular services, and equity will be important to decrease the impact of CHD on the population in the future.</w:t>
      </w:r>
    </w:p>
    <w:p w14:paraId="7E1D8412" w14:textId="77777777" w:rsidR="002E633D" w:rsidRPr="00757EA4" w:rsidRDefault="002E633D" w:rsidP="00073CCE">
      <w:pPr>
        <w:pStyle w:val="Heading1"/>
        <w:ind w:left="0" w:firstLine="0"/>
        <w:rPr>
          <w:rFonts w:ascii="Arial" w:hAnsi="Arial" w:cs="Arial"/>
          <w:sz w:val="22"/>
          <w:szCs w:val="22"/>
        </w:rPr>
      </w:pPr>
    </w:p>
    <w:p w14:paraId="4D60AADD" w14:textId="77777777" w:rsidR="002E633D" w:rsidRPr="00757EA4" w:rsidRDefault="002E633D" w:rsidP="00073CCE">
      <w:pPr>
        <w:pStyle w:val="Heading1"/>
        <w:ind w:left="0" w:firstLine="0"/>
        <w:rPr>
          <w:rFonts w:ascii="Arial" w:hAnsi="Arial" w:cs="Arial"/>
          <w:sz w:val="22"/>
          <w:szCs w:val="22"/>
        </w:rPr>
      </w:pPr>
    </w:p>
    <w:p w14:paraId="1087B196" w14:textId="77777777" w:rsidR="0074789A" w:rsidRDefault="00E61475" w:rsidP="00073CCE">
      <w:pPr>
        <w:pStyle w:val="Heading1"/>
        <w:ind w:left="0" w:firstLine="0"/>
        <w:rPr>
          <w:rFonts w:ascii="Arial" w:hAnsi="Arial" w:cs="Arial"/>
          <w:sz w:val="22"/>
          <w:szCs w:val="22"/>
        </w:rPr>
      </w:pPr>
      <w:r w:rsidRPr="00757EA4">
        <w:rPr>
          <w:rFonts w:ascii="Arial" w:hAnsi="Arial" w:cs="Arial"/>
          <w:sz w:val="22"/>
          <w:szCs w:val="22"/>
        </w:rPr>
        <w:br w:type="page"/>
      </w:r>
      <w:bookmarkStart w:id="7" w:name="_Toc234664259"/>
      <w:r w:rsidR="0082293E" w:rsidRPr="00757EA4">
        <w:rPr>
          <w:rFonts w:ascii="Arial" w:hAnsi="Arial" w:cs="Arial"/>
          <w:sz w:val="22"/>
          <w:szCs w:val="22"/>
        </w:rPr>
        <w:lastRenderedPageBreak/>
        <w:t>R</w:t>
      </w:r>
      <w:r w:rsidR="00757EA4" w:rsidRPr="00757EA4">
        <w:rPr>
          <w:rFonts w:ascii="Arial" w:hAnsi="Arial" w:cs="Arial"/>
          <w:sz w:val="22"/>
          <w:szCs w:val="22"/>
        </w:rPr>
        <w:t>eferences</w:t>
      </w:r>
      <w:bookmarkEnd w:id="7"/>
    </w:p>
    <w:p w14:paraId="40B47E0A"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BHF (2025). </w:t>
      </w:r>
      <w:r w:rsidRPr="008366FE">
        <w:rPr>
          <w:rFonts w:ascii="Arial" w:hAnsi="Arial" w:cs="Arial"/>
          <w:i/>
          <w:iCs/>
          <w:sz w:val="22"/>
          <w:szCs w:val="22"/>
        </w:rPr>
        <w:t>Socioeconomic inequalities in heart and circulatory diseases in</w:t>
      </w:r>
      <w:r w:rsidRPr="008366FE">
        <w:rPr>
          <w:rFonts w:ascii="Arial" w:hAnsi="Arial" w:cs="Arial"/>
          <w:sz w:val="22"/>
          <w:szCs w:val="22"/>
        </w:rPr>
        <w:t xml:space="preserve">. [online] Available at: </w:t>
      </w:r>
      <w:hyperlink r:id="rId8" w:history="1">
        <w:r w:rsidRPr="007245F1">
          <w:rPr>
            <w:rStyle w:val="Hyperlink"/>
            <w:rFonts w:ascii="Arial" w:hAnsi="Arial" w:cs="Arial"/>
            <w:sz w:val="22"/>
            <w:szCs w:val="22"/>
            <w:lang w:val="en-GB" w:eastAsia="ar-SA" w:bidi="ar-SA"/>
          </w:rPr>
          <w:t>https://www.bhf.org.uk/-/media/files/what-we-do/our-research/heart-statistics/health-inequalities/socioeconomic-inequalities-in-heart-and-circulatory-diseases-in-england.pdf?hash=3B377F604B335EA2D00593CA27A62837&amp;rev=e0ba4fbfb40d4e61a2fea9f955ef3070</w:t>
        </w:r>
      </w:hyperlink>
    </w:p>
    <w:p w14:paraId="67542876"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BHF (2026). </w:t>
      </w:r>
      <w:r w:rsidRPr="008366FE">
        <w:rPr>
          <w:rFonts w:ascii="Arial" w:hAnsi="Arial" w:cs="Arial"/>
          <w:i/>
          <w:iCs/>
          <w:sz w:val="22"/>
          <w:szCs w:val="22"/>
        </w:rPr>
        <w:t>UK Cardiovascular Disease Factsheet</w:t>
      </w:r>
      <w:r w:rsidRPr="008366FE">
        <w:rPr>
          <w:rFonts w:ascii="Arial" w:hAnsi="Arial" w:cs="Arial"/>
          <w:sz w:val="22"/>
          <w:szCs w:val="22"/>
        </w:rPr>
        <w:t xml:space="preserve">. [online] Available at: </w:t>
      </w:r>
      <w:hyperlink r:id="rId9" w:history="1">
        <w:r w:rsidRPr="007245F1">
          <w:rPr>
            <w:rStyle w:val="Hyperlink"/>
            <w:rFonts w:ascii="Arial" w:hAnsi="Arial" w:cs="Arial"/>
            <w:sz w:val="22"/>
            <w:szCs w:val="22"/>
            <w:lang w:val="en-GB" w:eastAsia="ar-SA" w:bidi="ar-SA"/>
          </w:rPr>
          <w:t>https://www.bhf.org.uk/-/media/files/for-professionals/research/heart-statistics/bhf-cvd-statistics-uk-factsheet-jan26.pdf?hash=836271B8610F86FF345146CAD695D6CA&amp;rev=26534e1487094dbd806277891baef112</w:t>
        </w:r>
      </w:hyperlink>
    </w:p>
    <w:p w14:paraId="22A1271D"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British Heart Foundation (2020). </w:t>
      </w:r>
      <w:r w:rsidRPr="008366FE">
        <w:rPr>
          <w:rFonts w:ascii="Arial" w:hAnsi="Arial" w:cs="Arial"/>
          <w:i/>
          <w:iCs/>
          <w:sz w:val="22"/>
          <w:szCs w:val="22"/>
        </w:rPr>
        <w:t>Cardiac rehabilitation: The big picture</w:t>
      </w:r>
      <w:r w:rsidRPr="008366FE">
        <w:rPr>
          <w:rFonts w:ascii="Arial" w:hAnsi="Arial" w:cs="Arial"/>
          <w:sz w:val="22"/>
          <w:szCs w:val="22"/>
        </w:rPr>
        <w:t xml:space="preserve">. [online] British Heart Foundation. Available at: </w:t>
      </w:r>
      <w:hyperlink r:id="rId10" w:history="1">
        <w:r w:rsidRPr="007245F1">
          <w:rPr>
            <w:rStyle w:val="Hyperlink"/>
            <w:rFonts w:ascii="Arial" w:hAnsi="Arial" w:cs="Arial"/>
            <w:sz w:val="22"/>
            <w:szCs w:val="22"/>
            <w:lang w:val="en-GB" w:eastAsia="ar-SA" w:bidi="ar-SA"/>
          </w:rPr>
          <w:t>https://www.bhf.org.uk/for-professionals/healthcare-professionals/data-and-statistics/cardiac-rehabilitation-the-big-picture</w:t>
        </w:r>
      </w:hyperlink>
    </w:p>
    <w:p w14:paraId="1B663AC3"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Conrad, N., </w:t>
      </w:r>
      <w:proofErr w:type="spellStart"/>
      <w:r w:rsidRPr="008366FE">
        <w:rPr>
          <w:rFonts w:ascii="Arial" w:hAnsi="Arial" w:cs="Arial"/>
          <w:sz w:val="22"/>
          <w:szCs w:val="22"/>
        </w:rPr>
        <w:t>Molenberghs</w:t>
      </w:r>
      <w:proofErr w:type="spellEnd"/>
      <w:r w:rsidRPr="008366FE">
        <w:rPr>
          <w:rFonts w:ascii="Arial" w:hAnsi="Arial" w:cs="Arial"/>
          <w:sz w:val="22"/>
          <w:szCs w:val="22"/>
        </w:rPr>
        <w:t xml:space="preserve">, G., Verbeke, G., </w:t>
      </w:r>
      <w:proofErr w:type="spellStart"/>
      <w:r w:rsidRPr="008366FE">
        <w:rPr>
          <w:rFonts w:ascii="Arial" w:hAnsi="Arial" w:cs="Arial"/>
          <w:sz w:val="22"/>
          <w:szCs w:val="22"/>
        </w:rPr>
        <w:t>Zaccardi</w:t>
      </w:r>
      <w:proofErr w:type="spellEnd"/>
      <w:r w:rsidRPr="008366FE">
        <w:rPr>
          <w:rFonts w:ascii="Arial" w:hAnsi="Arial" w:cs="Arial"/>
          <w:sz w:val="22"/>
          <w:szCs w:val="22"/>
        </w:rPr>
        <w:t xml:space="preserve">, F., Lawson, C., Friday, J.M., Su, H., </w:t>
      </w:r>
      <w:proofErr w:type="spellStart"/>
      <w:r w:rsidRPr="008366FE">
        <w:rPr>
          <w:rFonts w:ascii="Arial" w:hAnsi="Arial" w:cs="Arial"/>
          <w:sz w:val="22"/>
          <w:szCs w:val="22"/>
        </w:rPr>
        <w:t>Jhund</w:t>
      </w:r>
      <w:proofErr w:type="spellEnd"/>
      <w:r w:rsidRPr="008366FE">
        <w:rPr>
          <w:rFonts w:ascii="Arial" w:hAnsi="Arial" w:cs="Arial"/>
          <w:sz w:val="22"/>
          <w:szCs w:val="22"/>
        </w:rPr>
        <w:t xml:space="preserve">, P.S., </w:t>
      </w:r>
      <w:proofErr w:type="spellStart"/>
      <w:r w:rsidRPr="008366FE">
        <w:rPr>
          <w:rFonts w:ascii="Arial" w:hAnsi="Arial" w:cs="Arial"/>
          <w:sz w:val="22"/>
          <w:szCs w:val="22"/>
        </w:rPr>
        <w:t>Sattar</w:t>
      </w:r>
      <w:proofErr w:type="spellEnd"/>
      <w:r w:rsidRPr="008366FE">
        <w:rPr>
          <w:rFonts w:ascii="Arial" w:hAnsi="Arial" w:cs="Arial"/>
          <w:sz w:val="22"/>
          <w:szCs w:val="22"/>
        </w:rPr>
        <w:t xml:space="preserve">, N., </w:t>
      </w:r>
      <w:proofErr w:type="spellStart"/>
      <w:r w:rsidRPr="008366FE">
        <w:rPr>
          <w:rFonts w:ascii="Arial" w:hAnsi="Arial" w:cs="Arial"/>
          <w:sz w:val="22"/>
          <w:szCs w:val="22"/>
        </w:rPr>
        <w:t>Rahimi</w:t>
      </w:r>
      <w:proofErr w:type="spellEnd"/>
      <w:r w:rsidRPr="008366FE">
        <w:rPr>
          <w:rFonts w:ascii="Arial" w:hAnsi="Arial" w:cs="Arial"/>
          <w:sz w:val="22"/>
          <w:szCs w:val="22"/>
        </w:rPr>
        <w:t xml:space="preserve">, K., Cleland, J.G., </w:t>
      </w:r>
      <w:proofErr w:type="spellStart"/>
      <w:r w:rsidRPr="008366FE">
        <w:rPr>
          <w:rFonts w:ascii="Arial" w:hAnsi="Arial" w:cs="Arial"/>
          <w:sz w:val="22"/>
          <w:szCs w:val="22"/>
        </w:rPr>
        <w:t>Khunti</w:t>
      </w:r>
      <w:proofErr w:type="spellEnd"/>
      <w:r w:rsidRPr="008366FE">
        <w:rPr>
          <w:rFonts w:ascii="Arial" w:hAnsi="Arial" w:cs="Arial"/>
          <w:sz w:val="22"/>
          <w:szCs w:val="22"/>
        </w:rPr>
        <w:t xml:space="preserve">, K., </w:t>
      </w:r>
      <w:proofErr w:type="spellStart"/>
      <w:r w:rsidRPr="008366FE">
        <w:rPr>
          <w:rFonts w:ascii="Arial" w:hAnsi="Arial" w:cs="Arial"/>
          <w:sz w:val="22"/>
          <w:szCs w:val="22"/>
        </w:rPr>
        <w:t>Budts</w:t>
      </w:r>
      <w:proofErr w:type="spellEnd"/>
      <w:r w:rsidRPr="008366FE">
        <w:rPr>
          <w:rFonts w:ascii="Arial" w:hAnsi="Arial" w:cs="Arial"/>
          <w:sz w:val="22"/>
          <w:szCs w:val="22"/>
        </w:rPr>
        <w:t xml:space="preserve">, W. and McMurray, J.J.V. (2024). Trends in cardiovascular disease incidence among 22 million people in the UK over 20 years: Population based study. </w:t>
      </w:r>
      <w:r w:rsidRPr="008366FE">
        <w:rPr>
          <w:rFonts w:ascii="Arial" w:hAnsi="Arial" w:cs="Arial"/>
          <w:i/>
          <w:iCs/>
          <w:sz w:val="22"/>
          <w:szCs w:val="22"/>
        </w:rPr>
        <w:t>BMJ</w:t>
      </w:r>
      <w:r w:rsidRPr="008366FE">
        <w:rPr>
          <w:rFonts w:ascii="Arial" w:hAnsi="Arial" w:cs="Arial"/>
          <w:sz w:val="22"/>
          <w:szCs w:val="22"/>
        </w:rPr>
        <w:t xml:space="preserve">, [online] 385(385), p.e078523. </w:t>
      </w:r>
      <w:hyperlink r:id="rId11" w:history="1">
        <w:r w:rsidRPr="007245F1">
          <w:rPr>
            <w:rStyle w:val="Hyperlink"/>
            <w:rFonts w:ascii="Arial" w:hAnsi="Arial" w:cs="Arial"/>
            <w:sz w:val="22"/>
            <w:szCs w:val="22"/>
            <w:lang w:val="en-GB" w:eastAsia="ar-SA" w:bidi="ar-SA"/>
          </w:rPr>
          <w:t>https://doi:10.1136/bmj-2023-078523</w:t>
        </w:r>
      </w:hyperlink>
      <w:r w:rsidRPr="008366FE">
        <w:rPr>
          <w:rFonts w:ascii="Arial" w:hAnsi="Arial" w:cs="Arial"/>
          <w:sz w:val="22"/>
          <w:szCs w:val="22"/>
        </w:rPr>
        <w:t>.</w:t>
      </w:r>
    </w:p>
    <w:p w14:paraId="3BE8F94C"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Hall, M., Smith, L., Wu, J., Hayward, C., Batty, J.A., Lambert, P.C., Hemingway, H. and Gale, C.P. (2024). Health outcomes after myocardial infarction: A population study of 56 million people in England. </w:t>
      </w:r>
      <w:r w:rsidRPr="008366FE">
        <w:rPr>
          <w:rFonts w:ascii="Arial" w:hAnsi="Arial" w:cs="Arial"/>
          <w:i/>
          <w:iCs/>
          <w:sz w:val="22"/>
          <w:szCs w:val="22"/>
        </w:rPr>
        <w:t>PLOS Medicine</w:t>
      </w:r>
      <w:r w:rsidRPr="008366FE">
        <w:rPr>
          <w:rFonts w:ascii="Arial" w:hAnsi="Arial" w:cs="Arial"/>
          <w:sz w:val="22"/>
          <w:szCs w:val="22"/>
        </w:rPr>
        <w:t xml:space="preserve">, 21(2), pp.e1004343-e1004343. </w:t>
      </w:r>
      <w:hyperlink r:id="rId12" w:history="1">
        <w:r w:rsidRPr="007245F1">
          <w:rPr>
            <w:rStyle w:val="Hyperlink"/>
            <w:rFonts w:ascii="Arial" w:hAnsi="Arial" w:cs="Arial"/>
            <w:sz w:val="22"/>
            <w:szCs w:val="22"/>
            <w:lang w:val="en-GB" w:eastAsia="ar-SA" w:bidi="ar-SA"/>
          </w:rPr>
          <w:t>https://doi:10.1371/journal.pmed.1004343</w:t>
        </w:r>
      </w:hyperlink>
      <w:r w:rsidRPr="008366FE">
        <w:rPr>
          <w:rFonts w:ascii="Arial" w:hAnsi="Arial" w:cs="Arial"/>
          <w:sz w:val="22"/>
          <w:szCs w:val="22"/>
        </w:rPr>
        <w:t>.</w:t>
      </w:r>
    </w:p>
    <w:p w14:paraId="73B0A3C2" w14:textId="77777777" w:rsidR="008366FE" w:rsidRDefault="008366FE" w:rsidP="008366FE">
      <w:pPr>
        <w:pStyle w:val="NormalWeb"/>
        <w:spacing w:after="240" w:line="240" w:lineRule="auto"/>
        <w:ind w:left="720" w:hanging="720"/>
        <w:rPr>
          <w:rFonts w:ascii="Arial" w:hAnsi="Arial" w:cs="Arial"/>
          <w:sz w:val="22"/>
          <w:szCs w:val="22"/>
        </w:rPr>
      </w:pPr>
      <w:proofErr w:type="spellStart"/>
      <w:r w:rsidRPr="008366FE">
        <w:rPr>
          <w:rFonts w:ascii="Arial" w:hAnsi="Arial" w:cs="Arial"/>
          <w:sz w:val="22"/>
          <w:szCs w:val="22"/>
        </w:rPr>
        <w:t>Hippisley-Cox</w:t>
      </w:r>
      <w:proofErr w:type="spellEnd"/>
      <w:r w:rsidRPr="008366FE">
        <w:rPr>
          <w:rFonts w:ascii="Arial" w:hAnsi="Arial" w:cs="Arial"/>
          <w:sz w:val="22"/>
          <w:szCs w:val="22"/>
        </w:rPr>
        <w:t xml:space="preserve">, J., </w:t>
      </w:r>
      <w:proofErr w:type="spellStart"/>
      <w:r w:rsidRPr="008366FE">
        <w:rPr>
          <w:rFonts w:ascii="Arial" w:hAnsi="Arial" w:cs="Arial"/>
          <w:sz w:val="22"/>
          <w:szCs w:val="22"/>
        </w:rPr>
        <w:t>Coupland</w:t>
      </w:r>
      <w:proofErr w:type="spellEnd"/>
      <w:r w:rsidRPr="008366FE">
        <w:rPr>
          <w:rFonts w:ascii="Arial" w:hAnsi="Arial" w:cs="Arial"/>
          <w:sz w:val="22"/>
          <w:szCs w:val="22"/>
        </w:rPr>
        <w:t xml:space="preserve">, C. and Brindle, P. (2017). Development and validation of QRISK3 risk prediction algorithms to estimate future risk of cardiovascular disease: Prospective cohort study. </w:t>
      </w:r>
      <w:r w:rsidRPr="008366FE">
        <w:rPr>
          <w:rFonts w:ascii="Arial" w:hAnsi="Arial" w:cs="Arial"/>
          <w:i/>
          <w:iCs/>
          <w:sz w:val="22"/>
          <w:szCs w:val="22"/>
        </w:rPr>
        <w:t>BMJ</w:t>
      </w:r>
      <w:r w:rsidRPr="008366FE">
        <w:rPr>
          <w:rFonts w:ascii="Arial" w:hAnsi="Arial" w:cs="Arial"/>
          <w:sz w:val="22"/>
          <w:szCs w:val="22"/>
        </w:rPr>
        <w:t xml:space="preserve">, [online] 357(357), p.j2099. </w:t>
      </w:r>
      <w:hyperlink r:id="rId13" w:history="1">
        <w:r w:rsidRPr="007245F1">
          <w:rPr>
            <w:rStyle w:val="Hyperlink"/>
            <w:rFonts w:ascii="Arial" w:hAnsi="Arial" w:cs="Arial"/>
            <w:sz w:val="22"/>
            <w:szCs w:val="22"/>
            <w:lang w:val="en-GB" w:eastAsia="ar-SA" w:bidi="ar-SA"/>
          </w:rPr>
          <w:t>https://doi:10.1136/bmj.j2099</w:t>
        </w:r>
      </w:hyperlink>
      <w:r w:rsidRPr="008366FE">
        <w:rPr>
          <w:rFonts w:ascii="Arial" w:hAnsi="Arial" w:cs="Arial"/>
          <w:sz w:val="22"/>
          <w:szCs w:val="22"/>
        </w:rPr>
        <w:t>.</w:t>
      </w:r>
    </w:p>
    <w:p w14:paraId="5A8750CC" w14:textId="77777777" w:rsidR="008366FE" w:rsidRDefault="008366FE" w:rsidP="008366FE">
      <w:pPr>
        <w:pStyle w:val="NormalWeb"/>
        <w:spacing w:after="240" w:line="240" w:lineRule="auto"/>
        <w:ind w:left="720" w:hanging="720"/>
        <w:rPr>
          <w:rFonts w:ascii="Arial" w:hAnsi="Arial" w:cs="Arial"/>
          <w:sz w:val="22"/>
          <w:szCs w:val="22"/>
        </w:rPr>
      </w:pPr>
      <w:proofErr w:type="spellStart"/>
      <w:r w:rsidRPr="008366FE">
        <w:rPr>
          <w:rFonts w:ascii="Arial" w:hAnsi="Arial" w:cs="Arial"/>
          <w:sz w:val="22"/>
          <w:szCs w:val="22"/>
        </w:rPr>
        <w:t>Khandaker</w:t>
      </w:r>
      <w:proofErr w:type="spellEnd"/>
      <w:r w:rsidRPr="008366FE">
        <w:rPr>
          <w:rFonts w:ascii="Arial" w:hAnsi="Arial" w:cs="Arial"/>
          <w:sz w:val="22"/>
          <w:szCs w:val="22"/>
        </w:rPr>
        <w:t xml:space="preserve">, G.M., Zuber, V., Rees, J.M.B., Carvalho, L., Mason, A.M., Foley, C.N., </w:t>
      </w:r>
      <w:proofErr w:type="spellStart"/>
      <w:r w:rsidRPr="008366FE">
        <w:rPr>
          <w:rFonts w:ascii="Arial" w:hAnsi="Arial" w:cs="Arial"/>
          <w:sz w:val="22"/>
          <w:szCs w:val="22"/>
        </w:rPr>
        <w:t>Gkatzionis</w:t>
      </w:r>
      <w:proofErr w:type="spellEnd"/>
      <w:r w:rsidRPr="008366FE">
        <w:rPr>
          <w:rFonts w:ascii="Arial" w:hAnsi="Arial" w:cs="Arial"/>
          <w:sz w:val="22"/>
          <w:szCs w:val="22"/>
        </w:rPr>
        <w:t xml:space="preserve">, A., Jones, P.B. and Burgess, S. (2019). Shared mechanisms between coronary heart disease and depression: Findings from a large UK general population-based cohort. </w:t>
      </w:r>
      <w:r w:rsidRPr="008366FE">
        <w:rPr>
          <w:rFonts w:ascii="Arial" w:hAnsi="Arial" w:cs="Arial"/>
          <w:i/>
          <w:iCs/>
          <w:sz w:val="22"/>
          <w:szCs w:val="22"/>
        </w:rPr>
        <w:t>Molecular Psychiatry</w:t>
      </w:r>
      <w:r w:rsidRPr="008366FE">
        <w:rPr>
          <w:rFonts w:ascii="Arial" w:hAnsi="Arial" w:cs="Arial"/>
          <w:sz w:val="22"/>
          <w:szCs w:val="22"/>
        </w:rPr>
        <w:t xml:space="preserve">. </w:t>
      </w:r>
      <w:hyperlink r:id="rId14" w:history="1">
        <w:r w:rsidRPr="007245F1">
          <w:rPr>
            <w:rStyle w:val="Hyperlink"/>
            <w:rFonts w:ascii="Arial" w:hAnsi="Arial" w:cs="Arial"/>
            <w:sz w:val="22"/>
            <w:szCs w:val="22"/>
            <w:lang w:val="en-GB" w:eastAsia="ar-SA" w:bidi="ar-SA"/>
          </w:rPr>
          <w:t>https://doi:10.1038/s41380-019-0395-3</w:t>
        </w:r>
      </w:hyperlink>
      <w:r w:rsidRPr="008366FE">
        <w:rPr>
          <w:rFonts w:ascii="Arial" w:hAnsi="Arial" w:cs="Arial"/>
          <w:sz w:val="22"/>
          <w:szCs w:val="22"/>
        </w:rPr>
        <w:t>.</w:t>
      </w:r>
    </w:p>
    <w:p w14:paraId="14337D9A"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NHS (2020). </w:t>
      </w:r>
      <w:r w:rsidRPr="008366FE">
        <w:rPr>
          <w:rFonts w:ascii="Arial" w:hAnsi="Arial" w:cs="Arial"/>
          <w:i/>
          <w:iCs/>
          <w:sz w:val="22"/>
          <w:szCs w:val="22"/>
        </w:rPr>
        <w:t>Recovery - Coronary heart disease</w:t>
      </w:r>
      <w:r w:rsidRPr="008366FE">
        <w:rPr>
          <w:rFonts w:ascii="Arial" w:hAnsi="Arial" w:cs="Arial"/>
          <w:sz w:val="22"/>
          <w:szCs w:val="22"/>
        </w:rPr>
        <w:t xml:space="preserve">. [online] NHS. Available at: </w:t>
      </w:r>
      <w:hyperlink r:id="rId15" w:history="1">
        <w:r w:rsidRPr="007245F1">
          <w:rPr>
            <w:rStyle w:val="Hyperlink"/>
            <w:rFonts w:ascii="Arial" w:hAnsi="Arial" w:cs="Arial"/>
            <w:sz w:val="22"/>
            <w:szCs w:val="22"/>
            <w:lang w:val="en-GB" w:eastAsia="ar-SA" w:bidi="ar-SA"/>
          </w:rPr>
          <w:t>https://www.nhs.uk/conditions/coronary-heart-disease/recovery/</w:t>
        </w:r>
      </w:hyperlink>
    </w:p>
    <w:p w14:paraId="1666281B"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NHS (2024). </w:t>
      </w:r>
      <w:r w:rsidRPr="008366FE">
        <w:rPr>
          <w:rFonts w:ascii="Arial" w:hAnsi="Arial" w:cs="Arial"/>
          <w:i/>
          <w:iCs/>
          <w:sz w:val="22"/>
          <w:szCs w:val="22"/>
        </w:rPr>
        <w:t>Digital Platforms to Support Cardiac Rehabilitation: Early Value Assessment</w:t>
      </w:r>
      <w:r w:rsidRPr="008366FE">
        <w:rPr>
          <w:rFonts w:ascii="Arial" w:hAnsi="Arial" w:cs="Arial"/>
          <w:sz w:val="22"/>
          <w:szCs w:val="22"/>
        </w:rPr>
        <w:t xml:space="preserve">. [online] Available at: </w:t>
      </w:r>
      <w:hyperlink r:id="rId16" w:history="1">
        <w:r w:rsidRPr="007245F1">
          <w:rPr>
            <w:rStyle w:val="Hyperlink"/>
            <w:rFonts w:ascii="Arial" w:hAnsi="Arial" w:cs="Arial"/>
            <w:sz w:val="22"/>
            <w:szCs w:val="22"/>
            <w:lang w:val="en-GB" w:eastAsia="ar-SA" w:bidi="ar-SA"/>
          </w:rPr>
          <w:t>https://www.nice.org.uk/guidance/htg761/documents/final-scope-2</w:t>
        </w:r>
      </w:hyperlink>
      <w:r w:rsidRPr="008366FE">
        <w:rPr>
          <w:rFonts w:ascii="Arial" w:hAnsi="Arial" w:cs="Arial"/>
          <w:sz w:val="22"/>
          <w:szCs w:val="22"/>
        </w:rPr>
        <w:t>.</w:t>
      </w:r>
    </w:p>
    <w:p w14:paraId="681D5F42"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NHS England (2024). </w:t>
      </w:r>
      <w:r w:rsidRPr="008366FE">
        <w:rPr>
          <w:rFonts w:ascii="Arial" w:hAnsi="Arial" w:cs="Arial"/>
          <w:i/>
          <w:iCs/>
          <w:sz w:val="22"/>
          <w:szCs w:val="22"/>
        </w:rPr>
        <w:t>NHS England » Commissioning standards for cardiovascular rehabilitation</w:t>
      </w:r>
      <w:r w:rsidRPr="008366FE">
        <w:rPr>
          <w:rFonts w:ascii="Arial" w:hAnsi="Arial" w:cs="Arial"/>
          <w:sz w:val="22"/>
          <w:szCs w:val="22"/>
        </w:rPr>
        <w:t xml:space="preserve">. [online] England.nhs.uk. Available at: </w:t>
      </w:r>
      <w:hyperlink r:id="rId17" w:history="1">
        <w:r w:rsidRPr="007245F1">
          <w:rPr>
            <w:rStyle w:val="Hyperlink"/>
            <w:rFonts w:ascii="Arial" w:hAnsi="Arial" w:cs="Arial"/>
            <w:sz w:val="22"/>
            <w:szCs w:val="22"/>
            <w:lang w:val="en-GB" w:eastAsia="ar-SA" w:bidi="ar-SA"/>
          </w:rPr>
          <w:t>https://www.england.nhs.uk/long-read/commissioning-standards-for-cardiovascular-rehabilitation/</w:t>
        </w:r>
      </w:hyperlink>
    </w:p>
    <w:p w14:paraId="49DC63CF"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NICE (2010). </w:t>
      </w:r>
      <w:r w:rsidRPr="008366FE">
        <w:rPr>
          <w:rFonts w:ascii="Arial" w:hAnsi="Arial" w:cs="Arial"/>
          <w:i/>
          <w:iCs/>
          <w:sz w:val="22"/>
          <w:szCs w:val="22"/>
        </w:rPr>
        <w:t>1 Recommendations | Cardiovascular Disease Prevention | Guidance | NICE</w:t>
      </w:r>
      <w:r w:rsidRPr="008366FE">
        <w:rPr>
          <w:rFonts w:ascii="Arial" w:hAnsi="Arial" w:cs="Arial"/>
          <w:sz w:val="22"/>
          <w:szCs w:val="22"/>
        </w:rPr>
        <w:t xml:space="preserve">. [online] Www.nice.org.uk. Available at: </w:t>
      </w:r>
      <w:hyperlink r:id="rId18" w:history="1">
        <w:r w:rsidRPr="007245F1">
          <w:rPr>
            <w:rStyle w:val="Hyperlink"/>
            <w:rFonts w:ascii="Arial" w:hAnsi="Arial" w:cs="Arial"/>
            <w:sz w:val="22"/>
            <w:szCs w:val="22"/>
            <w:lang w:val="en-GB" w:eastAsia="ar-SA" w:bidi="ar-SA"/>
          </w:rPr>
          <w:t>https://www.nice.org.uk/guidance/ph25/chapter/recommendations</w:t>
        </w:r>
      </w:hyperlink>
    </w:p>
    <w:p w14:paraId="26EDC734"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lastRenderedPageBreak/>
        <w:t xml:space="preserve">NICE (2015). </w:t>
      </w:r>
      <w:r w:rsidRPr="008366FE">
        <w:rPr>
          <w:rFonts w:ascii="Arial" w:hAnsi="Arial" w:cs="Arial"/>
          <w:i/>
          <w:iCs/>
          <w:sz w:val="22"/>
          <w:szCs w:val="22"/>
        </w:rPr>
        <w:t>Quality Statement 2: Referral for Cardiac Rehabilitation | Secondary Prevention after a Myocardial Infarction | Quality Standards | NICE</w:t>
      </w:r>
      <w:r w:rsidRPr="008366FE">
        <w:rPr>
          <w:rFonts w:ascii="Arial" w:hAnsi="Arial" w:cs="Arial"/>
          <w:sz w:val="22"/>
          <w:szCs w:val="22"/>
        </w:rPr>
        <w:t xml:space="preserve">. [online] Www.nice.org.uk. Available at: </w:t>
      </w:r>
      <w:hyperlink r:id="rId19" w:history="1">
        <w:r w:rsidRPr="007245F1">
          <w:rPr>
            <w:rStyle w:val="Hyperlink"/>
            <w:rFonts w:ascii="Arial" w:hAnsi="Arial" w:cs="Arial"/>
            <w:sz w:val="22"/>
            <w:szCs w:val="22"/>
            <w:lang w:val="en-GB" w:eastAsia="ar-SA" w:bidi="ar-SA"/>
          </w:rPr>
          <w:t>https://www.nice.org.uk/guidance/qs99/chapter/Quality-statement-2-Referral-for-cardiac-rehabilitation</w:t>
        </w:r>
      </w:hyperlink>
    </w:p>
    <w:p w14:paraId="0AFFE8EA"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NICE (2023). </w:t>
      </w:r>
      <w:r w:rsidRPr="008366FE">
        <w:rPr>
          <w:rFonts w:ascii="Arial" w:hAnsi="Arial" w:cs="Arial"/>
          <w:i/>
          <w:iCs/>
          <w:sz w:val="22"/>
          <w:szCs w:val="22"/>
        </w:rPr>
        <w:t>Recommendations | Cardiovascular disease: Risk assessment and reduction, including lipid modification | Guidance | NICE</w:t>
      </w:r>
      <w:r w:rsidRPr="008366FE">
        <w:rPr>
          <w:rFonts w:ascii="Arial" w:hAnsi="Arial" w:cs="Arial"/>
          <w:sz w:val="22"/>
          <w:szCs w:val="22"/>
        </w:rPr>
        <w:t xml:space="preserve">. [online] Www.nice.org.uk. Available at: </w:t>
      </w:r>
      <w:hyperlink r:id="rId20" w:history="1">
        <w:r w:rsidRPr="007245F1">
          <w:rPr>
            <w:rStyle w:val="Hyperlink"/>
            <w:rFonts w:ascii="Arial" w:hAnsi="Arial" w:cs="Arial"/>
            <w:sz w:val="22"/>
            <w:szCs w:val="22"/>
            <w:lang w:val="en-GB" w:eastAsia="ar-SA" w:bidi="ar-SA"/>
          </w:rPr>
          <w:t>https://www.nice.org.uk/guidance/ng238/chapter/Recommendations</w:t>
        </w:r>
      </w:hyperlink>
    </w:p>
    <w:p w14:paraId="16971660"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NICE.org (2023). </w:t>
      </w:r>
      <w:r w:rsidRPr="008366FE">
        <w:rPr>
          <w:rFonts w:ascii="Arial" w:hAnsi="Arial" w:cs="Arial"/>
          <w:i/>
          <w:iCs/>
          <w:sz w:val="22"/>
          <w:szCs w:val="22"/>
        </w:rPr>
        <w:t>Quality statement 6: Cardiac rehabilitation | Chronic heart failure in adults | Quality standards | NICE</w:t>
      </w:r>
      <w:r w:rsidRPr="008366FE">
        <w:rPr>
          <w:rFonts w:ascii="Arial" w:hAnsi="Arial" w:cs="Arial"/>
          <w:sz w:val="22"/>
          <w:szCs w:val="22"/>
        </w:rPr>
        <w:t xml:space="preserve">. [online] Www.nice.org.uk. Available at: </w:t>
      </w:r>
      <w:hyperlink r:id="rId21" w:history="1">
        <w:r w:rsidRPr="007245F1">
          <w:rPr>
            <w:rStyle w:val="Hyperlink"/>
            <w:rFonts w:ascii="Arial" w:hAnsi="Arial" w:cs="Arial"/>
            <w:sz w:val="22"/>
            <w:szCs w:val="22"/>
            <w:lang w:val="en-GB" w:eastAsia="ar-SA" w:bidi="ar-SA"/>
          </w:rPr>
          <w:t>https://www.nice.org.uk/guidance/qs9/chapter/Quality-statement-6-Cardiac-rehabilitation</w:t>
        </w:r>
      </w:hyperlink>
    </w:p>
    <w:p w14:paraId="3D4231A6"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Nicholson, A., </w:t>
      </w:r>
      <w:proofErr w:type="spellStart"/>
      <w:r w:rsidRPr="008366FE">
        <w:rPr>
          <w:rFonts w:ascii="Arial" w:hAnsi="Arial" w:cs="Arial"/>
          <w:sz w:val="22"/>
          <w:szCs w:val="22"/>
        </w:rPr>
        <w:t>Kuper</w:t>
      </w:r>
      <w:proofErr w:type="spellEnd"/>
      <w:r w:rsidRPr="008366FE">
        <w:rPr>
          <w:rFonts w:ascii="Arial" w:hAnsi="Arial" w:cs="Arial"/>
          <w:sz w:val="22"/>
          <w:szCs w:val="22"/>
        </w:rPr>
        <w:t xml:space="preserve">, H. and Hemingway, H. (2006). Depression as an </w:t>
      </w:r>
      <w:proofErr w:type="spellStart"/>
      <w:r w:rsidRPr="008366FE">
        <w:rPr>
          <w:rFonts w:ascii="Arial" w:hAnsi="Arial" w:cs="Arial"/>
          <w:sz w:val="22"/>
          <w:szCs w:val="22"/>
        </w:rPr>
        <w:t>aetiologic</w:t>
      </w:r>
      <w:proofErr w:type="spellEnd"/>
      <w:r w:rsidRPr="008366FE">
        <w:rPr>
          <w:rFonts w:ascii="Arial" w:hAnsi="Arial" w:cs="Arial"/>
          <w:sz w:val="22"/>
          <w:szCs w:val="22"/>
        </w:rPr>
        <w:t xml:space="preserve"> and prognostic factor in coronary heart disease: A meta-analysis of 6362 events among 146 538 participants in 54 observational studies. </w:t>
      </w:r>
      <w:r w:rsidRPr="008366FE">
        <w:rPr>
          <w:rFonts w:ascii="Arial" w:hAnsi="Arial" w:cs="Arial"/>
          <w:i/>
          <w:iCs/>
          <w:sz w:val="22"/>
          <w:szCs w:val="22"/>
        </w:rPr>
        <w:t>European Heart Journal</w:t>
      </w:r>
      <w:r w:rsidRPr="008366FE">
        <w:rPr>
          <w:rFonts w:ascii="Arial" w:hAnsi="Arial" w:cs="Arial"/>
          <w:sz w:val="22"/>
          <w:szCs w:val="22"/>
        </w:rPr>
        <w:t xml:space="preserve">, 27(23), pp.2763–2774. </w:t>
      </w:r>
      <w:hyperlink r:id="rId22" w:history="1">
        <w:r w:rsidRPr="007245F1">
          <w:rPr>
            <w:rStyle w:val="Hyperlink"/>
            <w:rFonts w:ascii="Arial" w:hAnsi="Arial" w:cs="Arial"/>
            <w:sz w:val="22"/>
            <w:szCs w:val="22"/>
            <w:lang w:val="en-GB" w:eastAsia="ar-SA" w:bidi="ar-SA"/>
          </w:rPr>
          <w:t>https://doi:10.1093/eurheartj/ehl338</w:t>
        </w:r>
      </w:hyperlink>
      <w:r w:rsidRPr="008366FE">
        <w:rPr>
          <w:rFonts w:ascii="Arial" w:hAnsi="Arial" w:cs="Arial"/>
          <w:sz w:val="22"/>
          <w:szCs w:val="22"/>
        </w:rPr>
        <w:t>.</w:t>
      </w:r>
    </w:p>
    <w:p w14:paraId="2F777FCD"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Public Health England (2019). </w:t>
      </w:r>
      <w:r w:rsidRPr="008366FE">
        <w:rPr>
          <w:rFonts w:ascii="Arial" w:hAnsi="Arial" w:cs="Arial"/>
          <w:i/>
          <w:iCs/>
          <w:sz w:val="22"/>
          <w:szCs w:val="22"/>
        </w:rPr>
        <w:t>Health matters: Preventing cardiovascular disease</w:t>
      </w:r>
      <w:r w:rsidRPr="008366FE">
        <w:rPr>
          <w:rFonts w:ascii="Arial" w:hAnsi="Arial" w:cs="Arial"/>
          <w:sz w:val="22"/>
          <w:szCs w:val="22"/>
        </w:rPr>
        <w:t xml:space="preserve">. [online] GOV.UK. Available at: </w:t>
      </w:r>
      <w:hyperlink r:id="rId23" w:history="1">
        <w:r w:rsidRPr="007245F1">
          <w:rPr>
            <w:rStyle w:val="Hyperlink"/>
            <w:rFonts w:ascii="Arial" w:hAnsi="Arial" w:cs="Arial"/>
            <w:sz w:val="22"/>
            <w:szCs w:val="22"/>
            <w:lang w:val="en-GB" w:eastAsia="ar-SA" w:bidi="ar-SA"/>
          </w:rPr>
          <w:t>https://www.gov.uk/government/publications/health-matters-preventing-cardiovascular-disease/health-matters-preventing-cardiovascular-disease</w:t>
        </w:r>
      </w:hyperlink>
    </w:p>
    <w:p w14:paraId="166EB4CA" w14:textId="77777777" w:rsidR="008366FE" w:rsidRDefault="008366FE" w:rsidP="008366FE">
      <w:pPr>
        <w:pStyle w:val="NormalWeb"/>
        <w:spacing w:after="240" w:line="240" w:lineRule="auto"/>
        <w:ind w:left="720" w:hanging="720"/>
        <w:rPr>
          <w:rFonts w:ascii="Arial" w:hAnsi="Arial" w:cs="Arial"/>
          <w:sz w:val="22"/>
          <w:szCs w:val="22"/>
        </w:rPr>
      </w:pPr>
      <w:proofErr w:type="spellStart"/>
      <w:r w:rsidRPr="008366FE">
        <w:rPr>
          <w:rFonts w:ascii="Arial" w:hAnsi="Arial" w:cs="Arial"/>
          <w:sz w:val="22"/>
          <w:szCs w:val="22"/>
        </w:rPr>
        <w:t>Samarasekera</w:t>
      </w:r>
      <w:proofErr w:type="spellEnd"/>
      <w:r w:rsidRPr="008366FE">
        <w:rPr>
          <w:rFonts w:ascii="Arial" w:hAnsi="Arial" w:cs="Arial"/>
          <w:sz w:val="22"/>
          <w:szCs w:val="22"/>
        </w:rPr>
        <w:t xml:space="preserve">, E.J., Clark, C.E., Kaur, S., Patel, R.S. and Mills, J. (2023). Cardiovascular disease risk assessment and reduction: Summary of updated NICE guidance. </w:t>
      </w:r>
      <w:r w:rsidRPr="008366FE">
        <w:rPr>
          <w:rFonts w:ascii="Arial" w:hAnsi="Arial" w:cs="Arial"/>
          <w:i/>
          <w:iCs/>
          <w:sz w:val="22"/>
          <w:szCs w:val="22"/>
        </w:rPr>
        <w:t>BMJ</w:t>
      </w:r>
      <w:r w:rsidRPr="008366FE">
        <w:rPr>
          <w:rFonts w:ascii="Arial" w:hAnsi="Arial" w:cs="Arial"/>
          <w:sz w:val="22"/>
          <w:szCs w:val="22"/>
        </w:rPr>
        <w:t xml:space="preserve">, [online] 381(8385), p.p1028. </w:t>
      </w:r>
      <w:hyperlink r:id="rId24" w:history="1">
        <w:r w:rsidRPr="007245F1">
          <w:rPr>
            <w:rStyle w:val="Hyperlink"/>
            <w:rFonts w:ascii="Arial" w:hAnsi="Arial" w:cs="Arial"/>
            <w:sz w:val="22"/>
            <w:szCs w:val="22"/>
            <w:lang w:val="en-GB" w:eastAsia="ar-SA" w:bidi="ar-SA"/>
          </w:rPr>
          <w:t>https://doi:10.1136/bmj.p1028</w:t>
        </w:r>
      </w:hyperlink>
      <w:r w:rsidRPr="008366FE">
        <w:rPr>
          <w:rFonts w:ascii="Arial" w:hAnsi="Arial" w:cs="Arial"/>
          <w:sz w:val="22"/>
          <w:szCs w:val="22"/>
        </w:rPr>
        <w:t>.</w:t>
      </w:r>
    </w:p>
    <w:p w14:paraId="301A70A4"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Tanner, L., Kenny, R., Still, M., Ling, J., Pearson, F., Thompson, K. and Bhardwaj-Gosling, R. (2022). NHS Health Check programme: A rapid review update. </w:t>
      </w:r>
      <w:r w:rsidRPr="008366FE">
        <w:rPr>
          <w:rFonts w:ascii="Arial" w:hAnsi="Arial" w:cs="Arial"/>
          <w:i/>
          <w:iCs/>
          <w:sz w:val="22"/>
          <w:szCs w:val="22"/>
        </w:rPr>
        <w:t>BMJ Open</w:t>
      </w:r>
      <w:r w:rsidRPr="008366FE">
        <w:rPr>
          <w:rFonts w:ascii="Arial" w:hAnsi="Arial" w:cs="Arial"/>
          <w:sz w:val="22"/>
          <w:szCs w:val="22"/>
        </w:rPr>
        <w:t xml:space="preserve">, [online] 12(2), p.e052832. </w:t>
      </w:r>
      <w:hyperlink r:id="rId25" w:history="1">
        <w:r w:rsidRPr="007245F1">
          <w:rPr>
            <w:rStyle w:val="Hyperlink"/>
            <w:rFonts w:ascii="Arial" w:hAnsi="Arial" w:cs="Arial"/>
            <w:sz w:val="22"/>
            <w:szCs w:val="22"/>
            <w:lang w:val="en-GB" w:eastAsia="ar-SA" w:bidi="ar-SA"/>
          </w:rPr>
          <w:t>https://doi:10.1136/bmjopen-2021-052832</w:t>
        </w:r>
      </w:hyperlink>
      <w:r w:rsidRPr="008366FE">
        <w:rPr>
          <w:rFonts w:ascii="Arial" w:hAnsi="Arial" w:cs="Arial"/>
          <w:sz w:val="22"/>
          <w:szCs w:val="22"/>
        </w:rPr>
        <w:t>.</w:t>
      </w:r>
    </w:p>
    <w:p w14:paraId="01601375" w14:textId="77777777" w:rsidR="008366FE" w:rsidRDefault="008366FE" w:rsidP="008366FE">
      <w:pPr>
        <w:pStyle w:val="NormalWeb"/>
        <w:spacing w:after="240" w:line="240" w:lineRule="auto"/>
        <w:ind w:left="720" w:hanging="720"/>
        <w:rPr>
          <w:rFonts w:ascii="Arial" w:hAnsi="Arial" w:cs="Arial"/>
          <w:sz w:val="22"/>
          <w:szCs w:val="22"/>
        </w:rPr>
      </w:pPr>
      <w:r w:rsidRPr="008366FE">
        <w:rPr>
          <w:rFonts w:ascii="Arial" w:hAnsi="Arial" w:cs="Arial"/>
          <w:sz w:val="22"/>
          <w:szCs w:val="22"/>
        </w:rPr>
        <w:t xml:space="preserve">World (2025). </w:t>
      </w:r>
      <w:r w:rsidRPr="008366FE">
        <w:rPr>
          <w:rFonts w:ascii="Arial" w:hAnsi="Arial" w:cs="Arial"/>
          <w:i/>
          <w:iCs/>
          <w:sz w:val="22"/>
          <w:szCs w:val="22"/>
        </w:rPr>
        <w:t>Cardiovascular diseases (CVDs)</w:t>
      </w:r>
      <w:r w:rsidRPr="008366FE">
        <w:rPr>
          <w:rFonts w:ascii="Arial" w:hAnsi="Arial" w:cs="Arial"/>
          <w:sz w:val="22"/>
          <w:szCs w:val="22"/>
        </w:rPr>
        <w:t xml:space="preserve">. [online] Who.int. Available at: </w:t>
      </w:r>
      <w:hyperlink r:id="rId26" w:history="1">
        <w:r w:rsidRPr="007245F1">
          <w:rPr>
            <w:rStyle w:val="Hyperlink"/>
            <w:rFonts w:ascii="Arial" w:hAnsi="Arial" w:cs="Arial"/>
            <w:sz w:val="22"/>
            <w:szCs w:val="22"/>
            <w:lang w:val="en-GB" w:eastAsia="ar-SA" w:bidi="ar-SA"/>
          </w:rPr>
          <w:t>https://www.who.int/en/news-room/fact-sheets/detail/cardiovascular-diseases-%28cvds%29</w:t>
        </w:r>
      </w:hyperlink>
    </w:p>
    <w:p w14:paraId="5DD714BE" w14:textId="77777777" w:rsidR="008366FE" w:rsidRPr="008366FE" w:rsidRDefault="008366FE" w:rsidP="008366FE">
      <w:pPr>
        <w:pStyle w:val="NormalWeb"/>
        <w:spacing w:after="240" w:line="240" w:lineRule="auto"/>
        <w:ind w:left="720" w:hanging="720"/>
        <w:rPr>
          <w:rFonts w:ascii="Arial" w:hAnsi="Arial" w:cs="Arial"/>
          <w:sz w:val="22"/>
          <w:szCs w:val="22"/>
        </w:rPr>
      </w:pPr>
    </w:p>
    <w:p w14:paraId="1F43A16E" w14:textId="77777777" w:rsidR="008366FE" w:rsidRPr="008366FE" w:rsidRDefault="008366FE" w:rsidP="008366FE"/>
    <w:sectPr w:rsidR="008366FE" w:rsidRPr="008366FE">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31A54A" w14:textId="77777777" w:rsidR="007E381E" w:rsidRDefault="007E381E" w:rsidP="00A87747">
      <w:pPr>
        <w:spacing w:line="240" w:lineRule="auto"/>
      </w:pPr>
      <w:r>
        <w:separator/>
      </w:r>
    </w:p>
  </w:endnote>
  <w:endnote w:type="continuationSeparator" w:id="0">
    <w:p w14:paraId="7036E376" w14:textId="77777777" w:rsidR="007E381E" w:rsidRDefault="007E381E"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roid Sans">
    <w:panose1 w:val="020B0604020202020204"/>
    <w:charset w:val="80"/>
    <w:family w:val="auto"/>
    <w:pitch w:val="variable"/>
  </w:font>
  <w:font w:name="OpenSymbol">
    <w:altName w:val="Arial Unicode MS"/>
    <w:panose1 w:val="020B0604020202020204"/>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panose1 w:val="020B0604020202020204"/>
    <w:charset w:val="80"/>
    <w:family w:val="roman"/>
    <w:pitch w:val="variable"/>
  </w:font>
  <w:font w:name="DejaVu Sans Mono">
    <w:panose1 w:val="020B0604020202020204"/>
    <w:charset w:val="80"/>
    <w:family w:val="modern"/>
    <w:pitch w:val="default"/>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B9241B" w14:textId="77777777" w:rsidR="008D5FF8" w:rsidRDefault="008D5F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E31B6E" w14:textId="77777777" w:rsidR="00A87747" w:rsidRDefault="00A87747">
    <w:pPr>
      <w:pStyle w:val="Footer"/>
      <w:jc w:val="center"/>
    </w:pPr>
    <w:r>
      <w:fldChar w:fldCharType="begin"/>
    </w:r>
    <w:r>
      <w:instrText xml:space="preserve"> PAGE   \* MERGEFORMAT </w:instrText>
    </w:r>
    <w:r>
      <w:fldChar w:fldCharType="separate"/>
    </w:r>
    <w:r w:rsidR="007E381E">
      <w:rPr>
        <w:noProof/>
      </w:rPr>
      <w:t>1</w:t>
    </w:r>
    <w:r>
      <w:rPr>
        <w:noProof/>
      </w:rPr>
      <w:fldChar w:fldCharType="end"/>
    </w:r>
  </w:p>
  <w:p w14:paraId="51A0039B" w14:textId="77777777" w:rsidR="00A87747" w:rsidRDefault="00A877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AC3B99" w14:textId="77777777" w:rsidR="008D5FF8" w:rsidRDefault="008D5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A04BC8" w14:textId="77777777" w:rsidR="007E381E" w:rsidRDefault="007E381E" w:rsidP="00A87747">
      <w:pPr>
        <w:spacing w:line="240" w:lineRule="auto"/>
      </w:pPr>
      <w:r>
        <w:separator/>
      </w:r>
    </w:p>
  </w:footnote>
  <w:footnote w:type="continuationSeparator" w:id="0">
    <w:p w14:paraId="711A4914" w14:textId="77777777" w:rsidR="007E381E" w:rsidRDefault="007E381E" w:rsidP="00A87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CCF305" w14:textId="77777777" w:rsidR="008D5FF8" w:rsidRDefault="008D5F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A0BDF1" w14:textId="77777777" w:rsidR="008D5FF8" w:rsidRDefault="008D5F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D68D44" w14:textId="77777777" w:rsidR="008D5FF8" w:rsidRDefault="008D5F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953007">
    <w:abstractNumId w:val="0"/>
  </w:num>
  <w:num w:numId="2" w16cid:durableId="946888084">
    <w:abstractNumId w:val="1"/>
  </w:num>
  <w:num w:numId="3" w16cid:durableId="1111128917">
    <w:abstractNumId w:val="10"/>
  </w:num>
  <w:num w:numId="4" w16cid:durableId="1296371500">
    <w:abstractNumId w:val="24"/>
  </w:num>
  <w:num w:numId="5" w16cid:durableId="1035815644">
    <w:abstractNumId w:val="9"/>
  </w:num>
  <w:num w:numId="6" w16cid:durableId="652876246">
    <w:abstractNumId w:val="23"/>
  </w:num>
  <w:num w:numId="7" w16cid:durableId="1398551984">
    <w:abstractNumId w:val="27"/>
  </w:num>
  <w:num w:numId="8" w16cid:durableId="1513226694">
    <w:abstractNumId w:val="19"/>
  </w:num>
  <w:num w:numId="9" w16cid:durableId="1029261858">
    <w:abstractNumId w:val="6"/>
  </w:num>
  <w:num w:numId="10" w16cid:durableId="1147943067">
    <w:abstractNumId w:val="16"/>
  </w:num>
  <w:num w:numId="11" w16cid:durableId="1361590064">
    <w:abstractNumId w:val="20"/>
  </w:num>
  <w:num w:numId="12" w16cid:durableId="1781684536">
    <w:abstractNumId w:val="11"/>
  </w:num>
  <w:num w:numId="13" w16cid:durableId="301160571">
    <w:abstractNumId w:val="4"/>
  </w:num>
  <w:num w:numId="14" w16cid:durableId="1098713459">
    <w:abstractNumId w:val="17"/>
  </w:num>
  <w:num w:numId="15" w16cid:durableId="726877090">
    <w:abstractNumId w:val="5"/>
  </w:num>
  <w:num w:numId="16" w16cid:durableId="1562978966">
    <w:abstractNumId w:val="22"/>
  </w:num>
  <w:num w:numId="17" w16cid:durableId="1893955784">
    <w:abstractNumId w:val="3"/>
  </w:num>
  <w:num w:numId="18" w16cid:durableId="1697656049">
    <w:abstractNumId w:val="18"/>
  </w:num>
  <w:num w:numId="19" w16cid:durableId="1659265503">
    <w:abstractNumId w:val="2"/>
  </w:num>
  <w:num w:numId="20" w16cid:durableId="4015727">
    <w:abstractNumId w:val="26"/>
  </w:num>
  <w:num w:numId="21" w16cid:durableId="1435708826">
    <w:abstractNumId w:val="13"/>
  </w:num>
  <w:num w:numId="22" w16cid:durableId="919481275">
    <w:abstractNumId w:val="12"/>
  </w:num>
  <w:num w:numId="23" w16cid:durableId="1873422217">
    <w:abstractNumId w:val="25"/>
  </w:num>
  <w:num w:numId="24" w16cid:durableId="2027519111">
    <w:abstractNumId w:val="28"/>
  </w:num>
  <w:num w:numId="25" w16cid:durableId="261498441">
    <w:abstractNumId w:val="7"/>
  </w:num>
  <w:num w:numId="26" w16cid:durableId="1878202050">
    <w:abstractNumId w:val="15"/>
  </w:num>
  <w:num w:numId="27" w16cid:durableId="1342784053">
    <w:abstractNumId w:val="14"/>
  </w:num>
  <w:num w:numId="28" w16cid:durableId="540946638">
    <w:abstractNumId w:val="21"/>
  </w:num>
  <w:num w:numId="29" w16cid:durableId="149568123">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formatting="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ixrAX2e2/ssAAAA"/>
  </w:docVars>
  <w:rsids>
    <w:rsidRoot w:val="008D09FF"/>
    <w:rsid w:val="000143B4"/>
    <w:rsid w:val="000157F7"/>
    <w:rsid w:val="000169FC"/>
    <w:rsid w:val="00026F62"/>
    <w:rsid w:val="0003210E"/>
    <w:rsid w:val="00033E1E"/>
    <w:rsid w:val="00043DD1"/>
    <w:rsid w:val="00044E03"/>
    <w:rsid w:val="00051B13"/>
    <w:rsid w:val="0005499F"/>
    <w:rsid w:val="00073CCE"/>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959E7"/>
    <w:rsid w:val="001A2386"/>
    <w:rsid w:val="001A6CE4"/>
    <w:rsid w:val="001B148D"/>
    <w:rsid w:val="001B293F"/>
    <w:rsid w:val="001B2B71"/>
    <w:rsid w:val="001B3DA5"/>
    <w:rsid w:val="001C4B30"/>
    <w:rsid w:val="001C6C19"/>
    <w:rsid w:val="001C7C69"/>
    <w:rsid w:val="001D1CAC"/>
    <w:rsid w:val="001D46FF"/>
    <w:rsid w:val="001F2F9D"/>
    <w:rsid w:val="002037AB"/>
    <w:rsid w:val="00203ADA"/>
    <w:rsid w:val="00207BF7"/>
    <w:rsid w:val="0021152B"/>
    <w:rsid w:val="00214B85"/>
    <w:rsid w:val="002157B6"/>
    <w:rsid w:val="00245957"/>
    <w:rsid w:val="00245FD9"/>
    <w:rsid w:val="0024714F"/>
    <w:rsid w:val="00251842"/>
    <w:rsid w:val="00255300"/>
    <w:rsid w:val="00267D0D"/>
    <w:rsid w:val="00273F83"/>
    <w:rsid w:val="002923C2"/>
    <w:rsid w:val="0029461D"/>
    <w:rsid w:val="002A218E"/>
    <w:rsid w:val="002B1C88"/>
    <w:rsid w:val="002B6D16"/>
    <w:rsid w:val="002C58C6"/>
    <w:rsid w:val="002C5976"/>
    <w:rsid w:val="002C5AFE"/>
    <w:rsid w:val="002C5DF6"/>
    <w:rsid w:val="002D5608"/>
    <w:rsid w:val="002E2445"/>
    <w:rsid w:val="002E3735"/>
    <w:rsid w:val="002E633D"/>
    <w:rsid w:val="002F3715"/>
    <w:rsid w:val="002F4C8F"/>
    <w:rsid w:val="00306373"/>
    <w:rsid w:val="003347F4"/>
    <w:rsid w:val="003407C3"/>
    <w:rsid w:val="00341F1F"/>
    <w:rsid w:val="00352949"/>
    <w:rsid w:val="00354A83"/>
    <w:rsid w:val="003559FD"/>
    <w:rsid w:val="00355AA6"/>
    <w:rsid w:val="0035740A"/>
    <w:rsid w:val="00363625"/>
    <w:rsid w:val="003644F3"/>
    <w:rsid w:val="00371215"/>
    <w:rsid w:val="0037352A"/>
    <w:rsid w:val="00377720"/>
    <w:rsid w:val="00380505"/>
    <w:rsid w:val="00390787"/>
    <w:rsid w:val="003915E6"/>
    <w:rsid w:val="003A21CE"/>
    <w:rsid w:val="003B2223"/>
    <w:rsid w:val="003C7F8B"/>
    <w:rsid w:val="003D2B08"/>
    <w:rsid w:val="003D6472"/>
    <w:rsid w:val="003E3CE3"/>
    <w:rsid w:val="003F321A"/>
    <w:rsid w:val="003F58CF"/>
    <w:rsid w:val="003F652C"/>
    <w:rsid w:val="003F6A34"/>
    <w:rsid w:val="004001C6"/>
    <w:rsid w:val="0040516B"/>
    <w:rsid w:val="00406F8A"/>
    <w:rsid w:val="004118BC"/>
    <w:rsid w:val="00412D04"/>
    <w:rsid w:val="00426EFB"/>
    <w:rsid w:val="004275E6"/>
    <w:rsid w:val="00430271"/>
    <w:rsid w:val="0043392D"/>
    <w:rsid w:val="00435F23"/>
    <w:rsid w:val="004510CC"/>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F292C"/>
    <w:rsid w:val="0060463A"/>
    <w:rsid w:val="00607926"/>
    <w:rsid w:val="0061173B"/>
    <w:rsid w:val="00615B24"/>
    <w:rsid w:val="00621B9C"/>
    <w:rsid w:val="006237FB"/>
    <w:rsid w:val="006302B6"/>
    <w:rsid w:val="006407FE"/>
    <w:rsid w:val="006438EC"/>
    <w:rsid w:val="006475FF"/>
    <w:rsid w:val="00654A6E"/>
    <w:rsid w:val="00661773"/>
    <w:rsid w:val="0066496D"/>
    <w:rsid w:val="00671F66"/>
    <w:rsid w:val="00674A76"/>
    <w:rsid w:val="00682A76"/>
    <w:rsid w:val="00682D74"/>
    <w:rsid w:val="00684916"/>
    <w:rsid w:val="006948E8"/>
    <w:rsid w:val="00697727"/>
    <w:rsid w:val="006A724A"/>
    <w:rsid w:val="006B65D2"/>
    <w:rsid w:val="006C51DB"/>
    <w:rsid w:val="006C5469"/>
    <w:rsid w:val="006C5728"/>
    <w:rsid w:val="006D07E0"/>
    <w:rsid w:val="006D6837"/>
    <w:rsid w:val="006D7C5E"/>
    <w:rsid w:val="006E177F"/>
    <w:rsid w:val="00705F33"/>
    <w:rsid w:val="007130F3"/>
    <w:rsid w:val="00720A6F"/>
    <w:rsid w:val="0072548E"/>
    <w:rsid w:val="00732B9B"/>
    <w:rsid w:val="00746466"/>
    <w:rsid w:val="0074789A"/>
    <w:rsid w:val="007515C4"/>
    <w:rsid w:val="00752C57"/>
    <w:rsid w:val="0075424F"/>
    <w:rsid w:val="00755616"/>
    <w:rsid w:val="00755E7B"/>
    <w:rsid w:val="00757EA4"/>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381E"/>
    <w:rsid w:val="007E5D62"/>
    <w:rsid w:val="007E61B3"/>
    <w:rsid w:val="007E79B8"/>
    <w:rsid w:val="007F543B"/>
    <w:rsid w:val="007F5B80"/>
    <w:rsid w:val="007F654B"/>
    <w:rsid w:val="00814EE5"/>
    <w:rsid w:val="0082293E"/>
    <w:rsid w:val="0083045C"/>
    <w:rsid w:val="0083094A"/>
    <w:rsid w:val="008309B1"/>
    <w:rsid w:val="00831ABD"/>
    <w:rsid w:val="008366FE"/>
    <w:rsid w:val="00841350"/>
    <w:rsid w:val="00853117"/>
    <w:rsid w:val="008645D9"/>
    <w:rsid w:val="0087207B"/>
    <w:rsid w:val="00872FDC"/>
    <w:rsid w:val="00884801"/>
    <w:rsid w:val="008934D6"/>
    <w:rsid w:val="008A4FEE"/>
    <w:rsid w:val="008A5AAC"/>
    <w:rsid w:val="008B1D5E"/>
    <w:rsid w:val="008B6785"/>
    <w:rsid w:val="008C4464"/>
    <w:rsid w:val="008C5894"/>
    <w:rsid w:val="008D09FF"/>
    <w:rsid w:val="008D5FF8"/>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507B"/>
    <w:rsid w:val="009D7AE7"/>
    <w:rsid w:val="009E0198"/>
    <w:rsid w:val="009E22EF"/>
    <w:rsid w:val="009E31A5"/>
    <w:rsid w:val="009F0254"/>
    <w:rsid w:val="00A008EC"/>
    <w:rsid w:val="00A0522A"/>
    <w:rsid w:val="00A06682"/>
    <w:rsid w:val="00A2542B"/>
    <w:rsid w:val="00A31089"/>
    <w:rsid w:val="00A60F2E"/>
    <w:rsid w:val="00A62491"/>
    <w:rsid w:val="00A630B9"/>
    <w:rsid w:val="00A654E6"/>
    <w:rsid w:val="00A7011E"/>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73A8"/>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8A7"/>
    <w:rsid w:val="00B10DA3"/>
    <w:rsid w:val="00B14771"/>
    <w:rsid w:val="00B179C2"/>
    <w:rsid w:val="00B17B92"/>
    <w:rsid w:val="00B20612"/>
    <w:rsid w:val="00B24C3C"/>
    <w:rsid w:val="00B2519F"/>
    <w:rsid w:val="00B313E9"/>
    <w:rsid w:val="00B31E9D"/>
    <w:rsid w:val="00B3225F"/>
    <w:rsid w:val="00B322E0"/>
    <w:rsid w:val="00B34CA4"/>
    <w:rsid w:val="00B462F2"/>
    <w:rsid w:val="00B465CF"/>
    <w:rsid w:val="00B46E41"/>
    <w:rsid w:val="00B51613"/>
    <w:rsid w:val="00B56352"/>
    <w:rsid w:val="00B57A65"/>
    <w:rsid w:val="00B61DB0"/>
    <w:rsid w:val="00B61FED"/>
    <w:rsid w:val="00B671A3"/>
    <w:rsid w:val="00B7065F"/>
    <w:rsid w:val="00B71230"/>
    <w:rsid w:val="00B74848"/>
    <w:rsid w:val="00B87943"/>
    <w:rsid w:val="00B91486"/>
    <w:rsid w:val="00B97BB3"/>
    <w:rsid w:val="00BA2FDA"/>
    <w:rsid w:val="00BA45F5"/>
    <w:rsid w:val="00BA67AD"/>
    <w:rsid w:val="00BC3B3A"/>
    <w:rsid w:val="00BD180E"/>
    <w:rsid w:val="00BD411F"/>
    <w:rsid w:val="00BE6EAE"/>
    <w:rsid w:val="00BF4E4E"/>
    <w:rsid w:val="00BF5CCF"/>
    <w:rsid w:val="00BF6034"/>
    <w:rsid w:val="00C00C12"/>
    <w:rsid w:val="00C106CE"/>
    <w:rsid w:val="00C14BE6"/>
    <w:rsid w:val="00C24BF1"/>
    <w:rsid w:val="00C26408"/>
    <w:rsid w:val="00C41329"/>
    <w:rsid w:val="00C42A3F"/>
    <w:rsid w:val="00C42CEC"/>
    <w:rsid w:val="00C433FF"/>
    <w:rsid w:val="00C47BCC"/>
    <w:rsid w:val="00C52007"/>
    <w:rsid w:val="00C53CCD"/>
    <w:rsid w:val="00C57D30"/>
    <w:rsid w:val="00C66F95"/>
    <w:rsid w:val="00C73ADD"/>
    <w:rsid w:val="00C74D7D"/>
    <w:rsid w:val="00C8669D"/>
    <w:rsid w:val="00C8743A"/>
    <w:rsid w:val="00C919FB"/>
    <w:rsid w:val="00CA59F2"/>
    <w:rsid w:val="00CC3413"/>
    <w:rsid w:val="00CC671B"/>
    <w:rsid w:val="00CD2539"/>
    <w:rsid w:val="00CE4E4E"/>
    <w:rsid w:val="00CE5BDB"/>
    <w:rsid w:val="00CF15D8"/>
    <w:rsid w:val="00CF5F42"/>
    <w:rsid w:val="00D20ECD"/>
    <w:rsid w:val="00D2166C"/>
    <w:rsid w:val="00D23569"/>
    <w:rsid w:val="00D30910"/>
    <w:rsid w:val="00D35421"/>
    <w:rsid w:val="00D4151E"/>
    <w:rsid w:val="00D444CD"/>
    <w:rsid w:val="00D50037"/>
    <w:rsid w:val="00D60D65"/>
    <w:rsid w:val="00D73C7F"/>
    <w:rsid w:val="00D81130"/>
    <w:rsid w:val="00D942AF"/>
    <w:rsid w:val="00D9463B"/>
    <w:rsid w:val="00DA3189"/>
    <w:rsid w:val="00DA3A21"/>
    <w:rsid w:val="00DA5D0B"/>
    <w:rsid w:val="00DB19D0"/>
    <w:rsid w:val="00DB5216"/>
    <w:rsid w:val="00DC13DA"/>
    <w:rsid w:val="00DC49BD"/>
    <w:rsid w:val="00DC5D84"/>
    <w:rsid w:val="00DC5F06"/>
    <w:rsid w:val="00DD45E3"/>
    <w:rsid w:val="00DD6A76"/>
    <w:rsid w:val="00DE0958"/>
    <w:rsid w:val="00DE64C4"/>
    <w:rsid w:val="00DF037E"/>
    <w:rsid w:val="00DF2060"/>
    <w:rsid w:val="00DF6304"/>
    <w:rsid w:val="00E000B9"/>
    <w:rsid w:val="00E039C5"/>
    <w:rsid w:val="00E03A4B"/>
    <w:rsid w:val="00E27145"/>
    <w:rsid w:val="00E315EE"/>
    <w:rsid w:val="00E37264"/>
    <w:rsid w:val="00E41AB6"/>
    <w:rsid w:val="00E5396E"/>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31831"/>
    <w:rsid w:val="00F320B3"/>
    <w:rsid w:val="00F35020"/>
    <w:rsid w:val="00F42555"/>
    <w:rsid w:val="00F52B0E"/>
    <w:rsid w:val="00F71CCB"/>
    <w:rsid w:val="00FA1905"/>
    <w:rsid w:val="00FA3835"/>
    <w:rsid w:val="00FB012C"/>
    <w:rsid w:val="00FB44DD"/>
    <w:rsid w:val="00FB5913"/>
    <w:rsid w:val="00FB5E6A"/>
    <w:rsid w:val="00FB636C"/>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96B79CE"/>
  <w15:chartTrackingRefBased/>
  <w15:docId w15:val="{2AEB78DE-CCAC-8348-B25A-39633E099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38339104">
      <w:bodyDiv w:val="1"/>
      <w:marLeft w:val="0"/>
      <w:marRight w:val="0"/>
      <w:marTop w:val="0"/>
      <w:marBottom w:val="0"/>
      <w:divBdr>
        <w:top w:val="none" w:sz="0" w:space="0" w:color="auto"/>
        <w:left w:val="none" w:sz="0" w:space="0" w:color="auto"/>
        <w:bottom w:val="none" w:sz="0" w:space="0" w:color="auto"/>
        <w:right w:val="none" w:sz="0" w:space="0" w:color="auto"/>
      </w:divBdr>
      <w:divsChild>
        <w:div w:id="807749749">
          <w:marLeft w:val="0"/>
          <w:marRight w:val="0"/>
          <w:marTop w:val="0"/>
          <w:marBottom w:val="0"/>
          <w:divBdr>
            <w:top w:val="none" w:sz="0" w:space="0" w:color="auto"/>
            <w:left w:val="none" w:sz="0" w:space="0" w:color="auto"/>
            <w:bottom w:val="none" w:sz="0" w:space="0" w:color="auto"/>
            <w:right w:val="none" w:sz="0" w:space="0" w:color="auto"/>
          </w:divBdr>
        </w:div>
      </w:divsChild>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10.1136/bmj.j2099" TargetMode="External"/><Relationship Id="rId18" Type="http://schemas.openxmlformats.org/officeDocument/2006/relationships/hyperlink" Target="https://www.nice.org.uk/guidance/ph25/chapter/recommendations" TargetMode="External"/><Relationship Id="rId26" Type="http://schemas.openxmlformats.org/officeDocument/2006/relationships/hyperlink" Target="https://www.who.int/en/news-room/fact-sheets/detail/cardiovascular-diseases-%28cvds%29" TargetMode="External"/><Relationship Id="rId3" Type="http://schemas.openxmlformats.org/officeDocument/2006/relationships/styles" Target="styles.xml"/><Relationship Id="rId21" Type="http://schemas.openxmlformats.org/officeDocument/2006/relationships/hyperlink" Target="https://www.nice.org.uk/guidance/qs9/chapter/Quality-statement-6-Cardiac-rehabilitatio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10.1371/journal.pmed.1004343" TargetMode="External"/><Relationship Id="rId17" Type="http://schemas.openxmlformats.org/officeDocument/2006/relationships/hyperlink" Target="https://www.england.nhs.uk/long-read/commissioning-standards-for-cardiovascular-rehabilitation/" TargetMode="External"/><Relationship Id="rId25" Type="http://schemas.openxmlformats.org/officeDocument/2006/relationships/hyperlink" Target="https://doi:10.1136/bmjopen-2021-05283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ice.org.uk/guidance/htg761/documents/final-scope-2" TargetMode="External"/><Relationship Id="rId20" Type="http://schemas.openxmlformats.org/officeDocument/2006/relationships/hyperlink" Target="https://www.nice.org.uk/guidance/ng238/chapter/Recommendation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10.1136/bmj-2023-078523" TargetMode="External"/><Relationship Id="rId24" Type="http://schemas.openxmlformats.org/officeDocument/2006/relationships/hyperlink" Target="https://doi:10.1136/bmj.p1028"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nhs.uk/conditions/coronary-heart-disease/recovery/" TargetMode="External"/><Relationship Id="rId23" Type="http://schemas.openxmlformats.org/officeDocument/2006/relationships/hyperlink" Target="https://www.gov.uk/government/publications/health-matters-preventing-cardiovascular-disease/health-matters-preventing-cardiovascular-disease" TargetMode="External"/><Relationship Id="rId28" Type="http://schemas.openxmlformats.org/officeDocument/2006/relationships/header" Target="header2.xml"/><Relationship Id="rId10" Type="http://schemas.openxmlformats.org/officeDocument/2006/relationships/hyperlink" Target="https://www.bhf.org.uk/for-professionals/healthcare-professionals/data-and-statistics/cardiac-rehabilitation-the-big-picture" TargetMode="External"/><Relationship Id="rId19" Type="http://schemas.openxmlformats.org/officeDocument/2006/relationships/hyperlink" Target="https://www.nice.org.uk/guidance/qs99/chapter/Quality-statement-2-Referral-for-cardiac-rehabilitation"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bhf.org.uk/-/media/files/for-professionals/research/heart-statistics/bhf-cvd-statistics-uk-factsheet-jan26.pdf?hash=836271B8610F86FF345146CAD695D6CA&amp;rev=26534e1487094dbd806277891baef112" TargetMode="External"/><Relationship Id="rId14" Type="http://schemas.openxmlformats.org/officeDocument/2006/relationships/hyperlink" Target="https://doi:10.1038/s41380-019-0395-3" TargetMode="External"/><Relationship Id="rId22" Type="http://schemas.openxmlformats.org/officeDocument/2006/relationships/hyperlink" Target="https://doi:10.1093/eurheartj/ehl338"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www.bhf.org.uk/-/media/files/what-we-do/our-research/heart-statistics/health-inequalities/socioeconomic-inequalities-in-heart-and-circulatory-diseases-in-england.pdf?hash=3B377F604B335EA2D00593CA27A62837&amp;rev=e0ba4fbfb40d4e61a2fea9f955ef30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AD406-5A9C-417C-BC33-61E74400EF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2816</Words>
  <Characters>16054</Characters>
  <Application>Microsoft Office Word</Application>
  <DocSecurity>0</DocSecurity>
  <Lines>133</Lines>
  <Paragraphs>37</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1. Introduction</vt:lpstr>
      <vt:lpstr>2. Approaches Used to Measure and Monitor Coronary Heart Disease</vt:lpstr>
      <vt:lpstr>3. How Coronary Heart Disease is Controlled </vt:lpstr>
      <vt:lpstr>4. Consequences of Coronary Heart Disease within the Community </vt:lpstr>
      <vt:lpstr>5. Health and Social Care Support Services </vt:lpstr>
      <vt:lpstr>6. Conclusion </vt:lpstr>
      <vt:lpstr/>
      <vt:lpstr/>
      <vt:lpstr>References</vt:lpstr>
    </vt:vector>
  </TitlesOfParts>
  <Company/>
  <LinksUpToDate>false</LinksUpToDate>
  <CharactersWithSpaces>18833</CharactersWithSpaces>
  <SharedDoc>false</SharedDoc>
  <HLinks>
    <vt:vector size="114" baseType="variant">
      <vt:variant>
        <vt:i4>7733369</vt:i4>
      </vt:variant>
      <vt:variant>
        <vt:i4>78</vt:i4>
      </vt:variant>
      <vt:variant>
        <vt:i4>0</vt:i4>
      </vt:variant>
      <vt:variant>
        <vt:i4>5</vt:i4>
      </vt:variant>
      <vt:variant>
        <vt:lpwstr>https://www.who.int/en/news-room/fact-sheets/detail/cardiovascular-diseases-%28cvds%29</vt:lpwstr>
      </vt:variant>
      <vt:variant>
        <vt:lpwstr/>
      </vt:variant>
      <vt:variant>
        <vt:i4>2293859</vt:i4>
      </vt:variant>
      <vt:variant>
        <vt:i4>75</vt:i4>
      </vt:variant>
      <vt:variant>
        <vt:i4>0</vt:i4>
      </vt:variant>
      <vt:variant>
        <vt:i4>5</vt:i4>
      </vt:variant>
      <vt:variant>
        <vt:lpwstr>https://doi:10.1136/bmjopen-2021-052832</vt:lpwstr>
      </vt:variant>
      <vt:variant>
        <vt:lpwstr/>
      </vt:variant>
      <vt:variant>
        <vt:i4>1638429</vt:i4>
      </vt:variant>
      <vt:variant>
        <vt:i4>72</vt:i4>
      </vt:variant>
      <vt:variant>
        <vt:i4>0</vt:i4>
      </vt:variant>
      <vt:variant>
        <vt:i4>5</vt:i4>
      </vt:variant>
      <vt:variant>
        <vt:lpwstr>https://doi:10.1136/bmj.p1028</vt:lpwstr>
      </vt:variant>
      <vt:variant>
        <vt:lpwstr/>
      </vt:variant>
      <vt:variant>
        <vt:i4>1638469</vt:i4>
      </vt:variant>
      <vt:variant>
        <vt:i4>69</vt:i4>
      </vt:variant>
      <vt:variant>
        <vt:i4>0</vt:i4>
      </vt:variant>
      <vt:variant>
        <vt:i4>5</vt:i4>
      </vt:variant>
      <vt:variant>
        <vt:lpwstr>https://www.gov.uk/government/publications/health-matters-preventing-cardiovascular-disease/health-matters-preventing-cardiovascular-disease</vt:lpwstr>
      </vt:variant>
      <vt:variant>
        <vt:lpwstr/>
      </vt:variant>
      <vt:variant>
        <vt:i4>1507329</vt:i4>
      </vt:variant>
      <vt:variant>
        <vt:i4>66</vt:i4>
      </vt:variant>
      <vt:variant>
        <vt:i4>0</vt:i4>
      </vt:variant>
      <vt:variant>
        <vt:i4>5</vt:i4>
      </vt:variant>
      <vt:variant>
        <vt:lpwstr>https://doi:10.1093/eurheartj/ehl338</vt:lpwstr>
      </vt:variant>
      <vt:variant>
        <vt:lpwstr/>
      </vt:variant>
      <vt:variant>
        <vt:i4>7340159</vt:i4>
      </vt:variant>
      <vt:variant>
        <vt:i4>63</vt:i4>
      </vt:variant>
      <vt:variant>
        <vt:i4>0</vt:i4>
      </vt:variant>
      <vt:variant>
        <vt:i4>5</vt:i4>
      </vt:variant>
      <vt:variant>
        <vt:lpwstr>https://www.nice.org.uk/guidance/qs9/chapter/Quality-statement-6-Cardiac-rehabilitation</vt:lpwstr>
      </vt:variant>
      <vt:variant>
        <vt:lpwstr/>
      </vt:variant>
      <vt:variant>
        <vt:i4>7929905</vt:i4>
      </vt:variant>
      <vt:variant>
        <vt:i4>60</vt:i4>
      </vt:variant>
      <vt:variant>
        <vt:i4>0</vt:i4>
      </vt:variant>
      <vt:variant>
        <vt:i4>5</vt:i4>
      </vt:variant>
      <vt:variant>
        <vt:lpwstr>https://www.nice.org.uk/guidance/ng238/chapter/Recommendations</vt:lpwstr>
      </vt:variant>
      <vt:variant>
        <vt:lpwstr/>
      </vt:variant>
      <vt:variant>
        <vt:i4>1048640</vt:i4>
      </vt:variant>
      <vt:variant>
        <vt:i4>57</vt:i4>
      </vt:variant>
      <vt:variant>
        <vt:i4>0</vt:i4>
      </vt:variant>
      <vt:variant>
        <vt:i4>5</vt:i4>
      </vt:variant>
      <vt:variant>
        <vt:lpwstr>https://www.nice.org.uk/guidance/qs99/chapter/Quality-statement-2-Referral-for-cardiac-rehabilitation</vt:lpwstr>
      </vt:variant>
      <vt:variant>
        <vt:lpwstr/>
      </vt:variant>
      <vt:variant>
        <vt:i4>6029384</vt:i4>
      </vt:variant>
      <vt:variant>
        <vt:i4>54</vt:i4>
      </vt:variant>
      <vt:variant>
        <vt:i4>0</vt:i4>
      </vt:variant>
      <vt:variant>
        <vt:i4>5</vt:i4>
      </vt:variant>
      <vt:variant>
        <vt:lpwstr>https://www.nice.org.uk/guidance/ph25/chapter/recommendations</vt:lpwstr>
      </vt:variant>
      <vt:variant>
        <vt:lpwstr/>
      </vt:variant>
      <vt:variant>
        <vt:i4>3735676</vt:i4>
      </vt:variant>
      <vt:variant>
        <vt:i4>51</vt:i4>
      </vt:variant>
      <vt:variant>
        <vt:i4>0</vt:i4>
      </vt:variant>
      <vt:variant>
        <vt:i4>5</vt:i4>
      </vt:variant>
      <vt:variant>
        <vt:lpwstr>https://www.england.nhs.uk/long-read/commissioning-standards-for-cardiovascular-rehabilitation/</vt:lpwstr>
      </vt:variant>
      <vt:variant>
        <vt:lpwstr/>
      </vt:variant>
      <vt:variant>
        <vt:i4>2424943</vt:i4>
      </vt:variant>
      <vt:variant>
        <vt:i4>48</vt:i4>
      </vt:variant>
      <vt:variant>
        <vt:i4>0</vt:i4>
      </vt:variant>
      <vt:variant>
        <vt:i4>5</vt:i4>
      </vt:variant>
      <vt:variant>
        <vt:lpwstr>https://www.nice.org.uk/guidance/htg761/documents/final-scope-2</vt:lpwstr>
      </vt:variant>
      <vt:variant>
        <vt:lpwstr/>
      </vt:variant>
      <vt:variant>
        <vt:i4>6619192</vt:i4>
      </vt:variant>
      <vt:variant>
        <vt:i4>45</vt:i4>
      </vt:variant>
      <vt:variant>
        <vt:i4>0</vt:i4>
      </vt:variant>
      <vt:variant>
        <vt:i4>5</vt:i4>
      </vt:variant>
      <vt:variant>
        <vt:lpwstr>https://www.nhs.uk/conditions/coronary-heart-disease/recovery/</vt:lpwstr>
      </vt:variant>
      <vt:variant>
        <vt:lpwstr/>
      </vt:variant>
      <vt:variant>
        <vt:i4>4390935</vt:i4>
      </vt:variant>
      <vt:variant>
        <vt:i4>42</vt:i4>
      </vt:variant>
      <vt:variant>
        <vt:i4>0</vt:i4>
      </vt:variant>
      <vt:variant>
        <vt:i4>5</vt:i4>
      </vt:variant>
      <vt:variant>
        <vt:lpwstr>https://doi:10.1038/s41380-019-0395-3</vt:lpwstr>
      </vt:variant>
      <vt:variant>
        <vt:lpwstr/>
      </vt:variant>
      <vt:variant>
        <vt:i4>1114119</vt:i4>
      </vt:variant>
      <vt:variant>
        <vt:i4>39</vt:i4>
      </vt:variant>
      <vt:variant>
        <vt:i4>0</vt:i4>
      </vt:variant>
      <vt:variant>
        <vt:i4>5</vt:i4>
      </vt:variant>
      <vt:variant>
        <vt:lpwstr>https://doi:10.1136/bmj.j2099</vt:lpwstr>
      </vt:variant>
      <vt:variant>
        <vt:lpwstr/>
      </vt:variant>
      <vt:variant>
        <vt:i4>458822</vt:i4>
      </vt:variant>
      <vt:variant>
        <vt:i4>36</vt:i4>
      </vt:variant>
      <vt:variant>
        <vt:i4>0</vt:i4>
      </vt:variant>
      <vt:variant>
        <vt:i4>5</vt:i4>
      </vt:variant>
      <vt:variant>
        <vt:lpwstr>https://doi:10.1371/journal.pmed.1004343</vt:lpwstr>
      </vt:variant>
      <vt:variant>
        <vt:lpwstr/>
      </vt:variant>
      <vt:variant>
        <vt:i4>2097266</vt:i4>
      </vt:variant>
      <vt:variant>
        <vt:i4>33</vt:i4>
      </vt:variant>
      <vt:variant>
        <vt:i4>0</vt:i4>
      </vt:variant>
      <vt:variant>
        <vt:i4>5</vt:i4>
      </vt:variant>
      <vt:variant>
        <vt:lpwstr>https://doi:10.1136/bmj-2023-078523</vt:lpwstr>
      </vt:variant>
      <vt:variant>
        <vt:lpwstr/>
      </vt:variant>
      <vt:variant>
        <vt:i4>4259922</vt:i4>
      </vt:variant>
      <vt:variant>
        <vt:i4>30</vt:i4>
      </vt:variant>
      <vt:variant>
        <vt:i4>0</vt:i4>
      </vt:variant>
      <vt:variant>
        <vt:i4>5</vt:i4>
      </vt:variant>
      <vt:variant>
        <vt:lpwstr>https://www.bhf.org.uk/for-professionals/healthcare-professionals/data-and-statistics/cardiac-rehabilitation-the-big-picture</vt:lpwstr>
      </vt:variant>
      <vt:variant>
        <vt:lpwstr/>
      </vt:variant>
      <vt:variant>
        <vt:i4>65631</vt:i4>
      </vt:variant>
      <vt:variant>
        <vt:i4>27</vt:i4>
      </vt:variant>
      <vt:variant>
        <vt:i4>0</vt:i4>
      </vt:variant>
      <vt:variant>
        <vt:i4>5</vt:i4>
      </vt:variant>
      <vt:variant>
        <vt:lpwstr>https://www.bhf.org.uk/-/media/files/for-professionals/research/heart-statistics/bhf-cvd-statistics-uk-factsheet-jan26.pdf?hash=836271B8610F86FF345146CAD695D6CA&amp;rev=26534e1487094dbd806277891baef112</vt:lpwstr>
      </vt:variant>
      <vt:variant>
        <vt:lpwstr/>
      </vt:variant>
      <vt:variant>
        <vt:i4>327701</vt:i4>
      </vt:variant>
      <vt:variant>
        <vt:i4>24</vt:i4>
      </vt:variant>
      <vt:variant>
        <vt:i4>0</vt:i4>
      </vt:variant>
      <vt:variant>
        <vt:i4>5</vt:i4>
      </vt:variant>
      <vt:variant>
        <vt:lpwstr>https://www.bhf.org.uk/-/media/files/what-we-do/our-research/heart-statistics/health-inequalities/socioeconomic-inequalities-in-heart-and-circulatory-diseases-in-england.pdf?hash=3B377F604B335EA2D00593CA27A62837&amp;rev=e0ba4fbfb40d4e61a2fea9f955ef3070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Amal Hussain (2520490)</cp:lastModifiedBy>
  <cp:revision>2</cp:revision>
  <cp:lastPrinted>1601-01-01T00:00:00Z</cp:lastPrinted>
  <dcterms:created xsi:type="dcterms:W3CDTF">2026-07-20T19:33:00Z</dcterms:created>
  <dcterms:modified xsi:type="dcterms:W3CDTF">2026-07-20T19:33:00Z</dcterms:modified>
</cp:coreProperties>
</file>