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A9D1C" w14:textId="77777777" w:rsidR="000A4C25" w:rsidRDefault="000A4C25">
      <w:pPr>
        <w:rPr>
          <w:b/>
          <w:sz w:val="26"/>
        </w:rPr>
      </w:pPr>
    </w:p>
    <w:p w14:paraId="03259C38" w14:textId="77777777" w:rsidR="000A4C25" w:rsidRPr="000A4C25" w:rsidRDefault="000A4C25" w:rsidP="000A4C25">
      <w:pPr>
        <w:jc w:val="center"/>
        <w:rPr>
          <w:b/>
          <w:bCs/>
          <w:sz w:val="28"/>
          <w:szCs w:val="28"/>
        </w:rPr>
      </w:pPr>
      <w:r w:rsidRPr="000A4C25">
        <w:rPr>
          <w:b/>
          <w:bCs/>
          <w:sz w:val="28"/>
          <w:szCs w:val="28"/>
        </w:rPr>
        <w:t>A Critical Examination of Health, Wellbeing, and Sustainability Policies and Initiatives: The Interrelationship between SDG 3 (Good Health and Wellbeing) and SDG 6 (Clean Water and Sanitation) in the UK Context</w:t>
      </w:r>
    </w:p>
    <w:p w14:paraId="54E6C8EA" w14:textId="5A31D57E" w:rsidR="000A4C25" w:rsidRPr="000A4C25" w:rsidRDefault="000A4C25" w:rsidP="000A4C25">
      <w:pPr>
        <w:jc w:val="center"/>
        <w:rPr>
          <w:b/>
          <w:bCs/>
          <w:sz w:val="28"/>
          <w:szCs w:val="28"/>
        </w:rPr>
      </w:pPr>
      <w:r w:rsidRPr="000A4C25">
        <w:rPr>
          <w:b/>
          <w:bCs/>
          <w:sz w:val="28"/>
          <w:szCs w:val="28"/>
        </w:rPr>
        <w:br/>
        <w:t>Student Name: Nazmeena Begum</w:t>
      </w:r>
      <w:r w:rsidRPr="000A4C25">
        <w:rPr>
          <w:b/>
          <w:bCs/>
          <w:sz w:val="28"/>
          <w:szCs w:val="28"/>
        </w:rPr>
        <w:br/>
      </w:r>
      <w:r w:rsidRPr="000A4C25">
        <w:rPr>
          <w:b/>
          <w:bCs/>
          <w:sz w:val="28"/>
          <w:szCs w:val="28"/>
        </w:rPr>
        <w:t>Student Number: 2220774</w:t>
      </w:r>
      <w:r w:rsidRPr="000A4C25">
        <w:rPr>
          <w:b/>
          <w:bCs/>
          <w:sz w:val="28"/>
          <w:szCs w:val="28"/>
        </w:rPr>
        <w:br/>
        <w:t xml:space="preserve">Module code: BMHP6030 </w:t>
      </w:r>
      <w:r w:rsidRPr="000A4C25">
        <w:rPr>
          <w:b/>
          <w:bCs/>
          <w:sz w:val="28"/>
          <w:szCs w:val="28"/>
        </w:rPr>
        <w:br/>
      </w:r>
      <w:r w:rsidRPr="000A4C25">
        <w:rPr>
          <w:b/>
          <w:bCs/>
          <w:sz w:val="28"/>
          <w:szCs w:val="28"/>
        </w:rPr>
        <w:t xml:space="preserve">Lecturer: </w:t>
      </w:r>
      <w:r w:rsidRPr="000A4C25">
        <w:rPr>
          <w:b/>
          <w:bCs/>
          <w:sz w:val="28"/>
          <w:szCs w:val="28"/>
          <w:lang w:val="en-GB"/>
        </w:rPr>
        <w:t>Parese Ahmed</w:t>
      </w:r>
      <w:r w:rsidRPr="000A4C25">
        <w:rPr>
          <w:b/>
          <w:bCs/>
          <w:sz w:val="28"/>
          <w:szCs w:val="28"/>
        </w:rPr>
        <w:br/>
        <w:t xml:space="preserve">              Module: Health, Wellbeing and Sustainable Development</w:t>
      </w:r>
      <w:r w:rsidRPr="000A4C25">
        <w:rPr>
          <w:b/>
          <w:bCs/>
          <w:sz w:val="28"/>
          <w:szCs w:val="28"/>
        </w:rPr>
        <w:br/>
      </w:r>
    </w:p>
    <w:p w14:paraId="32BF306D" w14:textId="34B6982C" w:rsidR="000A4C25" w:rsidRPr="000A4C25" w:rsidRDefault="000A4C25" w:rsidP="000A4C25">
      <w:pPr>
        <w:rPr>
          <w:b/>
          <w:sz w:val="28"/>
          <w:szCs w:val="28"/>
        </w:rPr>
      </w:pPr>
      <w:r w:rsidRPr="000A4C25">
        <w:rPr>
          <w:sz w:val="28"/>
          <w:szCs w:val="28"/>
          <w:lang w:val="en-GB"/>
        </w:rPr>
        <w:br/>
      </w:r>
      <w:r w:rsidRPr="000A4C25">
        <w:rPr>
          <w:b/>
          <w:sz w:val="28"/>
          <w:szCs w:val="28"/>
        </w:rPr>
        <w:br w:type="page"/>
      </w:r>
    </w:p>
    <w:p w14:paraId="17CE4CDA" w14:textId="0E5A2161" w:rsidR="00B217B2" w:rsidRDefault="00000000">
      <w:r>
        <w:rPr>
          <w:b/>
          <w:sz w:val="26"/>
        </w:rPr>
        <w:lastRenderedPageBreak/>
        <w:t>Introduction</w:t>
      </w:r>
    </w:p>
    <w:p w14:paraId="6066F50D" w14:textId="77777777" w:rsidR="00B217B2" w:rsidRDefault="00000000">
      <w:r>
        <w:t xml:space="preserve">The United Nations Sustainable Development Goals (SDGs), established in 2015 as part of the 2030 Agenda for Sustainable Development, serve as a universal framework for addressing interconnected global challenges (United Nations, 2015). Among these, SDG 3: Good Health and Wellbeing and SDG 6: Clean Water and Sanitation are critically interlinked, as access to clean water and effective sanitation underpins population health, disease prevention, and overall wellbeing (World Health Organization [WHO], 2023). Inadequate water quality and sanitation continue to exacerbate health inequalities, particularly affecting vulnerable populations globally and within high-income nations such as the United Kingdom (Public Health England [PHE], 2021). </w:t>
      </w:r>
      <w:r>
        <w:br/>
      </w:r>
      <w:r>
        <w:br/>
        <w:t>This report critically examines how these two SDGs influence health and wellbeing outcomes on global, national, and local levels. It evaluates key policies and initiatives that promote sustainable health and water management, exploring their effectiveness and alignment with theoretical frameworks such as the social determinants of health model (Marmot, 2020) and the planetary health framework (Whitmee et al., 2015). Furthermore, it considers the intersections between environmental sustainability and social equity, analysing how local and national interventions can contribute to global progress. The report concludes by offering evidence-based recommendations for strengthening UK policies to ensure sustainable health and wellbeing through integrated water, sanitation, and public health strategies.</w:t>
      </w:r>
    </w:p>
    <w:p w14:paraId="6390EA36" w14:textId="3AC875DD" w:rsidR="007B62C3" w:rsidRPr="007B62C3" w:rsidRDefault="007B62C3" w:rsidP="007B62C3">
      <w:pPr>
        <w:rPr>
          <w:b/>
          <w:bCs/>
          <w:sz w:val="26"/>
          <w:lang w:val="en-GB"/>
        </w:rPr>
      </w:pPr>
      <w:r w:rsidRPr="007B62C3">
        <w:rPr>
          <w:b/>
          <w:bCs/>
          <w:sz w:val="26"/>
          <w:lang w:val="en-GB"/>
        </w:rPr>
        <w:t xml:space="preserve">Section 1: SDG 3 – Good Health and Wellbeing </w:t>
      </w:r>
    </w:p>
    <w:p w14:paraId="49760510" w14:textId="77777777" w:rsidR="007B62C3" w:rsidRPr="007B62C3" w:rsidRDefault="007B62C3" w:rsidP="007B62C3">
      <w:pPr>
        <w:rPr>
          <w:b/>
          <w:bCs/>
          <w:lang w:val="en-GB"/>
        </w:rPr>
      </w:pPr>
      <w:r w:rsidRPr="007B62C3">
        <w:rPr>
          <w:b/>
          <w:bCs/>
          <w:lang w:val="en-GB"/>
        </w:rPr>
        <w:t>Overview and Global Context</w:t>
      </w:r>
    </w:p>
    <w:p w14:paraId="4FAD22C9" w14:textId="77777777" w:rsidR="007B62C3" w:rsidRPr="007B62C3" w:rsidRDefault="007B62C3" w:rsidP="007B62C3">
      <w:pPr>
        <w:rPr>
          <w:lang w:val="en-GB"/>
        </w:rPr>
      </w:pPr>
      <w:r w:rsidRPr="007B62C3">
        <w:rPr>
          <w:lang w:val="en-GB"/>
        </w:rPr>
        <w:t xml:space="preserve">Sustainable Development Goal 3 (SDG 3) seeks to “ensure healthy lives and promote wellbeing for all at all ages” (United Nations, 2015). It is one of the most comprehensive goals within the 2030 Agenda, comprising 13 specific targets that encompass universal health coverage (UHC), reductions in maternal and child mortality, the eradication of communicable diseases, and the prevention of non-communicable diseases (NCDs). Global progress toward SDG 3 has been uneven, as highlighted by the </w:t>
      </w:r>
      <w:r w:rsidRPr="007B62C3">
        <w:rPr>
          <w:i/>
          <w:iCs/>
          <w:lang w:val="en-GB"/>
        </w:rPr>
        <w:t>World Health Statistics Report</w:t>
      </w:r>
      <w:r w:rsidRPr="007B62C3">
        <w:rPr>
          <w:lang w:val="en-GB"/>
        </w:rPr>
        <w:t xml:space="preserve"> (WHO, 2023), which identifies persistent inequalities in access to healthcare services, particularly in low- and middle-income countries. However, even in high-income nations such as the United Kingdom, health disparities remain deeply entrenched due to socioeconomic, environmental, and behavioural determinants.</w:t>
      </w:r>
    </w:p>
    <w:p w14:paraId="401C490B" w14:textId="77777777" w:rsidR="007B62C3" w:rsidRPr="007B62C3" w:rsidRDefault="007B62C3" w:rsidP="007B62C3">
      <w:pPr>
        <w:rPr>
          <w:lang w:val="en-GB"/>
        </w:rPr>
      </w:pPr>
      <w:r w:rsidRPr="007B62C3">
        <w:rPr>
          <w:lang w:val="en-GB"/>
        </w:rPr>
        <w:t xml:space="preserve">The COVID-19 pandemic demonstrated both the interdependence of global health systems and the fragility of progress toward SDG 3. It exposed systemic weaknesses in preparedness, workforce capacity, and supply chain resilience (UNDP, 2022). Consequently, WHO’s </w:t>
      </w:r>
      <w:r w:rsidRPr="007B62C3">
        <w:rPr>
          <w:i/>
          <w:iCs/>
          <w:lang w:val="en-GB"/>
        </w:rPr>
        <w:t>Global Health Strategy 2023–2030</w:t>
      </w:r>
      <w:r w:rsidRPr="007B62C3">
        <w:rPr>
          <w:lang w:val="en-GB"/>
        </w:rPr>
        <w:t xml:space="preserve"> emphasises “health for peace and peace for health,” promoting inclusive, equitable, and sustainable health systems capable of addressing future global threats. The pandemic also reinforced the planetary </w:t>
      </w:r>
      <w:r w:rsidRPr="007B62C3">
        <w:rPr>
          <w:lang w:val="en-GB"/>
        </w:rPr>
        <w:lastRenderedPageBreak/>
        <w:t>health framework, which posits that human health depends on the stability of natural systems and the prudent management of Earth’s resources (</w:t>
      </w:r>
      <w:proofErr w:type="spellStart"/>
      <w:r w:rsidRPr="007B62C3">
        <w:rPr>
          <w:lang w:val="en-GB"/>
        </w:rPr>
        <w:t>Whitmee</w:t>
      </w:r>
      <w:proofErr w:type="spellEnd"/>
      <w:r w:rsidRPr="007B62C3">
        <w:rPr>
          <w:lang w:val="en-GB"/>
        </w:rPr>
        <w:t xml:space="preserve"> et al., 2015).</w:t>
      </w:r>
    </w:p>
    <w:p w14:paraId="182B048A" w14:textId="77777777" w:rsidR="007B62C3" w:rsidRPr="007B62C3" w:rsidRDefault="007B62C3" w:rsidP="007B62C3">
      <w:pPr>
        <w:rPr>
          <w:lang w:val="en-GB"/>
        </w:rPr>
      </w:pPr>
      <w:r w:rsidRPr="007B62C3">
        <w:rPr>
          <w:lang w:val="en-GB"/>
        </w:rPr>
        <w:t xml:space="preserve">At the global policy level, initiatives such as the </w:t>
      </w:r>
      <w:r w:rsidRPr="007B62C3">
        <w:rPr>
          <w:i/>
          <w:iCs/>
          <w:lang w:val="en-GB"/>
        </w:rPr>
        <w:t>Universal Health Coverage Partnership</w:t>
      </w:r>
      <w:r w:rsidRPr="007B62C3">
        <w:rPr>
          <w:lang w:val="en-GB"/>
        </w:rPr>
        <w:t xml:space="preserve"> (WHO, 2022) and the </w:t>
      </w:r>
      <w:r w:rsidRPr="007B62C3">
        <w:rPr>
          <w:i/>
          <w:iCs/>
          <w:lang w:val="en-GB"/>
        </w:rPr>
        <w:t>One Health Approach</w:t>
      </w:r>
      <w:r w:rsidRPr="007B62C3">
        <w:rPr>
          <w:lang w:val="en-GB"/>
        </w:rPr>
        <w:t xml:space="preserve"> (FAO, 2022) illustrate the growing commitment to integrating human, animal, and environmental health. The global emphasis is shifting from curative to preventive care, with greater recognition of how climate change, pollution, and water scarcity affect morbidity and mortality rates.</w:t>
      </w:r>
    </w:p>
    <w:p w14:paraId="4559D7EE" w14:textId="77777777" w:rsidR="007B62C3" w:rsidRPr="007B62C3" w:rsidRDefault="007B62C3" w:rsidP="007B62C3">
      <w:pPr>
        <w:rPr>
          <w:lang w:val="en-GB"/>
        </w:rPr>
      </w:pPr>
      <w:r w:rsidRPr="007B62C3">
        <w:rPr>
          <w:lang w:val="en-GB"/>
        </w:rPr>
        <w:pict w14:anchorId="663DCECA">
          <v:rect id="_x0000_i1049" style="width:0;height:1.5pt" o:hralign="center" o:hrstd="t" o:hr="t" fillcolor="#a0a0a0" stroked="f"/>
        </w:pict>
      </w:r>
    </w:p>
    <w:p w14:paraId="22BDAF56" w14:textId="77777777" w:rsidR="007B62C3" w:rsidRPr="007B62C3" w:rsidRDefault="007B62C3" w:rsidP="007B62C3">
      <w:pPr>
        <w:rPr>
          <w:b/>
          <w:bCs/>
          <w:lang w:val="en-GB"/>
        </w:rPr>
      </w:pPr>
      <w:r w:rsidRPr="007B62C3">
        <w:rPr>
          <w:b/>
          <w:bCs/>
          <w:lang w:val="en-GB"/>
        </w:rPr>
        <w:t>National Context: The UK Approach</w:t>
      </w:r>
    </w:p>
    <w:p w14:paraId="61FC42F8" w14:textId="77777777" w:rsidR="007B62C3" w:rsidRPr="007B62C3" w:rsidRDefault="007B62C3" w:rsidP="007B62C3">
      <w:pPr>
        <w:rPr>
          <w:lang w:val="en-GB"/>
        </w:rPr>
      </w:pPr>
      <w:r w:rsidRPr="007B62C3">
        <w:rPr>
          <w:lang w:val="en-GB"/>
        </w:rPr>
        <w:t>The United Kingdom has embedded the principles of SDG 3 within its national health policies through an emphasis on prevention, equity, and sustainability. The NHS Long Term Plan (2019) serves as the cornerstone of national strategy, outlining priorities for improving population health through early intervention, digital transformation, and integrated care models (NHS England, 2019). It explicitly recognises that good health is shaped by social and environmental factors beyond clinical care — a view consistent with the Social Determinants of Health Model developed by Marmot (2020).</w:t>
      </w:r>
    </w:p>
    <w:p w14:paraId="25A1FDEF" w14:textId="77777777" w:rsidR="007B62C3" w:rsidRPr="007B62C3" w:rsidRDefault="007B62C3" w:rsidP="007B62C3">
      <w:pPr>
        <w:rPr>
          <w:lang w:val="en-GB"/>
        </w:rPr>
      </w:pPr>
      <w:r w:rsidRPr="007B62C3">
        <w:rPr>
          <w:lang w:val="en-GB"/>
        </w:rPr>
        <w:t>The Marmot Review (2020) identified six key policy objectives for improving health equity in England: giving every child the best start in life, enabling fair employment, creating healthy and sustainable communities, and strengthening the role of prevention. Despite this, recent findings suggest that health inequalities have widened, with life expectancy in the most deprived areas stalling or declining (ONS, 2023). The Health and Care Act 2022 attempted to address these gaps by formalising Integrated Care Systems (ICSs) — regional partnerships that bring together NHS organisations, local authorities, and voluntary sectors to deliver joined-up care and tackle local priorities (UK Government, 2022).</w:t>
      </w:r>
    </w:p>
    <w:p w14:paraId="52978B7F" w14:textId="77777777" w:rsidR="007B62C3" w:rsidRPr="007B62C3" w:rsidRDefault="007B62C3" w:rsidP="007B62C3">
      <w:pPr>
        <w:rPr>
          <w:lang w:val="en-GB"/>
        </w:rPr>
      </w:pPr>
      <w:r w:rsidRPr="007B62C3">
        <w:rPr>
          <w:lang w:val="en-GB"/>
        </w:rPr>
        <w:t>Furthermore, environmental sustainability has become a growing concern within the UK’s healthcare system. The Greener NHS Programme (2020) represents a pioneering national initiative to achieve net-zero emissions by 2040, recognising that environmental degradation directly affects public health through air pollution, extreme weather, and water contamination (NHS, 2021). The integration of environmental sustainability into healthcare delivery reflects a shift toward a planetary health approach, which considers ecological stability as fundamental to human wellbeing (</w:t>
      </w:r>
      <w:proofErr w:type="spellStart"/>
      <w:r w:rsidRPr="007B62C3">
        <w:rPr>
          <w:lang w:val="en-GB"/>
        </w:rPr>
        <w:t>Whitmee</w:t>
      </w:r>
      <w:proofErr w:type="spellEnd"/>
      <w:r w:rsidRPr="007B62C3">
        <w:rPr>
          <w:lang w:val="en-GB"/>
        </w:rPr>
        <w:t xml:space="preserve"> et al., 2015).</w:t>
      </w:r>
    </w:p>
    <w:p w14:paraId="1ACF6087" w14:textId="77777777" w:rsidR="007B62C3" w:rsidRPr="007B62C3" w:rsidRDefault="007B62C3" w:rsidP="007B62C3">
      <w:pPr>
        <w:rPr>
          <w:lang w:val="en-GB"/>
        </w:rPr>
      </w:pPr>
      <w:r w:rsidRPr="007B62C3">
        <w:rPr>
          <w:lang w:val="en-GB"/>
        </w:rPr>
        <w:t>However, critical analysis indicates that UK policy often remains fragmented across sectors. Health strategies, while ambitious, tend to focus primarily on biomedical outcomes rather than tackling the root social and ecological determinants of health (Bambra et al., 2020). The lack of consistent funding for public health, alongside workforce shortages and rising demand, continues to challenge the delivery of equitable and sustainable health services (The King’s Fund, 2023).</w:t>
      </w:r>
    </w:p>
    <w:p w14:paraId="20B6E945" w14:textId="77777777" w:rsidR="007B62C3" w:rsidRPr="007B62C3" w:rsidRDefault="007B62C3" w:rsidP="007B62C3">
      <w:pPr>
        <w:rPr>
          <w:lang w:val="en-GB"/>
        </w:rPr>
      </w:pPr>
      <w:r w:rsidRPr="007B62C3">
        <w:rPr>
          <w:lang w:val="en-GB"/>
        </w:rPr>
        <w:pict w14:anchorId="6C330B8C">
          <v:rect id="_x0000_i1050" style="width:0;height:1.5pt" o:hralign="center" o:hrstd="t" o:hr="t" fillcolor="#a0a0a0" stroked="f"/>
        </w:pict>
      </w:r>
    </w:p>
    <w:p w14:paraId="241FC7D2" w14:textId="77777777" w:rsidR="007B62C3" w:rsidRPr="007B62C3" w:rsidRDefault="007B62C3" w:rsidP="007B62C3">
      <w:pPr>
        <w:rPr>
          <w:b/>
          <w:bCs/>
          <w:lang w:val="en-GB"/>
        </w:rPr>
      </w:pPr>
      <w:r w:rsidRPr="007B62C3">
        <w:rPr>
          <w:b/>
          <w:bCs/>
          <w:lang w:val="en-GB"/>
        </w:rPr>
        <w:lastRenderedPageBreak/>
        <w:t>Local Level and Community Initiatives</w:t>
      </w:r>
    </w:p>
    <w:p w14:paraId="72418F43" w14:textId="77777777" w:rsidR="007B62C3" w:rsidRPr="007B62C3" w:rsidRDefault="007B62C3" w:rsidP="007B62C3">
      <w:pPr>
        <w:rPr>
          <w:lang w:val="en-GB"/>
        </w:rPr>
      </w:pPr>
      <w:r w:rsidRPr="007B62C3">
        <w:rPr>
          <w:lang w:val="en-GB"/>
        </w:rPr>
        <w:t>At the local level, SDG 3 is operationalised through regional health boards, local councils, and community partnerships. Health and Wellbeing Boards (HWBs) were established under the Health and Social Care Act 2012 to facilitate collaboration between local government, NHS providers, and community organisations. These boards play a crucial role in identifying local needs through Joint Strategic Needs Assessments (JSNAs) and developing strategies tailored to local health inequalities.</w:t>
      </w:r>
    </w:p>
    <w:p w14:paraId="58220496" w14:textId="77777777" w:rsidR="007B62C3" w:rsidRPr="007B62C3" w:rsidRDefault="007B62C3" w:rsidP="007B62C3">
      <w:pPr>
        <w:rPr>
          <w:lang w:val="en-GB"/>
        </w:rPr>
      </w:pPr>
      <w:r w:rsidRPr="007B62C3">
        <w:rPr>
          <w:lang w:val="en-GB"/>
        </w:rPr>
        <w:t>The Greater Manchester Local Care Organisation (GM LCO) offers a leading example of localised health integration. By bringing together NHS services, local authorities, and voluntary sector partners, the GM LCO has improved hospital discharge rates, community-based care access, and health outcomes among vulnerable populations (NHS Manchester, 2022). Similarly, the Cardiff and Vale Wellbeing Plan aligns local initiatives with SDG 3 through partnerships that promote physical activity, mental health resilience, and healthy housing (Public Health Wales, 2022).</w:t>
      </w:r>
    </w:p>
    <w:p w14:paraId="2C16C316" w14:textId="77777777" w:rsidR="007B62C3" w:rsidRPr="007B62C3" w:rsidRDefault="007B62C3" w:rsidP="007B62C3">
      <w:pPr>
        <w:rPr>
          <w:lang w:val="en-GB"/>
        </w:rPr>
      </w:pPr>
      <w:r w:rsidRPr="007B62C3">
        <w:rPr>
          <w:lang w:val="en-GB"/>
        </w:rPr>
        <w:t>From a theoretical perspective, these local models reflect principles of the Health in All Policies (</w:t>
      </w:r>
      <w:proofErr w:type="spellStart"/>
      <w:r w:rsidRPr="007B62C3">
        <w:rPr>
          <w:lang w:val="en-GB"/>
        </w:rPr>
        <w:t>HiAP</w:t>
      </w:r>
      <w:proofErr w:type="spellEnd"/>
      <w:r w:rsidRPr="007B62C3">
        <w:rPr>
          <w:lang w:val="en-GB"/>
        </w:rPr>
        <w:t>) framework, which advocates for the inclusion of health considerations across all policy domains — transport, housing, education, and environment — to address the structural drivers of health inequalities (World Health Organization, 2014).</w:t>
      </w:r>
    </w:p>
    <w:p w14:paraId="0046FF9C" w14:textId="77777777" w:rsidR="007B62C3" w:rsidRPr="007B62C3" w:rsidRDefault="007B62C3" w:rsidP="007B62C3">
      <w:pPr>
        <w:rPr>
          <w:lang w:val="en-GB"/>
        </w:rPr>
      </w:pPr>
      <w:r w:rsidRPr="007B62C3">
        <w:rPr>
          <w:lang w:val="en-GB"/>
        </w:rPr>
        <w:t>However, local implementation remains uneven. A study by The Nuffield Trust (2022) highlights that local authorities have faced substantial cuts to public health budgets since 2015, limiting their capacity to deliver preventive services such as smoking cessation, obesity reduction, and mental health support. The resulting geographic variation in service provision contributes to persistent disparities in life expectancy between affluent and deprived communities.</w:t>
      </w:r>
    </w:p>
    <w:p w14:paraId="3EC8A444" w14:textId="77777777" w:rsidR="007B62C3" w:rsidRPr="007B62C3" w:rsidRDefault="007B62C3" w:rsidP="007B62C3">
      <w:pPr>
        <w:rPr>
          <w:lang w:val="en-GB"/>
        </w:rPr>
      </w:pPr>
      <w:r w:rsidRPr="007B62C3">
        <w:rPr>
          <w:lang w:val="en-GB"/>
        </w:rPr>
        <w:pict w14:anchorId="7D4EF6D6">
          <v:rect id="_x0000_i1051" style="width:0;height:1.5pt" o:hralign="center" o:hrstd="t" o:hr="t" fillcolor="#a0a0a0" stroked="f"/>
        </w:pict>
      </w:r>
    </w:p>
    <w:p w14:paraId="32529F12" w14:textId="77777777" w:rsidR="007B62C3" w:rsidRPr="007B62C3" w:rsidRDefault="007B62C3" w:rsidP="007B62C3">
      <w:pPr>
        <w:rPr>
          <w:b/>
          <w:bCs/>
          <w:lang w:val="en-GB"/>
        </w:rPr>
      </w:pPr>
      <w:r w:rsidRPr="007B62C3">
        <w:rPr>
          <w:b/>
          <w:bCs/>
          <w:lang w:val="en-GB"/>
        </w:rPr>
        <w:t>Critical Evaluation</w:t>
      </w:r>
    </w:p>
    <w:p w14:paraId="26AD39A7" w14:textId="77777777" w:rsidR="007B62C3" w:rsidRPr="007B62C3" w:rsidRDefault="007B62C3" w:rsidP="007B62C3">
      <w:pPr>
        <w:rPr>
          <w:lang w:val="en-GB"/>
        </w:rPr>
      </w:pPr>
      <w:r w:rsidRPr="007B62C3">
        <w:rPr>
          <w:lang w:val="en-GB"/>
        </w:rPr>
        <w:t>A critical examination of SDG 3 implementation in the UK reveals both progress and persistent challenges. On the positive side, the UK demonstrates global leadership in universal health coverage, environmental sustainability within healthcare, and integrated care frameworks. Yet, gaps remain in addressing the upstream social and environmental determinants of health.</w:t>
      </w:r>
    </w:p>
    <w:p w14:paraId="5E89736A" w14:textId="77777777" w:rsidR="007B62C3" w:rsidRPr="007B62C3" w:rsidRDefault="007B62C3" w:rsidP="007B62C3">
      <w:pPr>
        <w:rPr>
          <w:lang w:val="en-GB"/>
        </w:rPr>
      </w:pPr>
      <w:r w:rsidRPr="007B62C3">
        <w:rPr>
          <w:lang w:val="en-GB"/>
        </w:rPr>
        <w:t>The biomedical model, which underpins much of NHS policy, tends to prioritise treatment rather than prevention. This narrow focus contrasts with the ecological public health model, which emphasises interconnections between human health, environment, and society (Lang &amp; Rayner, 2012). Moreover, policy fragmentation between national and local levels leads to duplication, inefficiency, and inconsistent outcomes (The King’s Fund, 2023). The absence of long-term funding stability further undermines preventive and community-based programmes.</w:t>
      </w:r>
    </w:p>
    <w:p w14:paraId="5A1D88BE" w14:textId="77777777" w:rsidR="007B62C3" w:rsidRPr="007B62C3" w:rsidRDefault="007B62C3" w:rsidP="007B62C3">
      <w:pPr>
        <w:rPr>
          <w:lang w:val="en-GB"/>
        </w:rPr>
      </w:pPr>
      <w:r w:rsidRPr="007B62C3">
        <w:rPr>
          <w:lang w:val="en-GB"/>
        </w:rPr>
        <w:lastRenderedPageBreak/>
        <w:t>Critically, the intersection between SDG 3 and other SDGs—particularly SDG 6 (Clean Water and Sanitation) and SDG 13 (Climate Action)—remains underdeveloped in policy discourse. Environmental degradation and climate-related events such as flooding and drought have direct implications for public health, yet these are often treated as separate policy domains. A stronger cross-sectoral governance framework is therefore necessary to embed sustainability and resilience into the core of public health planning.</w:t>
      </w:r>
    </w:p>
    <w:p w14:paraId="3A13B5B1" w14:textId="77777777" w:rsidR="007B62C3" w:rsidRPr="007B62C3" w:rsidRDefault="007B62C3" w:rsidP="007B62C3">
      <w:pPr>
        <w:rPr>
          <w:lang w:val="en-GB"/>
        </w:rPr>
      </w:pPr>
      <w:r w:rsidRPr="007B62C3">
        <w:rPr>
          <w:lang w:val="en-GB"/>
        </w:rPr>
        <w:pict w14:anchorId="59606F0B">
          <v:rect id="_x0000_i1052" style="width:0;height:1.5pt" o:hralign="center" o:hrstd="t" o:hr="t" fillcolor="#a0a0a0" stroked="f"/>
        </w:pict>
      </w:r>
    </w:p>
    <w:p w14:paraId="212E2AE2" w14:textId="77777777" w:rsidR="007B62C3" w:rsidRPr="007B62C3" w:rsidRDefault="007B62C3" w:rsidP="007B62C3">
      <w:pPr>
        <w:rPr>
          <w:b/>
          <w:bCs/>
          <w:lang w:val="en-GB"/>
        </w:rPr>
      </w:pPr>
      <w:r w:rsidRPr="007B62C3">
        <w:rPr>
          <w:b/>
          <w:bCs/>
          <w:lang w:val="en-GB"/>
        </w:rPr>
        <w:t>Recommendations</w:t>
      </w:r>
    </w:p>
    <w:p w14:paraId="489C6C37" w14:textId="63682A7C" w:rsidR="00534F43" w:rsidRPr="00534F43" w:rsidRDefault="00534F43" w:rsidP="00534F43">
      <w:pPr>
        <w:rPr>
          <w:lang w:val="en-GB"/>
        </w:rPr>
      </w:pPr>
      <w:r w:rsidRPr="00534F43">
        <w:rPr>
          <w:lang w:val="en-GB"/>
        </w:rPr>
        <w:t xml:space="preserve"> Enhance Cross-Sector Collaboration: Strengthen integration between health, housing, transport, and environmental policies through the adoption of a Health in All Policies framework.</w:t>
      </w:r>
    </w:p>
    <w:p w14:paraId="33F044D6" w14:textId="2B1A1D4E" w:rsidR="00534F43" w:rsidRPr="00534F43" w:rsidRDefault="00534F43" w:rsidP="00534F43">
      <w:pPr>
        <w:rPr>
          <w:lang w:val="en-GB"/>
        </w:rPr>
      </w:pPr>
      <w:r w:rsidRPr="00534F43">
        <w:rPr>
          <w:lang w:val="en-GB"/>
        </w:rPr>
        <w:t>Prioritise Preventive Health Funding: Redirect a greater proportion of NHS resources toward preventive and community health initiatives to address root causes rather than symptoms.</w:t>
      </w:r>
    </w:p>
    <w:p w14:paraId="238D8AD4" w14:textId="57414F97" w:rsidR="00534F43" w:rsidRPr="00534F43" w:rsidRDefault="00534F43" w:rsidP="00534F43">
      <w:pPr>
        <w:rPr>
          <w:lang w:val="en-GB"/>
        </w:rPr>
      </w:pPr>
      <w:r w:rsidRPr="00534F43">
        <w:rPr>
          <w:lang w:val="en-GB"/>
        </w:rPr>
        <w:t xml:space="preserve"> Expand Environmental Health Monitoring: Introduce health impact assessments for all major infrastructure and environmental policies to evaluate their effects on population wellbeing.</w:t>
      </w:r>
    </w:p>
    <w:p w14:paraId="7AF1EC1C" w14:textId="77777777" w:rsidR="00534F43" w:rsidRDefault="00534F43" w:rsidP="00534F43">
      <w:pPr>
        <w:rPr>
          <w:lang w:val="en-GB"/>
        </w:rPr>
      </w:pPr>
      <w:r w:rsidRPr="00534F43">
        <w:rPr>
          <w:lang w:val="en-GB"/>
        </w:rPr>
        <w:t xml:space="preserve"> Invest in Workforce Sustainability: Support training programmes that embed sustainability, public health literacy, and systems thinking into NHS and local government practice.</w:t>
      </w:r>
    </w:p>
    <w:p w14:paraId="75D24625" w14:textId="021BAE14" w:rsidR="00534F43" w:rsidRPr="00534F43" w:rsidRDefault="00534F43" w:rsidP="00534F43">
      <w:pPr>
        <w:rPr>
          <w:lang w:val="en-GB"/>
        </w:rPr>
      </w:pPr>
      <w:r w:rsidRPr="00534F43">
        <w:rPr>
          <w:lang w:val="en-GB"/>
        </w:rPr>
        <w:t xml:space="preserve">  Promote Equity through Data-Driven Policy: Use local-level data to target the social determinants of health and reduce regional inequalities in life expectancy</w:t>
      </w:r>
    </w:p>
    <w:p w14:paraId="41AC2617" w14:textId="523B50ED" w:rsidR="00983C73" w:rsidRPr="00983C73" w:rsidRDefault="00983C73" w:rsidP="00983C73">
      <w:pPr>
        <w:rPr>
          <w:lang w:val="en-GB"/>
        </w:rPr>
      </w:pPr>
      <w:r w:rsidRPr="00983C73">
        <w:rPr>
          <w:lang w:val="en-GB"/>
        </w:rPr>
        <w:t>.</w:t>
      </w:r>
    </w:p>
    <w:p w14:paraId="14042446" w14:textId="77777777" w:rsidR="00983C73" w:rsidRPr="00983C73" w:rsidRDefault="00983C73">
      <w:pPr>
        <w:rPr>
          <w:b/>
          <w:sz w:val="26"/>
          <w:lang w:val="en-GB"/>
        </w:rPr>
      </w:pPr>
    </w:p>
    <w:p w14:paraId="606F01C0" w14:textId="21E2C74A" w:rsidR="00B217B2" w:rsidRDefault="00000000">
      <w:r>
        <w:rPr>
          <w:b/>
          <w:sz w:val="26"/>
        </w:rPr>
        <w:t>Section 2: SDG 6 – Clean Water and Sanitation</w:t>
      </w:r>
    </w:p>
    <w:p w14:paraId="0BCFFC9A" w14:textId="44D8229B" w:rsidR="00534F43" w:rsidRPr="000A4C25" w:rsidRDefault="00000000" w:rsidP="00534F43">
      <w:r>
        <w:t>SDG 6 aims to “ensure availability and sustainable management of water and sanitation for all” (United Nations, 2015). Access to clean water and sanitation underpins health, economic productivity, and gender equality. Globally, WHO and UNICEF’s Joint Monitoring Programme highlights that 2.2 billion people still lack access to safe drinking water (UNICEF and WHO, 2023). Poor water quality contributes to the spread of diseases such as cholera and dysentery, posing a major barrier to achieving SDG 3.</w:t>
      </w:r>
      <w:r>
        <w:br/>
      </w:r>
      <w:r>
        <w:br/>
        <w:t xml:space="preserve">In the UK, water and sanitation management is primarily regulated through the Water Industry Act 1991 and the Environment Act 2021, overseen by the Environment Agency and Ofwat. While the UK boasts near-universal access to potable water, significant challenges persist around water pollution, ageing infrastructure, and environmental </w:t>
      </w:r>
      <w:r>
        <w:lastRenderedPageBreak/>
        <w:t xml:space="preserve">sustainability (Environment Agency, 2023). </w:t>
      </w:r>
      <w:r>
        <w:br/>
      </w:r>
      <w:r>
        <w:br/>
        <w:t>The UK Government’s 25-Year Environment Plan (2018) and the Plan for Water (2023) aim to enhance river quality, reduce storm overflows, and strengthen ecosystem resilience (DEFRA, 2023). However, water quality incidents—such as sewage discharges by private companies—have raised public concern and highlighted the need for stricter regulatory enforcement (The Guardian, 2024). These events underscore the tension between privatisation, profit motives, and sustainability goals.</w:t>
      </w:r>
      <w:r>
        <w:br/>
      </w:r>
      <w:r>
        <w:br/>
        <w:t xml:space="preserve">Local authorities and water companies have adopted community-led programmes such as Catchment Sensitive Farming and River Trust Projects to reduce pollution and engage communities in sustainable water use (DEFRA, 2023). The Blue Health Project in Plymouth, for example, connects access to clean and natural water spaces with improved mental health and wellbeing (White et al., 2021). </w:t>
      </w:r>
      <w:r>
        <w:br/>
      </w:r>
      <w:r>
        <w:br/>
        <w:t xml:space="preserve">Despite significant progress, the UK faces shortcomings in water governance. Privatisation has resulted in uneven accountability, with water companies sometimes prioritising profit over ecological outcomes (The Guardian, 2024). Furthermore, insufficient investment in infrastructure renewal risks undermining long-term sustainability goals. </w:t>
      </w:r>
      <w:r>
        <w:br/>
      </w:r>
      <w:r>
        <w:br/>
        <w:t>From a theoretical lens, the social-ecological systems model (Ostrom, 2009) suggests that sustainable water governance requires adaptive co-management between government, industry, and communities. In practice, however, decision-making in the UK water sector remains top-down, limiting community participation and local empowerment.</w:t>
      </w:r>
      <w:r>
        <w:br/>
      </w:r>
      <w:r>
        <w:br/>
      </w:r>
      <w:r w:rsidRPr="00534F43">
        <w:rPr>
          <w:b/>
          <w:bCs/>
        </w:rPr>
        <w:t xml:space="preserve">Recommendations: </w:t>
      </w:r>
    </w:p>
    <w:p w14:paraId="721A5514" w14:textId="224352E6" w:rsidR="00534F43" w:rsidRPr="00534F43" w:rsidRDefault="00534F43" w:rsidP="00534F43">
      <w:pPr>
        <w:rPr>
          <w:lang w:val="en-GB"/>
        </w:rPr>
      </w:pPr>
      <w:r w:rsidRPr="00534F43">
        <w:rPr>
          <w:lang w:val="en-GB"/>
        </w:rPr>
        <w:t>Reform regulatory structures to ensure transparent accountability of water companies and stronger community representation in water management. This includes empowering local authorities and citizen panels to participate in decision-making processes concerning water quality, resource allocation, and pollution prevention.</w:t>
      </w:r>
    </w:p>
    <w:p w14:paraId="773ECFC2" w14:textId="77777777" w:rsidR="00534F43" w:rsidRPr="00534F43" w:rsidRDefault="00534F43" w:rsidP="00534F43">
      <w:pPr>
        <w:rPr>
          <w:lang w:val="en-GB"/>
        </w:rPr>
      </w:pPr>
      <w:r w:rsidRPr="00534F43">
        <w:rPr>
          <w:lang w:val="en-GB"/>
        </w:rPr>
        <w:t>Integrate SDG 3 and SDG 6 objectives through cross-sector strategies that explicitly link environmental sustainability to health outcomes. Public health agencies, environmental bodies, and local governments should collaborate to develop joint frameworks that address water contamination, sanitation standards, and health inequalities arising from environmental degradation.</w:t>
      </w:r>
    </w:p>
    <w:p w14:paraId="3FB52A1B" w14:textId="77777777" w:rsidR="00534F43" w:rsidRPr="00534F43" w:rsidRDefault="00534F43" w:rsidP="00534F43">
      <w:pPr>
        <w:rPr>
          <w:lang w:val="en-GB"/>
        </w:rPr>
      </w:pPr>
      <w:r w:rsidRPr="00534F43">
        <w:rPr>
          <w:lang w:val="en-GB"/>
        </w:rPr>
        <w:t xml:space="preserve">Invest in green infrastructure and community resilience programmes to mitigate the health impacts of climate-related water challenges. Initiatives such as sustainable urban drainage systems, wetland restoration, and climate-resilient housing can reduce flood risks while enhancing community wellbeing and ecological sustainability. Furthermore, embedding public health impact assessments in water management and urban planning </w:t>
      </w:r>
      <w:r w:rsidRPr="00534F43">
        <w:rPr>
          <w:lang w:val="en-GB"/>
        </w:rPr>
        <w:lastRenderedPageBreak/>
        <w:t>policies would strengthen the preventative approach to health protection and ensure alignment with both national sustainability goals and the UN 2030 Agenda.</w:t>
      </w:r>
    </w:p>
    <w:p w14:paraId="13BABC42" w14:textId="241D258D" w:rsidR="00B217B2" w:rsidRDefault="00000000">
      <w:r>
        <w:rPr>
          <w:b/>
          <w:sz w:val="26"/>
        </w:rPr>
        <w:t>Conclusion</w:t>
      </w:r>
    </w:p>
    <w:p w14:paraId="7DD4F774" w14:textId="77777777" w:rsidR="00B217B2" w:rsidRDefault="00000000">
      <w:r>
        <w:t>This report has critically examined how SDG 3 (Good Health and Wellbeing) and SDG 6 (Clean Water and Sanitation) intersect to shape health, wellbeing, and sustainability outcomes globally, nationally, and locally. Both goals are intrinsically linked through shared dependencies on environmental integrity, social equity, and sustainable resource management. In the UK, policies such as the NHS Long Term Plan and 25-Year Environment Plan demonstrate commitment to these aims; however, the persistence of health inequalities, pollution, and fragmented governance structures suggests that progress remains uneven.</w:t>
      </w:r>
      <w:r>
        <w:br/>
      </w:r>
      <w:r>
        <w:br/>
        <w:t>The analysis reveals that while global frameworks provide valuable direction, effective implementation depends on integrated, localised action. Theories such as social determinants of health, planetary health, and social-ecological systems highlight the importance of systemic approaches that bridge health, environment, and sustainability domains.</w:t>
      </w:r>
      <w:r>
        <w:br/>
      </w:r>
      <w:r>
        <w:br/>
        <w:t>To accelerate progress, the UK must prioritise preventive health measures, equitable water governance, and cross-sector collaboration that embeds sustainability within all policy areas. Ultimately, achieving SDGs 3 and 6 requires recognising that human wellbeing is inseparable from ecological wellbeing—demanding long-term commitment, inclusive governance, and robust accountability mechanisms to ensure a healthier, more sustainable future for all.</w:t>
      </w:r>
    </w:p>
    <w:p w14:paraId="73BA034A" w14:textId="77777777" w:rsidR="00AA2A10" w:rsidRDefault="00AA2A10"/>
    <w:p w14:paraId="6DC986CF" w14:textId="223034A7" w:rsidR="00AA2A10" w:rsidRPr="00AA2A10" w:rsidRDefault="00AA2A10" w:rsidP="00AA2A10">
      <w:pPr>
        <w:rPr>
          <w:b/>
          <w:bCs/>
          <w:lang w:val="en-GB"/>
        </w:rPr>
      </w:pPr>
      <w:r w:rsidRPr="00AA2A10">
        <w:rPr>
          <w:b/>
          <w:bCs/>
          <w:lang w:val="en-GB"/>
        </w:rPr>
        <w:t xml:space="preserve">Reference List </w:t>
      </w:r>
    </w:p>
    <w:p w14:paraId="6745B858" w14:textId="77777777" w:rsidR="00AA2A10" w:rsidRPr="00AA2A10" w:rsidRDefault="00AA2A10" w:rsidP="00AA2A10">
      <w:pPr>
        <w:rPr>
          <w:rFonts w:cs="Arial"/>
          <w:lang w:val="en-GB"/>
        </w:rPr>
      </w:pPr>
      <w:r w:rsidRPr="00AA2A10">
        <w:rPr>
          <w:rFonts w:cs="Arial"/>
          <w:lang w:val="en-GB"/>
        </w:rPr>
        <w:t xml:space="preserve">Bambra, C., Riordan, R., Ford, J. and Matthews, F. (2020) </w:t>
      </w:r>
      <w:r w:rsidRPr="00AA2A10">
        <w:rPr>
          <w:rFonts w:cs="Arial"/>
          <w:i/>
          <w:iCs/>
          <w:lang w:val="en-GB"/>
        </w:rPr>
        <w:t>The COVID-19 pandemic and health inequalities</w:t>
      </w:r>
      <w:r w:rsidRPr="00AA2A10">
        <w:rPr>
          <w:rFonts w:cs="Arial"/>
          <w:lang w:val="en-GB"/>
        </w:rPr>
        <w:t>. Journal of Epidemiology and Community Health, 74(11), pp.964–968.</w:t>
      </w:r>
    </w:p>
    <w:p w14:paraId="78BDFFA0" w14:textId="77777777" w:rsidR="00AA2A10" w:rsidRPr="00AA2A10" w:rsidRDefault="00AA2A10" w:rsidP="00AA2A10">
      <w:pPr>
        <w:rPr>
          <w:rFonts w:cs="Arial"/>
          <w:lang w:val="en-GB"/>
        </w:rPr>
      </w:pPr>
      <w:r w:rsidRPr="00AA2A10">
        <w:rPr>
          <w:rFonts w:cs="Arial"/>
          <w:lang w:val="en-GB"/>
        </w:rPr>
        <w:t xml:space="preserve">DEFRA (2023) </w:t>
      </w:r>
      <w:r w:rsidRPr="00AA2A10">
        <w:rPr>
          <w:rFonts w:cs="Arial"/>
          <w:i/>
          <w:iCs/>
          <w:lang w:val="en-GB"/>
        </w:rPr>
        <w:t>Plan for Water: Our Integrated Plan for Delivering Clean and Plentiful Water</w:t>
      </w:r>
      <w:r w:rsidRPr="00AA2A10">
        <w:rPr>
          <w:rFonts w:cs="Arial"/>
          <w:lang w:val="en-GB"/>
        </w:rPr>
        <w:t>. London: Department for Environment, Food and Rural Affairs.</w:t>
      </w:r>
    </w:p>
    <w:p w14:paraId="2C04A067" w14:textId="77777777" w:rsidR="00AA2A10" w:rsidRPr="00AA2A10" w:rsidRDefault="00AA2A10" w:rsidP="00AA2A10">
      <w:pPr>
        <w:rPr>
          <w:rFonts w:cs="Arial"/>
          <w:lang w:val="en-GB"/>
        </w:rPr>
      </w:pPr>
      <w:r w:rsidRPr="00AA2A10">
        <w:rPr>
          <w:rFonts w:cs="Arial"/>
          <w:lang w:val="en-GB"/>
        </w:rPr>
        <w:t xml:space="preserve">Environment Agency (2023) </w:t>
      </w:r>
      <w:r w:rsidRPr="00AA2A10">
        <w:rPr>
          <w:rFonts w:cs="Arial"/>
          <w:i/>
          <w:iCs/>
          <w:lang w:val="en-GB"/>
        </w:rPr>
        <w:t>State of the Environment: Water Quality</w:t>
      </w:r>
      <w:r w:rsidRPr="00AA2A10">
        <w:rPr>
          <w:rFonts w:cs="Arial"/>
          <w:lang w:val="en-GB"/>
        </w:rPr>
        <w:t>. London: EA.</w:t>
      </w:r>
    </w:p>
    <w:p w14:paraId="488A4BE3" w14:textId="77777777" w:rsidR="00AA2A10" w:rsidRPr="00AA2A10" w:rsidRDefault="00AA2A10" w:rsidP="00AA2A10">
      <w:pPr>
        <w:rPr>
          <w:rFonts w:cs="Arial"/>
          <w:lang w:val="en-GB"/>
        </w:rPr>
      </w:pPr>
      <w:r w:rsidRPr="00AA2A10">
        <w:rPr>
          <w:rFonts w:cs="Arial"/>
          <w:lang w:val="en-GB"/>
        </w:rPr>
        <w:t xml:space="preserve">FAO (2022) </w:t>
      </w:r>
      <w:r w:rsidRPr="00AA2A10">
        <w:rPr>
          <w:rFonts w:cs="Arial"/>
          <w:i/>
          <w:iCs/>
          <w:lang w:val="en-GB"/>
        </w:rPr>
        <w:t>The One Health Approach</w:t>
      </w:r>
      <w:r w:rsidRPr="00AA2A10">
        <w:rPr>
          <w:rFonts w:cs="Arial"/>
          <w:lang w:val="en-GB"/>
        </w:rPr>
        <w:t>. Rome: Food and Agriculture Organization of the United Nations.</w:t>
      </w:r>
    </w:p>
    <w:p w14:paraId="7C8E0D57" w14:textId="77777777" w:rsidR="00AA2A10" w:rsidRPr="00AA2A10" w:rsidRDefault="00AA2A10" w:rsidP="00AA2A10">
      <w:pPr>
        <w:rPr>
          <w:rFonts w:cs="Arial"/>
          <w:lang w:val="en-GB"/>
        </w:rPr>
      </w:pPr>
      <w:r w:rsidRPr="00AA2A10">
        <w:rPr>
          <w:rFonts w:cs="Arial"/>
          <w:lang w:val="en-GB"/>
        </w:rPr>
        <w:t xml:space="preserve">Local Government Association (LGA) (2022) </w:t>
      </w:r>
      <w:r w:rsidRPr="00AA2A10">
        <w:rPr>
          <w:rFonts w:cs="Arial"/>
          <w:i/>
          <w:iCs/>
          <w:lang w:val="en-GB"/>
        </w:rPr>
        <w:t>Local Government and Environmental Health</w:t>
      </w:r>
      <w:r w:rsidRPr="00AA2A10">
        <w:rPr>
          <w:rFonts w:cs="Arial"/>
          <w:lang w:val="en-GB"/>
        </w:rPr>
        <w:t>. London: LGA.</w:t>
      </w:r>
    </w:p>
    <w:p w14:paraId="70A2C68D" w14:textId="77777777" w:rsidR="00AA2A10" w:rsidRPr="00AA2A10" w:rsidRDefault="00AA2A10" w:rsidP="00AA2A10">
      <w:pPr>
        <w:rPr>
          <w:rFonts w:cs="Arial"/>
          <w:lang w:val="en-GB"/>
        </w:rPr>
      </w:pPr>
      <w:r w:rsidRPr="00AA2A10">
        <w:rPr>
          <w:rFonts w:cs="Arial"/>
          <w:lang w:val="en-GB"/>
        </w:rPr>
        <w:t xml:space="preserve">Marmot, M. (2020) </w:t>
      </w:r>
      <w:r w:rsidRPr="00AA2A10">
        <w:rPr>
          <w:rFonts w:cs="Arial"/>
          <w:i/>
          <w:iCs/>
          <w:lang w:val="en-GB"/>
        </w:rPr>
        <w:t>Health Equity in England: The Marmot Review 10 Years On</w:t>
      </w:r>
      <w:r w:rsidRPr="00AA2A10">
        <w:rPr>
          <w:rFonts w:cs="Arial"/>
          <w:lang w:val="en-GB"/>
        </w:rPr>
        <w:t>. London: Institute of Health Equity.</w:t>
      </w:r>
    </w:p>
    <w:p w14:paraId="2FA80A7B" w14:textId="77777777" w:rsidR="00AA2A10" w:rsidRPr="00AA2A10" w:rsidRDefault="00AA2A10" w:rsidP="00AA2A10">
      <w:pPr>
        <w:rPr>
          <w:rFonts w:cs="Arial"/>
          <w:lang w:val="en-GB"/>
        </w:rPr>
      </w:pPr>
      <w:r w:rsidRPr="00AA2A10">
        <w:rPr>
          <w:rFonts w:cs="Arial"/>
          <w:lang w:val="en-GB"/>
        </w:rPr>
        <w:lastRenderedPageBreak/>
        <w:t xml:space="preserve">Met Office (2023) </w:t>
      </w:r>
      <w:r w:rsidRPr="00AA2A10">
        <w:rPr>
          <w:rFonts w:cs="Arial"/>
          <w:i/>
          <w:iCs/>
          <w:lang w:val="en-GB"/>
        </w:rPr>
        <w:t>UK Climate Projections</w:t>
      </w:r>
      <w:r w:rsidRPr="00AA2A10">
        <w:rPr>
          <w:rFonts w:cs="Arial"/>
          <w:lang w:val="en-GB"/>
        </w:rPr>
        <w:t>. Exeter: Met Office.</w:t>
      </w:r>
    </w:p>
    <w:p w14:paraId="5CA6E2E1" w14:textId="77777777" w:rsidR="00AA2A10" w:rsidRPr="00AA2A10" w:rsidRDefault="00AA2A10" w:rsidP="00AA2A10">
      <w:pPr>
        <w:rPr>
          <w:rFonts w:cs="Arial"/>
          <w:lang w:val="en-GB"/>
        </w:rPr>
      </w:pPr>
      <w:r w:rsidRPr="00AA2A10">
        <w:rPr>
          <w:rFonts w:cs="Arial"/>
          <w:lang w:val="en-GB"/>
        </w:rPr>
        <w:t xml:space="preserve">NHS England (2019) </w:t>
      </w:r>
      <w:r w:rsidRPr="00AA2A10">
        <w:rPr>
          <w:rFonts w:cs="Arial"/>
          <w:i/>
          <w:iCs/>
          <w:lang w:val="en-GB"/>
        </w:rPr>
        <w:t>The NHS Long Term Plan</w:t>
      </w:r>
      <w:r w:rsidRPr="00AA2A10">
        <w:rPr>
          <w:rFonts w:cs="Arial"/>
          <w:lang w:val="en-GB"/>
        </w:rPr>
        <w:t>. London: NHS England.</w:t>
      </w:r>
    </w:p>
    <w:p w14:paraId="095AB58C" w14:textId="77777777" w:rsidR="00AA2A10" w:rsidRPr="00AA2A10" w:rsidRDefault="00AA2A10" w:rsidP="00AA2A10">
      <w:pPr>
        <w:rPr>
          <w:rFonts w:cs="Arial"/>
          <w:lang w:val="en-GB"/>
        </w:rPr>
      </w:pPr>
      <w:r w:rsidRPr="00AA2A10">
        <w:rPr>
          <w:rFonts w:cs="Arial"/>
          <w:lang w:val="en-GB"/>
        </w:rPr>
        <w:t xml:space="preserve">NHS Manchester (2022) </w:t>
      </w:r>
      <w:r w:rsidRPr="00AA2A10">
        <w:rPr>
          <w:rFonts w:cs="Arial"/>
          <w:i/>
          <w:iCs/>
          <w:lang w:val="en-GB"/>
        </w:rPr>
        <w:t>Local Care Organisation Annual Review</w:t>
      </w:r>
      <w:r w:rsidRPr="00AA2A10">
        <w:rPr>
          <w:rFonts w:cs="Arial"/>
          <w:lang w:val="en-GB"/>
        </w:rPr>
        <w:t>. Manchester: NHS.</w:t>
      </w:r>
    </w:p>
    <w:p w14:paraId="77F36D3C" w14:textId="77777777" w:rsidR="00AA2A10" w:rsidRPr="00AA2A10" w:rsidRDefault="00AA2A10" w:rsidP="00AA2A10">
      <w:pPr>
        <w:rPr>
          <w:rFonts w:cs="Arial"/>
          <w:lang w:val="en-GB"/>
        </w:rPr>
      </w:pPr>
      <w:r w:rsidRPr="00AA2A10">
        <w:rPr>
          <w:rFonts w:cs="Arial"/>
          <w:lang w:val="en-GB"/>
        </w:rPr>
        <w:t xml:space="preserve">Nuffield Trust (2022) </w:t>
      </w:r>
      <w:r w:rsidRPr="00AA2A10">
        <w:rPr>
          <w:rFonts w:cs="Arial"/>
          <w:i/>
          <w:iCs/>
          <w:lang w:val="en-GB"/>
        </w:rPr>
        <w:t>Public Health Funding and Workforce Pressures in the UK</w:t>
      </w:r>
      <w:r w:rsidRPr="00AA2A10">
        <w:rPr>
          <w:rFonts w:cs="Arial"/>
          <w:lang w:val="en-GB"/>
        </w:rPr>
        <w:t>. London: Nuffield Trust.</w:t>
      </w:r>
    </w:p>
    <w:p w14:paraId="50B28B89" w14:textId="77777777" w:rsidR="00AA2A10" w:rsidRPr="00AA2A10" w:rsidRDefault="00AA2A10" w:rsidP="00AA2A10">
      <w:pPr>
        <w:rPr>
          <w:rFonts w:cs="Arial"/>
          <w:lang w:val="en-GB"/>
        </w:rPr>
      </w:pPr>
      <w:r w:rsidRPr="00AA2A10">
        <w:rPr>
          <w:rFonts w:cs="Arial"/>
          <w:lang w:val="en-GB"/>
        </w:rPr>
        <w:t xml:space="preserve">Office for National Statistics (2023) </w:t>
      </w:r>
      <w:r w:rsidRPr="00AA2A10">
        <w:rPr>
          <w:rFonts w:cs="Arial"/>
          <w:i/>
          <w:iCs/>
          <w:lang w:val="en-GB"/>
        </w:rPr>
        <w:t>Health Inequalities Data</w:t>
      </w:r>
      <w:r w:rsidRPr="00AA2A10">
        <w:rPr>
          <w:rFonts w:cs="Arial"/>
          <w:lang w:val="en-GB"/>
        </w:rPr>
        <w:t>. London: ONS.</w:t>
      </w:r>
    </w:p>
    <w:p w14:paraId="6C9FE09B" w14:textId="77777777" w:rsidR="00AA2A10" w:rsidRPr="00AA2A10" w:rsidRDefault="00AA2A10" w:rsidP="00AA2A10">
      <w:pPr>
        <w:rPr>
          <w:rFonts w:cs="Arial"/>
          <w:lang w:val="en-GB"/>
        </w:rPr>
      </w:pPr>
      <w:r w:rsidRPr="00AA2A10">
        <w:rPr>
          <w:rFonts w:cs="Arial"/>
          <w:lang w:val="en-GB"/>
        </w:rPr>
        <w:t xml:space="preserve">Ostrom, E. (2009) </w:t>
      </w:r>
      <w:r w:rsidRPr="00AA2A10">
        <w:rPr>
          <w:rFonts w:cs="Arial"/>
          <w:i/>
          <w:iCs/>
          <w:lang w:val="en-GB"/>
        </w:rPr>
        <w:t>A general framework for analysing sustainability of social-ecological systems</w:t>
      </w:r>
      <w:r w:rsidRPr="00AA2A10">
        <w:rPr>
          <w:rFonts w:cs="Arial"/>
          <w:lang w:val="en-GB"/>
        </w:rPr>
        <w:t>. Science, 325(5939), pp.419–422.</w:t>
      </w:r>
    </w:p>
    <w:p w14:paraId="4C789258" w14:textId="77777777" w:rsidR="00AA2A10" w:rsidRPr="00AA2A10" w:rsidRDefault="00AA2A10" w:rsidP="00AA2A10">
      <w:pPr>
        <w:rPr>
          <w:rFonts w:cs="Arial"/>
          <w:lang w:val="en-GB"/>
        </w:rPr>
      </w:pPr>
      <w:r w:rsidRPr="00AA2A10">
        <w:rPr>
          <w:rFonts w:cs="Arial"/>
          <w:lang w:val="en-GB"/>
        </w:rPr>
        <w:t xml:space="preserve">Public Health England (2021) </w:t>
      </w:r>
      <w:r w:rsidRPr="00AA2A10">
        <w:rPr>
          <w:rFonts w:cs="Arial"/>
          <w:i/>
          <w:iCs/>
          <w:lang w:val="en-GB"/>
        </w:rPr>
        <w:t>Health Matters: Prevention and Health Inequalities</w:t>
      </w:r>
      <w:r w:rsidRPr="00AA2A10">
        <w:rPr>
          <w:rFonts w:cs="Arial"/>
          <w:lang w:val="en-GB"/>
        </w:rPr>
        <w:t>. London: PHE.</w:t>
      </w:r>
    </w:p>
    <w:p w14:paraId="48931382" w14:textId="77777777" w:rsidR="00AA2A10" w:rsidRPr="00AA2A10" w:rsidRDefault="00AA2A10" w:rsidP="00AA2A10">
      <w:pPr>
        <w:rPr>
          <w:rFonts w:cs="Arial"/>
          <w:lang w:val="en-GB"/>
        </w:rPr>
      </w:pPr>
      <w:r w:rsidRPr="00AA2A10">
        <w:rPr>
          <w:rFonts w:cs="Arial"/>
          <w:lang w:val="en-GB"/>
        </w:rPr>
        <w:t xml:space="preserve">The Guardian (2024) </w:t>
      </w:r>
      <w:r w:rsidRPr="00AA2A10">
        <w:rPr>
          <w:rFonts w:cs="Arial"/>
          <w:i/>
          <w:iCs/>
          <w:lang w:val="en-GB"/>
        </w:rPr>
        <w:t>Water Companies and Sewage Discharge: Environmental Failures</w:t>
      </w:r>
      <w:r w:rsidRPr="00AA2A10">
        <w:rPr>
          <w:rFonts w:cs="Arial"/>
          <w:lang w:val="en-GB"/>
        </w:rPr>
        <w:t>. London: Guardian Media Group.</w:t>
      </w:r>
    </w:p>
    <w:p w14:paraId="4D603E63" w14:textId="77777777" w:rsidR="00AA2A10" w:rsidRPr="00AA2A10" w:rsidRDefault="00AA2A10" w:rsidP="00AA2A10">
      <w:pPr>
        <w:rPr>
          <w:rFonts w:cs="Arial"/>
          <w:lang w:val="en-GB"/>
        </w:rPr>
      </w:pPr>
      <w:r w:rsidRPr="00AA2A10">
        <w:rPr>
          <w:rFonts w:cs="Arial"/>
          <w:lang w:val="en-GB"/>
        </w:rPr>
        <w:t xml:space="preserve">The King’s Fund (2023) </w:t>
      </w:r>
      <w:r w:rsidRPr="00AA2A10">
        <w:rPr>
          <w:rFonts w:cs="Arial"/>
          <w:i/>
          <w:iCs/>
          <w:lang w:val="en-GB"/>
        </w:rPr>
        <w:t>Integrating Care Systems: Challenges and Opportunities</w:t>
      </w:r>
      <w:r w:rsidRPr="00AA2A10">
        <w:rPr>
          <w:rFonts w:cs="Arial"/>
          <w:lang w:val="en-GB"/>
        </w:rPr>
        <w:t>. London: The King’s Fund.</w:t>
      </w:r>
    </w:p>
    <w:p w14:paraId="004645D8" w14:textId="77777777" w:rsidR="00AA2A10" w:rsidRPr="00AA2A10" w:rsidRDefault="00AA2A10" w:rsidP="00AA2A10">
      <w:pPr>
        <w:rPr>
          <w:rFonts w:cs="Arial"/>
          <w:lang w:val="en-GB"/>
        </w:rPr>
      </w:pPr>
      <w:r w:rsidRPr="00AA2A10">
        <w:rPr>
          <w:rFonts w:cs="Arial"/>
          <w:lang w:val="en-GB"/>
        </w:rPr>
        <w:t xml:space="preserve">UK Government (2022) </w:t>
      </w:r>
      <w:r w:rsidRPr="00AA2A10">
        <w:rPr>
          <w:rFonts w:cs="Arial"/>
          <w:i/>
          <w:iCs/>
          <w:lang w:val="en-GB"/>
        </w:rPr>
        <w:t>Health and Care Act 2022</w:t>
      </w:r>
      <w:r w:rsidRPr="00AA2A10">
        <w:rPr>
          <w:rFonts w:cs="Arial"/>
          <w:lang w:val="en-GB"/>
        </w:rPr>
        <w:t>. London: HMSO.</w:t>
      </w:r>
    </w:p>
    <w:p w14:paraId="22F215D6" w14:textId="77777777" w:rsidR="00AA2A10" w:rsidRPr="00AA2A10" w:rsidRDefault="00AA2A10" w:rsidP="00AA2A10">
      <w:pPr>
        <w:rPr>
          <w:rFonts w:cs="Arial"/>
          <w:lang w:val="en-GB"/>
        </w:rPr>
      </w:pPr>
      <w:r w:rsidRPr="00AA2A10">
        <w:rPr>
          <w:rFonts w:cs="Arial"/>
          <w:lang w:val="en-GB"/>
        </w:rPr>
        <w:t xml:space="preserve">UNDP (2022) </w:t>
      </w:r>
      <w:r w:rsidRPr="00AA2A10">
        <w:rPr>
          <w:rFonts w:cs="Arial"/>
          <w:i/>
          <w:iCs/>
          <w:lang w:val="en-GB"/>
        </w:rPr>
        <w:t>Health Systems Resilience Report</w:t>
      </w:r>
      <w:r w:rsidRPr="00AA2A10">
        <w:rPr>
          <w:rFonts w:cs="Arial"/>
          <w:lang w:val="en-GB"/>
        </w:rPr>
        <w:t>. New York: United Nations Development Programme.</w:t>
      </w:r>
    </w:p>
    <w:p w14:paraId="3C3C6638" w14:textId="77777777" w:rsidR="00AA2A10" w:rsidRPr="00AA2A10" w:rsidRDefault="00AA2A10" w:rsidP="00AA2A10">
      <w:pPr>
        <w:rPr>
          <w:rFonts w:cs="Arial"/>
          <w:lang w:val="en-GB"/>
        </w:rPr>
      </w:pPr>
      <w:r w:rsidRPr="00AA2A10">
        <w:rPr>
          <w:rFonts w:cs="Arial"/>
          <w:lang w:val="en-GB"/>
        </w:rPr>
        <w:t xml:space="preserve">UNEP (2021) </w:t>
      </w:r>
      <w:r w:rsidRPr="00AA2A10">
        <w:rPr>
          <w:rFonts w:cs="Arial"/>
          <w:i/>
          <w:iCs/>
          <w:lang w:val="en-GB"/>
        </w:rPr>
        <w:t>Integrated Water Resources Management Global Report</w:t>
      </w:r>
      <w:r w:rsidRPr="00AA2A10">
        <w:rPr>
          <w:rFonts w:cs="Arial"/>
          <w:lang w:val="en-GB"/>
        </w:rPr>
        <w:t>. Nairobi: United Nations Environment Programme.</w:t>
      </w:r>
    </w:p>
    <w:p w14:paraId="742A5266" w14:textId="77777777" w:rsidR="00AA2A10" w:rsidRPr="00AA2A10" w:rsidRDefault="00AA2A10" w:rsidP="00AA2A10">
      <w:pPr>
        <w:rPr>
          <w:rFonts w:cs="Arial"/>
          <w:lang w:val="en-GB"/>
        </w:rPr>
      </w:pPr>
      <w:r w:rsidRPr="00AA2A10">
        <w:rPr>
          <w:rFonts w:cs="Arial"/>
          <w:lang w:val="en-GB"/>
        </w:rPr>
        <w:t xml:space="preserve">UNICEF and WHO (2023) </w:t>
      </w:r>
      <w:r w:rsidRPr="00AA2A10">
        <w:rPr>
          <w:rFonts w:cs="Arial"/>
          <w:i/>
          <w:iCs/>
          <w:lang w:val="en-GB"/>
        </w:rPr>
        <w:t>Progress on Drinking Water, Sanitation and Hygiene: 2023 Update</w:t>
      </w:r>
      <w:r w:rsidRPr="00AA2A10">
        <w:rPr>
          <w:rFonts w:cs="Arial"/>
          <w:lang w:val="en-GB"/>
        </w:rPr>
        <w:t>. New York: UNICEF and WHO.</w:t>
      </w:r>
    </w:p>
    <w:p w14:paraId="16A80E04" w14:textId="77777777" w:rsidR="00AA2A10" w:rsidRPr="00AA2A10" w:rsidRDefault="00AA2A10" w:rsidP="00AA2A10">
      <w:pPr>
        <w:rPr>
          <w:rFonts w:cs="Arial"/>
          <w:lang w:val="en-GB"/>
        </w:rPr>
      </w:pPr>
      <w:r w:rsidRPr="00AA2A10">
        <w:rPr>
          <w:rFonts w:cs="Arial"/>
          <w:lang w:val="en-GB"/>
        </w:rPr>
        <w:t xml:space="preserve">United Nations (2015) </w:t>
      </w:r>
      <w:r w:rsidRPr="00AA2A10">
        <w:rPr>
          <w:rFonts w:cs="Arial"/>
          <w:i/>
          <w:iCs/>
          <w:lang w:val="en-GB"/>
        </w:rPr>
        <w:t>Transforming Our World: The 2030 Agenda for Sustainable Development</w:t>
      </w:r>
      <w:r w:rsidRPr="00AA2A10">
        <w:rPr>
          <w:rFonts w:cs="Arial"/>
          <w:lang w:val="en-GB"/>
        </w:rPr>
        <w:t>. New York: UN.</w:t>
      </w:r>
    </w:p>
    <w:p w14:paraId="482E65C7" w14:textId="77777777" w:rsidR="00AA2A10" w:rsidRPr="00AA2A10" w:rsidRDefault="00AA2A10" w:rsidP="00AA2A10">
      <w:pPr>
        <w:rPr>
          <w:rFonts w:cs="Arial"/>
          <w:lang w:val="en-GB"/>
        </w:rPr>
      </w:pPr>
      <w:r w:rsidRPr="00AA2A10">
        <w:rPr>
          <w:rFonts w:cs="Arial"/>
          <w:lang w:val="en-GB"/>
        </w:rPr>
        <w:t xml:space="preserve">White, M.P. et al. (2021) </w:t>
      </w:r>
      <w:r w:rsidRPr="00AA2A10">
        <w:rPr>
          <w:rFonts w:cs="Arial"/>
          <w:i/>
          <w:iCs/>
          <w:lang w:val="en-GB"/>
        </w:rPr>
        <w:t>Blue Health: A study of the benefits of water environments for health and wellbeing</w:t>
      </w:r>
      <w:r w:rsidRPr="00AA2A10">
        <w:rPr>
          <w:rFonts w:cs="Arial"/>
          <w:lang w:val="en-GB"/>
        </w:rPr>
        <w:t>. Environmental Research, 193, 110586.</w:t>
      </w:r>
    </w:p>
    <w:p w14:paraId="37035138" w14:textId="77777777" w:rsidR="00AA2A10" w:rsidRPr="00AA2A10" w:rsidRDefault="00AA2A10" w:rsidP="00AA2A10">
      <w:pPr>
        <w:rPr>
          <w:rFonts w:cs="Arial"/>
          <w:lang w:val="en-GB"/>
        </w:rPr>
      </w:pPr>
      <w:proofErr w:type="spellStart"/>
      <w:r w:rsidRPr="00AA2A10">
        <w:rPr>
          <w:rFonts w:cs="Arial"/>
          <w:lang w:val="en-GB"/>
        </w:rPr>
        <w:t>Whitmee</w:t>
      </w:r>
      <w:proofErr w:type="spellEnd"/>
      <w:r w:rsidRPr="00AA2A10">
        <w:rPr>
          <w:rFonts w:cs="Arial"/>
          <w:lang w:val="en-GB"/>
        </w:rPr>
        <w:t xml:space="preserve">, S. et al. (2015) </w:t>
      </w:r>
      <w:r w:rsidRPr="00AA2A10">
        <w:rPr>
          <w:rFonts w:cs="Arial"/>
          <w:i/>
          <w:iCs/>
          <w:lang w:val="en-GB"/>
        </w:rPr>
        <w:t>Safeguarding human health in the Anthropocene epoch: The Rockefeller Foundation–Lancet Commission on planetary health</w:t>
      </w:r>
      <w:r w:rsidRPr="00AA2A10">
        <w:rPr>
          <w:rFonts w:cs="Arial"/>
          <w:lang w:val="en-GB"/>
        </w:rPr>
        <w:t>. The Lancet, 386(10007), pp.1973–2028.</w:t>
      </w:r>
    </w:p>
    <w:p w14:paraId="70D34E00" w14:textId="77777777" w:rsidR="00AA2A10" w:rsidRDefault="00AA2A10"/>
    <w:sectPr w:rsidR="00AA2A1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9DC04CB"/>
    <w:multiLevelType w:val="multilevel"/>
    <w:tmpl w:val="FA540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2782666">
    <w:abstractNumId w:val="8"/>
  </w:num>
  <w:num w:numId="2" w16cid:durableId="1561672859">
    <w:abstractNumId w:val="6"/>
  </w:num>
  <w:num w:numId="3" w16cid:durableId="794955968">
    <w:abstractNumId w:val="5"/>
  </w:num>
  <w:num w:numId="4" w16cid:durableId="2010253210">
    <w:abstractNumId w:val="4"/>
  </w:num>
  <w:num w:numId="5" w16cid:durableId="1549994483">
    <w:abstractNumId w:val="7"/>
  </w:num>
  <w:num w:numId="6" w16cid:durableId="1446926153">
    <w:abstractNumId w:val="3"/>
  </w:num>
  <w:num w:numId="7" w16cid:durableId="1520045426">
    <w:abstractNumId w:val="2"/>
  </w:num>
  <w:num w:numId="8" w16cid:durableId="498161796">
    <w:abstractNumId w:val="1"/>
  </w:num>
  <w:num w:numId="9" w16cid:durableId="127627973">
    <w:abstractNumId w:val="0"/>
  </w:num>
  <w:num w:numId="10" w16cid:durableId="19164750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A4C25"/>
    <w:rsid w:val="0015074B"/>
    <w:rsid w:val="0029639D"/>
    <w:rsid w:val="00326F90"/>
    <w:rsid w:val="00534F43"/>
    <w:rsid w:val="005D24B7"/>
    <w:rsid w:val="005D76E8"/>
    <w:rsid w:val="007B62C3"/>
    <w:rsid w:val="00983C73"/>
    <w:rsid w:val="00AA1D8D"/>
    <w:rsid w:val="00AA2A10"/>
    <w:rsid w:val="00B217B2"/>
    <w:rsid w:val="00B47730"/>
    <w:rsid w:val="00C429E2"/>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2F95AF"/>
  <w14:defaultImageDpi w14:val="300"/>
  <w15:docId w15:val="{F4D0A7E7-1CF1-44F5-AD0A-738E84A96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534F4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2417</Words>
  <Characters>15737</Characters>
  <Application>Microsoft Office Word</Application>
  <DocSecurity>0</DocSecurity>
  <Lines>296</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18133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Nazmeena Begum (2220774)</cp:lastModifiedBy>
  <cp:revision>2</cp:revision>
  <dcterms:created xsi:type="dcterms:W3CDTF">2025-11-08T15:01:00Z</dcterms:created>
  <dcterms:modified xsi:type="dcterms:W3CDTF">2025-11-08T15:01:00Z</dcterms:modified>
  <cp:category/>
</cp:coreProperties>
</file>