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1C291" w14:textId="1FF06C17" w:rsidR="002F6C1E" w:rsidRPr="00993F57" w:rsidRDefault="002F6C1E" w:rsidP="007224C7">
      <w:pPr>
        <w:pStyle w:val="Title"/>
        <w:spacing w:line="360" w:lineRule="auto"/>
        <w:jc w:val="center"/>
        <w:rPr>
          <w:rFonts w:cs="Times New Roman"/>
          <w:b/>
          <w:sz w:val="44"/>
          <w:szCs w:val="44"/>
          <w:lang w:val="en-GB"/>
        </w:rPr>
      </w:pPr>
      <w:r w:rsidRPr="00993F57">
        <w:rPr>
          <w:rFonts w:cs="Times New Roman"/>
          <w:b/>
          <w:sz w:val="44"/>
          <w:szCs w:val="44"/>
          <w:lang w:val="en-GB"/>
        </w:rPr>
        <w:t>LCBB5004</w:t>
      </w:r>
    </w:p>
    <w:p w14:paraId="7FE2BB1D" w14:textId="77777777" w:rsidR="002F6C1E" w:rsidRPr="00993F57" w:rsidRDefault="002F6C1E" w:rsidP="007224C7">
      <w:pPr>
        <w:pStyle w:val="Title"/>
        <w:spacing w:line="360" w:lineRule="auto"/>
        <w:jc w:val="center"/>
        <w:rPr>
          <w:rFonts w:cs="Times New Roman"/>
          <w:b/>
          <w:sz w:val="44"/>
          <w:szCs w:val="44"/>
          <w:lang w:val="en-GB"/>
        </w:rPr>
      </w:pPr>
    </w:p>
    <w:p w14:paraId="0F1A88FA" w14:textId="00E22CF1" w:rsidR="006921C5" w:rsidRPr="00993F57" w:rsidRDefault="00BD40C5" w:rsidP="007224C7">
      <w:pPr>
        <w:pStyle w:val="Title"/>
        <w:spacing w:line="360" w:lineRule="auto"/>
        <w:jc w:val="center"/>
        <w:rPr>
          <w:rFonts w:cs="Times New Roman"/>
          <w:b/>
          <w:sz w:val="44"/>
          <w:szCs w:val="44"/>
          <w:lang w:val="en-GB"/>
        </w:rPr>
      </w:pPr>
      <w:r w:rsidRPr="00993F57">
        <w:rPr>
          <w:rFonts w:cs="Times New Roman"/>
          <w:b/>
          <w:sz w:val="44"/>
          <w:szCs w:val="44"/>
          <w:lang w:val="en-GB"/>
        </w:rPr>
        <w:t>Managing People</w:t>
      </w:r>
    </w:p>
    <w:p w14:paraId="080586E9" w14:textId="011129C8" w:rsidR="008E04AD" w:rsidRPr="00993F57" w:rsidRDefault="008E04AD" w:rsidP="008E04AD">
      <w:pPr>
        <w:pStyle w:val="Normal1"/>
        <w:spacing w:line="360" w:lineRule="auto"/>
        <w:jc w:val="center"/>
        <w:rPr>
          <w:b/>
          <w:sz w:val="44"/>
          <w:szCs w:val="44"/>
          <w:lang w:val="en-GB"/>
        </w:rPr>
      </w:pPr>
      <w:r w:rsidRPr="00993F57">
        <w:rPr>
          <w:b/>
          <w:sz w:val="44"/>
          <w:szCs w:val="44"/>
          <w:lang w:val="en-GB"/>
        </w:rPr>
        <w:t>Assignment 1</w:t>
      </w:r>
    </w:p>
    <w:p w14:paraId="0A7C958F" w14:textId="68823AE4" w:rsidR="002F6C1E" w:rsidRPr="00993F57" w:rsidRDefault="002F6C1E" w:rsidP="008E04AD">
      <w:pPr>
        <w:pStyle w:val="Normal1"/>
        <w:spacing w:line="360" w:lineRule="auto"/>
        <w:jc w:val="center"/>
        <w:rPr>
          <w:b/>
          <w:sz w:val="44"/>
          <w:szCs w:val="44"/>
          <w:lang w:val="en-GB"/>
        </w:rPr>
      </w:pPr>
    </w:p>
    <w:p w14:paraId="671A2745" w14:textId="71617F1E" w:rsidR="002F6C1E" w:rsidRDefault="002F6C1E" w:rsidP="008E04AD">
      <w:pPr>
        <w:pStyle w:val="Normal1"/>
        <w:spacing w:line="360" w:lineRule="auto"/>
        <w:jc w:val="center"/>
        <w:rPr>
          <w:b/>
          <w:sz w:val="32"/>
          <w:szCs w:val="32"/>
          <w:lang w:val="en-GB"/>
        </w:rPr>
      </w:pPr>
    </w:p>
    <w:p w14:paraId="4456A82C" w14:textId="4B7E66A4" w:rsidR="002F6C1E" w:rsidRDefault="002F6C1E" w:rsidP="008E04AD">
      <w:pPr>
        <w:pStyle w:val="Normal1"/>
        <w:spacing w:line="360" w:lineRule="auto"/>
        <w:jc w:val="center"/>
        <w:rPr>
          <w:b/>
          <w:sz w:val="32"/>
          <w:szCs w:val="32"/>
          <w:lang w:val="en-GB"/>
        </w:rPr>
      </w:pPr>
    </w:p>
    <w:p w14:paraId="4B34866E" w14:textId="39161688" w:rsidR="002F6C1E" w:rsidRDefault="002F6C1E" w:rsidP="008E04AD">
      <w:pPr>
        <w:pStyle w:val="Normal1"/>
        <w:spacing w:line="360" w:lineRule="auto"/>
        <w:jc w:val="center"/>
        <w:rPr>
          <w:b/>
          <w:sz w:val="32"/>
          <w:szCs w:val="32"/>
          <w:lang w:val="en-GB"/>
        </w:rPr>
      </w:pPr>
    </w:p>
    <w:p w14:paraId="1F6B40D1" w14:textId="70A24A7E" w:rsidR="002F6C1E" w:rsidRDefault="002F6C1E" w:rsidP="008E04AD">
      <w:pPr>
        <w:pStyle w:val="Normal1"/>
        <w:spacing w:line="360" w:lineRule="auto"/>
        <w:jc w:val="center"/>
        <w:rPr>
          <w:b/>
          <w:sz w:val="32"/>
          <w:szCs w:val="32"/>
          <w:lang w:val="en-GB"/>
        </w:rPr>
      </w:pPr>
    </w:p>
    <w:p w14:paraId="1D10C94C" w14:textId="28073676" w:rsidR="002F6C1E" w:rsidRDefault="002F6C1E" w:rsidP="008E04AD">
      <w:pPr>
        <w:pStyle w:val="Normal1"/>
        <w:spacing w:line="360" w:lineRule="auto"/>
        <w:jc w:val="center"/>
        <w:rPr>
          <w:b/>
          <w:sz w:val="32"/>
          <w:szCs w:val="32"/>
          <w:lang w:val="en-GB"/>
        </w:rPr>
      </w:pPr>
    </w:p>
    <w:p w14:paraId="37C11C24" w14:textId="6557388B" w:rsidR="002F6C1E" w:rsidRDefault="002F6C1E" w:rsidP="008E04AD">
      <w:pPr>
        <w:pStyle w:val="Normal1"/>
        <w:spacing w:line="360" w:lineRule="auto"/>
        <w:jc w:val="center"/>
        <w:rPr>
          <w:b/>
          <w:sz w:val="32"/>
          <w:szCs w:val="32"/>
          <w:lang w:val="en-GB"/>
        </w:rPr>
      </w:pPr>
    </w:p>
    <w:p w14:paraId="5E211C70" w14:textId="374CDCC4" w:rsidR="002F6C1E" w:rsidRDefault="002F6C1E" w:rsidP="008E04AD">
      <w:pPr>
        <w:pStyle w:val="Normal1"/>
        <w:spacing w:line="360" w:lineRule="auto"/>
        <w:jc w:val="center"/>
        <w:rPr>
          <w:b/>
          <w:sz w:val="32"/>
          <w:szCs w:val="32"/>
          <w:lang w:val="en-GB"/>
        </w:rPr>
      </w:pPr>
    </w:p>
    <w:p w14:paraId="1ABE0A25" w14:textId="0797F71A" w:rsidR="002F6C1E" w:rsidRDefault="002F6C1E" w:rsidP="008E04AD">
      <w:pPr>
        <w:pStyle w:val="Normal1"/>
        <w:spacing w:line="360" w:lineRule="auto"/>
        <w:jc w:val="center"/>
        <w:rPr>
          <w:b/>
          <w:sz w:val="32"/>
          <w:szCs w:val="32"/>
          <w:lang w:val="en-GB"/>
        </w:rPr>
      </w:pPr>
    </w:p>
    <w:p w14:paraId="6BEF42C3" w14:textId="54E11405" w:rsidR="002F6C1E" w:rsidRDefault="002F6C1E" w:rsidP="008E04AD">
      <w:pPr>
        <w:pStyle w:val="Normal1"/>
        <w:spacing w:line="360" w:lineRule="auto"/>
        <w:jc w:val="center"/>
        <w:rPr>
          <w:b/>
          <w:sz w:val="32"/>
          <w:szCs w:val="32"/>
          <w:lang w:val="en-GB"/>
        </w:rPr>
      </w:pPr>
    </w:p>
    <w:p w14:paraId="59C9F448" w14:textId="77777777" w:rsidR="002F6C1E" w:rsidRDefault="002F6C1E" w:rsidP="008E04AD">
      <w:pPr>
        <w:pStyle w:val="Normal1"/>
        <w:spacing w:line="360" w:lineRule="auto"/>
        <w:jc w:val="center"/>
        <w:rPr>
          <w:b/>
          <w:sz w:val="32"/>
          <w:szCs w:val="32"/>
          <w:lang w:val="en-GB"/>
        </w:rPr>
      </w:pPr>
    </w:p>
    <w:p w14:paraId="63523F67" w14:textId="77777777" w:rsidR="002F6C1E" w:rsidRPr="00D51D37" w:rsidRDefault="002F6C1E" w:rsidP="008E04AD">
      <w:pPr>
        <w:pStyle w:val="Normal1"/>
        <w:spacing w:line="360" w:lineRule="auto"/>
        <w:jc w:val="center"/>
        <w:rPr>
          <w:b/>
          <w:sz w:val="32"/>
          <w:szCs w:val="32"/>
          <w:lang w:val="en-GB"/>
        </w:rPr>
      </w:pPr>
    </w:p>
    <w:p w14:paraId="571552F0" w14:textId="2F1675B0" w:rsidR="008E04AD" w:rsidRPr="00D51D37" w:rsidRDefault="008E04AD" w:rsidP="002F6C1E">
      <w:pPr>
        <w:pStyle w:val="Normal1"/>
        <w:spacing w:line="360" w:lineRule="auto"/>
        <w:rPr>
          <w:b/>
          <w:sz w:val="32"/>
          <w:szCs w:val="32"/>
          <w:lang w:val="en-GB"/>
        </w:rPr>
      </w:pPr>
      <w:r w:rsidRPr="00D51D37">
        <w:rPr>
          <w:b/>
          <w:sz w:val="32"/>
          <w:szCs w:val="32"/>
          <w:lang w:val="en-GB"/>
        </w:rPr>
        <w:t>Student Name:</w:t>
      </w:r>
      <w:r w:rsidR="002F6C1E">
        <w:rPr>
          <w:b/>
          <w:sz w:val="32"/>
          <w:szCs w:val="32"/>
          <w:lang w:val="en-GB"/>
        </w:rPr>
        <w:t xml:space="preserve"> Carmen Elena Albert</w:t>
      </w:r>
    </w:p>
    <w:p w14:paraId="681BA72A" w14:textId="722683D6" w:rsidR="008E04AD" w:rsidRDefault="008E04AD" w:rsidP="002F6C1E">
      <w:pPr>
        <w:pStyle w:val="Normal1"/>
        <w:spacing w:line="360" w:lineRule="auto"/>
        <w:rPr>
          <w:b/>
          <w:sz w:val="32"/>
          <w:szCs w:val="32"/>
          <w:lang w:val="en-GB"/>
        </w:rPr>
      </w:pPr>
      <w:r w:rsidRPr="00D51D37">
        <w:rPr>
          <w:b/>
          <w:sz w:val="32"/>
          <w:szCs w:val="32"/>
          <w:lang w:val="en-GB"/>
        </w:rPr>
        <w:t>Student ID:</w:t>
      </w:r>
      <w:r w:rsidR="002F6C1E">
        <w:rPr>
          <w:b/>
          <w:sz w:val="32"/>
          <w:szCs w:val="32"/>
          <w:lang w:val="en-GB"/>
        </w:rPr>
        <w:t xml:space="preserve"> 2014069</w:t>
      </w:r>
    </w:p>
    <w:p w14:paraId="1D6188C3" w14:textId="383AF71D" w:rsidR="002F6C1E" w:rsidRPr="00D51D37" w:rsidRDefault="002F6C1E" w:rsidP="002F6C1E">
      <w:pPr>
        <w:pStyle w:val="Normal1"/>
        <w:spacing w:line="360" w:lineRule="auto"/>
        <w:rPr>
          <w:b/>
          <w:sz w:val="32"/>
          <w:szCs w:val="32"/>
          <w:lang w:val="en-GB"/>
        </w:rPr>
      </w:pPr>
      <w:r>
        <w:rPr>
          <w:b/>
          <w:sz w:val="32"/>
          <w:szCs w:val="32"/>
          <w:lang w:val="en-GB"/>
        </w:rPr>
        <w:t xml:space="preserve">Module Leader: Charles </w:t>
      </w:r>
      <w:proofErr w:type="spellStart"/>
      <w:r>
        <w:rPr>
          <w:b/>
          <w:sz w:val="32"/>
          <w:szCs w:val="32"/>
          <w:lang w:val="en-GB"/>
        </w:rPr>
        <w:t>Oham</w:t>
      </w:r>
      <w:proofErr w:type="spellEnd"/>
    </w:p>
    <w:p w14:paraId="07E8D845" w14:textId="77777777" w:rsidR="006921C5" w:rsidRPr="00D51D37" w:rsidRDefault="006921C5" w:rsidP="007224C7">
      <w:pPr>
        <w:pStyle w:val="Normal1"/>
        <w:spacing w:line="360" w:lineRule="auto"/>
        <w:jc w:val="center"/>
        <w:rPr>
          <w:rFonts w:eastAsia="Times New Roman" w:cs="Times New Roman"/>
          <w:b/>
          <w:sz w:val="32"/>
          <w:szCs w:val="32"/>
          <w:lang w:val="en-GB"/>
        </w:rPr>
      </w:pPr>
    </w:p>
    <w:p w14:paraId="0ABD72A9" w14:textId="77777777" w:rsidR="006921C5" w:rsidRPr="00D51D37" w:rsidRDefault="00BD40C5" w:rsidP="007224C7">
      <w:pPr>
        <w:pStyle w:val="Normal1"/>
        <w:spacing w:line="360" w:lineRule="auto"/>
        <w:jc w:val="center"/>
        <w:rPr>
          <w:rFonts w:eastAsia="Times New Roman" w:cs="Times New Roman"/>
          <w:b/>
          <w:sz w:val="32"/>
          <w:szCs w:val="32"/>
          <w:lang w:val="en-GB"/>
        </w:rPr>
      </w:pPr>
      <w:r w:rsidRPr="00D51D37">
        <w:rPr>
          <w:lang w:val="en-GB"/>
        </w:rPr>
        <w:br w:type="page"/>
      </w:r>
    </w:p>
    <w:p w14:paraId="20E47B96" w14:textId="77777777" w:rsidR="007224C7" w:rsidRPr="00D51D37" w:rsidRDefault="007224C7" w:rsidP="007224C7">
      <w:pPr>
        <w:pStyle w:val="Normal1"/>
        <w:spacing w:line="360" w:lineRule="auto"/>
        <w:jc w:val="both"/>
        <w:rPr>
          <w:rFonts w:eastAsia="Times New Roman" w:cs="Times New Roman"/>
          <w:szCs w:val="24"/>
          <w:lang w:val="en-GB"/>
        </w:rPr>
      </w:pPr>
    </w:p>
    <w:sdt>
      <w:sdtPr>
        <w:rPr>
          <w:rFonts w:ascii="Arial" w:eastAsia="Arial" w:hAnsi="Arial" w:cs="Arial"/>
          <w:bCs w:val="0"/>
          <w:color w:val="auto"/>
          <w:sz w:val="22"/>
          <w:szCs w:val="22"/>
          <w:lang w:val="en-GB" w:eastAsia="en-IN"/>
        </w:rPr>
        <w:id w:val="4307422"/>
        <w:docPartObj>
          <w:docPartGallery w:val="Table of Contents"/>
          <w:docPartUnique/>
        </w:docPartObj>
      </w:sdtPr>
      <w:sdtEndPr>
        <w:rPr>
          <w:rFonts w:ascii="Times New Roman" w:hAnsi="Times New Roman"/>
          <w:sz w:val="24"/>
        </w:rPr>
      </w:sdtEndPr>
      <w:sdtContent>
        <w:p w14:paraId="7865FA30" w14:textId="77777777" w:rsidR="007224C7" w:rsidRPr="00D51D37" w:rsidRDefault="007224C7" w:rsidP="007224C7">
          <w:pPr>
            <w:pStyle w:val="TOCHeading"/>
            <w:spacing w:line="360" w:lineRule="auto"/>
            <w:jc w:val="center"/>
            <w:rPr>
              <w:rFonts w:ascii="Times New Roman" w:hAnsi="Times New Roman" w:cs="Times New Roman"/>
              <w:lang w:val="en-GB"/>
            </w:rPr>
          </w:pPr>
          <w:r w:rsidRPr="00D51D37">
            <w:rPr>
              <w:rFonts w:ascii="Times New Roman" w:hAnsi="Times New Roman" w:cs="Times New Roman"/>
              <w:b/>
              <w:color w:val="auto"/>
              <w:lang w:val="en-GB"/>
            </w:rPr>
            <w:t>Table of Contents</w:t>
          </w:r>
        </w:p>
        <w:p w14:paraId="7B3BF553" w14:textId="77777777" w:rsidR="00A66ACC" w:rsidRPr="00D51D37" w:rsidRDefault="0088202C">
          <w:pPr>
            <w:pStyle w:val="TOC1"/>
            <w:tabs>
              <w:tab w:val="right" w:leader="dot" w:pos="9350"/>
            </w:tabs>
            <w:rPr>
              <w:rFonts w:asciiTheme="minorHAnsi" w:eastAsiaTheme="minorEastAsia" w:hAnsiTheme="minorHAnsi" w:cstheme="minorBidi"/>
              <w:noProof/>
              <w:sz w:val="22"/>
            </w:rPr>
          </w:pPr>
          <w:r w:rsidRPr="00D51D37">
            <w:fldChar w:fldCharType="begin"/>
          </w:r>
          <w:r w:rsidR="007224C7" w:rsidRPr="00D51D37">
            <w:instrText xml:space="preserve"> TOC \o "1-3" \h \z \u </w:instrText>
          </w:r>
          <w:r w:rsidRPr="00D51D37">
            <w:fldChar w:fldCharType="separate"/>
          </w:r>
          <w:hyperlink w:anchor="_Toc101379239" w:history="1">
            <w:r w:rsidR="00A66ACC" w:rsidRPr="00D51D37">
              <w:rPr>
                <w:rStyle w:val="Hyperlink"/>
                <w:noProof/>
              </w:rPr>
              <w:t>Introduction</w:t>
            </w:r>
            <w:r w:rsidR="00A66ACC" w:rsidRPr="00D51D37">
              <w:rPr>
                <w:noProof/>
                <w:webHidden/>
              </w:rPr>
              <w:tab/>
            </w:r>
            <w:r w:rsidR="00A66ACC" w:rsidRPr="00D51D37">
              <w:rPr>
                <w:noProof/>
                <w:webHidden/>
              </w:rPr>
              <w:fldChar w:fldCharType="begin"/>
            </w:r>
            <w:r w:rsidR="00A66ACC" w:rsidRPr="00D51D37">
              <w:rPr>
                <w:noProof/>
                <w:webHidden/>
              </w:rPr>
              <w:instrText xml:space="preserve"> PAGEREF _Toc101379239 \h </w:instrText>
            </w:r>
            <w:r w:rsidR="00A66ACC" w:rsidRPr="00D51D37">
              <w:rPr>
                <w:noProof/>
                <w:webHidden/>
              </w:rPr>
            </w:r>
            <w:r w:rsidR="00A66ACC" w:rsidRPr="00D51D37">
              <w:rPr>
                <w:noProof/>
                <w:webHidden/>
              </w:rPr>
              <w:fldChar w:fldCharType="separate"/>
            </w:r>
            <w:r w:rsidR="00A66ACC" w:rsidRPr="00D51D37">
              <w:rPr>
                <w:noProof/>
                <w:webHidden/>
              </w:rPr>
              <w:t>3</w:t>
            </w:r>
            <w:r w:rsidR="00A66ACC" w:rsidRPr="00D51D37">
              <w:rPr>
                <w:noProof/>
                <w:webHidden/>
              </w:rPr>
              <w:fldChar w:fldCharType="end"/>
            </w:r>
          </w:hyperlink>
        </w:p>
        <w:p w14:paraId="463F74F3" w14:textId="77777777" w:rsidR="00A66ACC" w:rsidRPr="00D51D37" w:rsidRDefault="004D1FAF">
          <w:pPr>
            <w:pStyle w:val="TOC1"/>
            <w:tabs>
              <w:tab w:val="right" w:leader="dot" w:pos="9350"/>
            </w:tabs>
            <w:rPr>
              <w:rFonts w:asciiTheme="minorHAnsi" w:eastAsiaTheme="minorEastAsia" w:hAnsiTheme="minorHAnsi" w:cstheme="minorBidi"/>
              <w:noProof/>
              <w:sz w:val="22"/>
            </w:rPr>
          </w:pPr>
          <w:hyperlink w:anchor="_Toc101379240" w:history="1">
            <w:r w:rsidR="00A66ACC" w:rsidRPr="00D51D37">
              <w:rPr>
                <w:rStyle w:val="Hyperlink"/>
                <w:noProof/>
              </w:rPr>
              <w:t>Case in favour of flexible working in relation to diversity and inclusion at work</w:t>
            </w:r>
            <w:r w:rsidR="00A66ACC" w:rsidRPr="00D51D37">
              <w:rPr>
                <w:noProof/>
                <w:webHidden/>
              </w:rPr>
              <w:tab/>
            </w:r>
            <w:r w:rsidR="00A66ACC" w:rsidRPr="00D51D37">
              <w:rPr>
                <w:noProof/>
                <w:webHidden/>
              </w:rPr>
              <w:fldChar w:fldCharType="begin"/>
            </w:r>
            <w:r w:rsidR="00A66ACC" w:rsidRPr="00D51D37">
              <w:rPr>
                <w:noProof/>
                <w:webHidden/>
              </w:rPr>
              <w:instrText xml:space="preserve"> PAGEREF _Toc101379240 \h </w:instrText>
            </w:r>
            <w:r w:rsidR="00A66ACC" w:rsidRPr="00D51D37">
              <w:rPr>
                <w:noProof/>
                <w:webHidden/>
              </w:rPr>
            </w:r>
            <w:r w:rsidR="00A66ACC" w:rsidRPr="00D51D37">
              <w:rPr>
                <w:noProof/>
                <w:webHidden/>
              </w:rPr>
              <w:fldChar w:fldCharType="separate"/>
            </w:r>
            <w:r w:rsidR="00A66ACC" w:rsidRPr="00D51D37">
              <w:rPr>
                <w:noProof/>
                <w:webHidden/>
              </w:rPr>
              <w:t>3</w:t>
            </w:r>
            <w:r w:rsidR="00A66ACC" w:rsidRPr="00D51D37">
              <w:rPr>
                <w:noProof/>
                <w:webHidden/>
              </w:rPr>
              <w:fldChar w:fldCharType="end"/>
            </w:r>
          </w:hyperlink>
        </w:p>
        <w:p w14:paraId="0B767B9A" w14:textId="77777777" w:rsidR="00A66ACC" w:rsidRPr="00D51D37" w:rsidRDefault="004D1FAF">
          <w:pPr>
            <w:pStyle w:val="TOC1"/>
            <w:tabs>
              <w:tab w:val="right" w:leader="dot" w:pos="9350"/>
            </w:tabs>
            <w:rPr>
              <w:rFonts w:asciiTheme="minorHAnsi" w:eastAsiaTheme="minorEastAsia" w:hAnsiTheme="minorHAnsi" w:cstheme="minorBidi"/>
              <w:noProof/>
              <w:sz w:val="22"/>
            </w:rPr>
          </w:pPr>
          <w:hyperlink w:anchor="_Toc101379241" w:history="1">
            <w:r w:rsidR="00A66ACC" w:rsidRPr="00D51D37">
              <w:rPr>
                <w:rStyle w:val="Hyperlink"/>
                <w:noProof/>
              </w:rPr>
              <w:t>Case against flexible working in relation to inequality at work</w:t>
            </w:r>
            <w:r w:rsidR="00A66ACC" w:rsidRPr="00D51D37">
              <w:rPr>
                <w:noProof/>
                <w:webHidden/>
              </w:rPr>
              <w:tab/>
            </w:r>
            <w:r w:rsidR="00A66ACC" w:rsidRPr="00D51D37">
              <w:rPr>
                <w:noProof/>
                <w:webHidden/>
              </w:rPr>
              <w:fldChar w:fldCharType="begin"/>
            </w:r>
            <w:r w:rsidR="00A66ACC" w:rsidRPr="00D51D37">
              <w:rPr>
                <w:noProof/>
                <w:webHidden/>
              </w:rPr>
              <w:instrText xml:space="preserve"> PAGEREF _Toc101379241 \h </w:instrText>
            </w:r>
            <w:r w:rsidR="00A66ACC" w:rsidRPr="00D51D37">
              <w:rPr>
                <w:noProof/>
                <w:webHidden/>
              </w:rPr>
            </w:r>
            <w:r w:rsidR="00A66ACC" w:rsidRPr="00D51D37">
              <w:rPr>
                <w:noProof/>
                <w:webHidden/>
              </w:rPr>
              <w:fldChar w:fldCharType="separate"/>
            </w:r>
            <w:r w:rsidR="00A66ACC" w:rsidRPr="00D51D37">
              <w:rPr>
                <w:noProof/>
                <w:webHidden/>
              </w:rPr>
              <w:t>7</w:t>
            </w:r>
            <w:r w:rsidR="00A66ACC" w:rsidRPr="00D51D37">
              <w:rPr>
                <w:noProof/>
                <w:webHidden/>
              </w:rPr>
              <w:fldChar w:fldCharType="end"/>
            </w:r>
          </w:hyperlink>
        </w:p>
        <w:p w14:paraId="5B7076F2" w14:textId="77777777" w:rsidR="00A66ACC" w:rsidRPr="00D51D37" w:rsidRDefault="004D1FAF">
          <w:pPr>
            <w:pStyle w:val="TOC1"/>
            <w:tabs>
              <w:tab w:val="right" w:leader="dot" w:pos="9350"/>
            </w:tabs>
            <w:rPr>
              <w:rFonts w:asciiTheme="minorHAnsi" w:eastAsiaTheme="minorEastAsia" w:hAnsiTheme="minorHAnsi" w:cstheme="minorBidi"/>
              <w:noProof/>
              <w:sz w:val="22"/>
            </w:rPr>
          </w:pPr>
          <w:hyperlink w:anchor="_Toc101379242" w:history="1">
            <w:r w:rsidR="00A66ACC" w:rsidRPr="00D51D37">
              <w:rPr>
                <w:rStyle w:val="Hyperlink"/>
                <w:noProof/>
              </w:rPr>
              <w:t>Conclusion</w:t>
            </w:r>
            <w:r w:rsidR="00A66ACC" w:rsidRPr="00D51D37">
              <w:rPr>
                <w:noProof/>
                <w:webHidden/>
              </w:rPr>
              <w:tab/>
            </w:r>
            <w:r w:rsidR="00A66ACC" w:rsidRPr="00D51D37">
              <w:rPr>
                <w:noProof/>
                <w:webHidden/>
              </w:rPr>
              <w:fldChar w:fldCharType="begin"/>
            </w:r>
            <w:r w:rsidR="00A66ACC" w:rsidRPr="00D51D37">
              <w:rPr>
                <w:noProof/>
                <w:webHidden/>
              </w:rPr>
              <w:instrText xml:space="preserve"> PAGEREF _Toc101379242 \h </w:instrText>
            </w:r>
            <w:r w:rsidR="00A66ACC" w:rsidRPr="00D51D37">
              <w:rPr>
                <w:noProof/>
                <w:webHidden/>
              </w:rPr>
            </w:r>
            <w:r w:rsidR="00A66ACC" w:rsidRPr="00D51D37">
              <w:rPr>
                <w:noProof/>
                <w:webHidden/>
              </w:rPr>
              <w:fldChar w:fldCharType="separate"/>
            </w:r>
            <w:r w:rsidR="00A66ACC" w:rsidRPr="00D51D37">
              <w:rPr>
                <w:noProof/>
                <w:webHidden/>
              </w:rPr>
              <w:t>9</w:t>
            </w:r>
            <w:r w:rsidR="00A66ACC" w:rsidRPr="00D51D37">
              <w:rPr>
                <w:noProof/>
                <w:webHidden/>
              </w:rPr>
              <w:fldChar w:fldCharType="end"/>
            </w:r>
          </w:hyperlink>
        </w:p>
        <w:p w14:paraId="048FFE01" w14:textId="77777777" w:rsidR="00A66ACC" w:rsidRPr="00D51D37" w:rsidRDefault="004D1FAF">
          <w:pPr>
            <w:pStyle w:val="TOC1"/>
            <w:tabs>
              <w:tab w:val="right" w:leader="dot" w:pos="9350"/>
            </w:tabs>
            <w:rPr>
              <w:rFonts w:asciiTheme="minorHAnsi" w:eastAsiaTheme="minorEastAsia" w:hAnsiTheme="minorHAnsi" w:cstheme="minorBidi"/>
              <w:noProof/>
              <w:sz w:val="22"/>
            </w:rPr>
          </w:pPr>
          <w:hyperlink w:anchor="_Toc101379243" w:history="1">
            <w:r w:rsidR="00A66ACC" w:rsidRPr="00D51D37">
              <w:rPr>
                <w:rStyle w:val="Hyperlink"/>
                <w:noProof/>
              </w:rPr>
              <w:t>References</w:t>
            </w:r>
            <w:r w:rsidR="00A66ACC" w:rsidRPr="00D51D37">
              <w:rPr>
                <w:noProof/>
                <w:webHidden/>
              </w:rPr>
              <w:tab/>
            </w:r>
            <w:r w:rsidR="00A66ACC" w:rsidRPr="00D51D37">
              <w:rPr>
                <w:noProof/>
                <w:webHidden/>
              </w:rPr>
              <w:fldChar w:fldCharType="begin"/>
            </w:r>
            <w:r w:rsidR="00A66ACC" w:rsidRPr="00D51D37">
              <w:rPr>
                <w:noProof/>
                <w:webHidden/>
              </w:rPr>
              <w:instrText xml:space="preserve"> PAGEREF _Toc101379243 \h </w:instrText>
            </w:r>
            <w:r w:rsidR="00A66ACC" w:rsidRPr="00D51D37">
              <w:rPr>
                <w:noProof/>
                <w:webHidden/>
              </w:rPr>
            </w:r>
            <w:r w:rsidR="00A66ACC" w:rsidRPr="00D51D37">
              <w:rPr>
                <w:noProof/>
                <w:webHidden/>
              </w:rPr>
              <w:fldChar w:fldCharType="separate"/>
            </w:r>
            <w:r w:rsidR="00A66ACC" w:rsidRPr="00D51D37">
              <w:rPr>
                <w:noProof/>
                <w:webHidden/>
              </w:rPr>
              <w:t>10</w:t>
            </w:r>
            <w:r w:rsidR="00A66ACC" w:rsidRPr="00D51D37">
              <w:rPr>
                <w:noProof/>
                <w:webHidden/>
              </w:rPr>
              <w:fldChar w:fldCharType="end"/>
            </w:r>
          </w:hyperlink>
        </w:p>
        <w:p w14:paraId="231028E8" w14:textId="77777777" w:rsidR="007224C7" w:rsidRPr="00D51D37" w:rsidRDefault="0088202C" w:rsidP="007224C7">
          <w:r w:rsidRPr="00D51D37">
            <w:fldChar w:fldCharType="end"/>
          </w:r>
        </w:p>
      </w:sdtContent>
    </w:sdt>
    <w:p w14:paraId="3DFE1D21" w14:textId="77777777" w:rsidR="006921C5" w:rsidRPr="00D51D37" w:rsidRDefault="00BD40C5" w:rsidP="00925169">
      <w:pPr>
        <w:pStyle w:val="Normal1"/>
        <w:spacing w:line="360" w:lineRule="auto"/>
        <w:jc w:val="both"/>
        <w:rPr>
          <w:rFonts w:eastAsia="Times New Roman" w:cs="Times New Roman"/>
          <w:szCs w:val="24"/>
          <w:lang w:val="en-GB"/>
        </w:rPr>
      </w:pPr>
      <w:r w:rsidRPr="00D51D37">
        <w:rPr>
          <w:lang w:val="en-GB"/>
        </w:rPr>
        <w:br w:type="page"/>
      </w:r>
    </w:p>
    <w:p w14:paraId="58B05474" w14:textId="77777777" w:rsidR="006921C5" w:rsidRPr="00D51D37" w:rsidRDefault="00BD40C5" w:rsidP="00925169">
      <w:pPr>
        <w:pStyle w:val="Heading1"/>
        <w:spacing w:line="360" w:lineRule="auto"/>
        <w:rPr>
          <w:b w:val="0"/>
          <w:lang w:val="en-GB"/>
        </w:rPr>
      </w:pPr>
      <w:bookmarkStart w:id="0" w:name="_Toc101379239"/>
      <w:r w:rsidRPr="00D51D37">
        <w:rPr>
          <w:lang w:val="en-GB"/>
        </w:rPr>
        <w:lastRenderedPageBreak/>
        <w:t>Introduction</w:t>
      </w:r>
      <w:bookmarkEnd w:id="0"/>
    </w:p>
    <w:p w14:paraId="7FA4BB55" w14:textId="77777777" w:rsidR="006921C5" w:rsidRPr="00D51D37" w:rsidRDefault="00BD40C5" w:rsidP="00925169">
      <w:pPr>
        <w:pStyle w:val="Normal1"/>
        <w:spacing w:line="360" w:lineRule="auto"/>
        <w:jc w:val="both"/>
        <w:rPr>
          <w:lang w:val="en-GB"/>
        </w:rPr>
      </w:pPr>
      <w:r w:rsidRPr="00D51D37">
        <w:rPr>
          <w:lang w:val="en-GB"/>
        </w:rPr>
        <w:t>Business management refers to the coordination and administration of business procedures.</w:t>
      </w:r>
      <w:r w:rsidR="007224C7" w:rsidRPr="00D51D37">
        <w:rPr>
          <w:lang w:val="en-GB"/>
        </w:rPr>
        <w:t xml:space="preserve"> </w:t>
      </w:r>
      <w:r w:rsidRPr="00D51D37">
        <w:rPr>
          <w:lang w:val="en-GB"/>
        </w:rPr>
        <w:t xml:space="preserve">In business management, managing people is a vital procedure for the efficiency of the business. Managing people includes understanding the ability of each employee and distributing the task respectively, listening to their concerns and providing praise and constructive criticism uniformly. Managing people will result in an effective business environment and increase the employee retention in an organisation. The following report will analyse how the management is influenced by numerous internal and external factors. Nowadays there is an increase in the demand for flexibility in work hours among the employees. Flexibility in working hours refers to the ability of employees in choosing the time when they want to work. The report will critically evaluate </w:t>
      </w:r>
      <w:r w:rsidR="007224C7" w:rsidRPr="00D51D37">
        <w:rPr>
          <w:lang w:val="en-GB"/>
        </w:rPr>
        <w:t>the factors</w:t>
      </w:r>
      <w:r w:rsidRPr="00D51D37">
        <w:rPr>
          <w:lang w:val="en-GB"/>
        </w:rPr>
        <w:t xml:space="preserve"> that stand in favour of or against the flexible working environment for the employees. The supporting factors will be presented with regards to the inclusivity</w:t>
      </w:r>
      <w:r w:rsidR="007224C7" w:rsidRPr="00D51D37">
        <w:rPr>
          <w:lang w:val="en-GB"/>
        </w:rPr>
        <w:t xml:space="preserve"> and diversity at work. T</w:t>
      </w:r>
      <w:r w:rsidRPr="00D51D37">
        <w:rPr>
          <w:lang w:val="en-GB"/>
        </w:rPr>
        <w:t xml:space="preserve">he opposing factors will be presented in relation to inequalities at work. Besides that, the report will also analyse the role of human resources in conveying the concerns of inequality that might arise from flexible working. The report will highlight the impact of availing flexible work hours on the effectiveness of the organisation. </w:t>
      </w:r>
    </w:p>
    <w:p w14:paraId="6DB399DF" w14:textId="77777777" w:rsidR="006921C5" w:rsidRPr="00D51D37" w:rsidRDefault="00BD40C5" w:rsidP="00925169">
      <w:pPr>
        <w:pStyle w:val="Heading1"/>
        <w:spacing w:line="360" w:lineRule="auto"/>
        <w:rPr>
          <w:lang w:val="en-GB"/>
        </w:rPr>
      </w:pPr>
      <w:bookmarkStart w:id="1" w:name="_Toc101379240"/>
      <w:r w:rsidRPr="00D51D37">
        <w:rPr>
          <w:lang w:val="en-GB"/>
        </w:rPr>
        <w:t>Case in favour of flexible working in relation to diversity and inclusion at work</w:t>
      </w:r>
      <w:bookmarkEnd w:id="1"/>
      <w:r w:rsidRPr="00D51D37">
        <w:rPr>
          <w:lang w:val="en-GB"/>
        </w:rPr>
        <w:t xml:space="preserve"> </w:t>
      </w:r>
    </w:p>
    <w:p w14:paraId="33A9E79E" w14:textId="77777777" w:rsidR="00845B66" w:rsidRDefault="00BD40C5" w:rsidP="00925169">
      <w:pPr>
        <w:pStyle w:val="Normal1"/>
        <w:spacing w:line="360" w:lineRule="auto"/>
        <w:jc w:val="both"/>
        <w:rPr>
          <w:lang w:val="en-GB"/>
        </w:rPr>
      </w:pPr>
      <w:r w:rsidRPr="00D51D37">
        <w:rPr>
          <w:lang w:val="en-GB"/>
        </w:rPr>
        <w:t xml:space="preserve">The emergence of Covid-19 and the pandemonium it created globally in all the sectors, be it in health, business and personal. The world was in a severe distraught during the pandemic and the lockdown and all the businesses were in a </w:t>
      </w:r>
      <w:r w:rsidR="007224C7" w:rsidRPr="00D51D37">
        <w:rPr>
          <w:lang w:val="en-GB"/>
        </w:rPr>
        <w:t>standstill</w:t>
      </w:r>
      <w:r w:rsidRPr="00D51D37">
        <w:rPr>
          <w:lang w:val="en-GB"/>
        </w:rPr>
        <w:t xml:space="preserve"> or were working at a minimal level remotely or by other means. Covid-19 pandemic has placed upon flexible work </w:t>
      </w:r>
      <w:r w:rsidR="007224C7" w:rsidRPr="00D51D37">
        <w:rPr>
          <w:lang w:val="en-GB"/>
        </w:rPr>
        <w:t>arrangements which mostly incorporate</w:t>
      </w:r>
      <w:r w:rsidRPr="00D51D37">
        <w:rPr>
          <w:lang w:val="en-GB"/>
        </w:rPr>
        <w:t xml:space="preserve"> working remotely (</w:t>
      </w:r>
      <w:r w:rsidRPr="00D51D37">
        <w:rPr>
          <w:color w:val="222222"/>
          <w:highlight w:val="white"/>
          <w:lang w:val="en-GB"/>
        </w:rPr>
        <w:t xml:space="preserve">Feng and </w:t>
      </w:r>
      <w:proofErr w:type="spellStart"/>
      <w:r w:rsidRPr="00D51D37">
        <w:rPr>
          <w:color w:val="222222"/>
          <w:highlight w:val="white"/>
          <w:lang w:val="en-GB"/>
        </w:rPr>
        <w:t>Geng</w:t>
      </w:r>
      <w:proofErr w:type="spellEnd"/>
      <w:r w:rsidRPr="00D51D37">
        <w:rPr>
          <w:color w:val="222222"/>
          <w:highlight w:val="white"/>
          <w:lang w:val="en-GB"/>
        </w:rPr>
        <w:t>, 2022</w:t>
      </w:r>
      <w:r w:rsidRPr="00D51D37">
        <w:rPr>
          <w:lang w:val="en-GB"/>
        </w:rPr>
        <w:t>). Due to the lockdown the government had put legislation into place to stay at home for the safety and allowing only essential businesses to function with a physical location. It included the retail business but only those businesses that were deemed necessary or essential like the basic materials like food in the retail industry. After the pandemic settled down and social distancing orders were lifted, the flexible work relation had been incorporated and remote working arrangements are now a real normal.</w:t>
      </w:r>
    </w:p>
    <w:p w14:paraId="1E22F2BB" w14:textId="1E0B5433" w:rsidR="006921C5" w:rsidRPr="00D51D37" w:rsidRDefault="00BD40C5" w:rsidP="00925169">
      <w:pPr>
        <w:pStyle w:val="Normal1"/>
        <w:spacing w:line="360" w:lineRule="auto"/>
        <w:jc w:val="both"/>
        <w:rPr>
          <w:lang w:val="en-GB"/>
        </w:rPr>
      </w:pPr>
      <w:r w:rsidRPr="00D51D37">
        <w:rPr>
          <w:lang w:val="en-GB"/>
        </w:rPr>
        <w:t xml:space="preserve"> </w:t>
      </w:r>
    </w:p>
    <w:p w14:paraId="3DC6A702" w14:textId="77777777" w:rsidR="006921C5" w:rsidRPr="00D51D37" w:rsidRDefault="00BD40C5" w:rsidP="00925169">
      <w:pPr>
        <w:rPr>
          <w:b/>
        </w:rPr>
      </w:pPr>
      <w:r w:rsidRPr="00D51D37">
        <w:rPr>
          <w:b/>
        </w:rPr>
        <w:lastRenderedPageBreak/>
        <w:t>Flexible working</w:t>
      </w:r>
    </w:p>
    <w:p w14:paraId="0901BE9D" w14:textId="77777777" w:rsidR="006921C5" w:rsidRPr="00D51D37" w:rsidRDefault="00BD40C5" w:rsidP="00925169">
      <w:pPr>
        <w:pStyle w:val="Normal1"/>
        <w:spacing w:line="360" w:lineRule="auto"/>
        <w:jc w:val="both"/>
        <w:rPr>
          <w:lang w:val="en-GB"/>
        </w:rPr>
      </w:pPr>
      <w:r w:rsidRPr="00D51D37">
        <w:rPr>
          <w:lang w:val="en-GB"/>
        </w:rPr>
        <w:t xml:space="preserve">Flexible working is a working arrangement that allows the employees to generate variation </w:t>
      </w:r>
      <w:proofErr w:type="gramStart"/>
      <w:r w:rsidRPr="00D51D37">
        <w:rPr>
          <w:lang w:val="en-GB"/>
        </w:rPr>
        <w:t>for the amount of</w:t>
      </w:r>
      <w:proofErr w:type="gramEnd"/>
      <w:r w:rsidRPr="00D51D37">
        <w:rPr>
          <w:lang w:val="en-GB"/>
        </w:rPr>
        <w:t xml:space="preserve"> time given in the work, the timing and location of the work being done, working on a remote basis but in an efficient manner that may be mutually beneficial to the employee and the organisation (</w:t>
      </w:r>
      <w:r w:rsidRPr="00D51D37">
        <w:rPr>
          <w:color w:val="222222"/>
          <w:highlight w:val="white"/>
          <w:lang w:val="en-GB"/>
        </w:rPr>
        <w:t>Fenton, 2020</w:t>
      </w:r>
      <w:r w:rsidRPr="00D51D37">
        <w:rPr>
          <w:lang w:val="en-GB"/>
        </w:rPr>
        <w:t xml:space="preserve">). Flexible working has dimensions of working arrangement relating to part-time work, job sharing, </w:t>
      </w:r>
      <w:r w:rsidR="008C1F29" w:rsidRPr="00D51D37">
        <w:rPr>
          <w:lang w:val="en-GB"/>
        </w:rPr>
        <w:t>and flexible</w:t>
      </w:r>
      <w:r w:rsidRPr="00D51D37">
        <w:rPr>
          <w:lang w:val="en-GB"/>
        </w:rPr>
        <w:t xml:space="preserve"> time management, working from home and mobile working.</w:t>
      </w:r>
    </w:p>
    <w:p w14:paraId="22FA3A12" w14:textId="77777777" w:rsidR="006921C5" w:rsidRPr="00D51D37" w:rsidRDefault="006921C5" w:rsidP="00925169">
      <w:pPr>
        <w:pStyle w:val="Normal1"/>
        <w:spacing w:line="360" w:lineRule="auto"/>
        <w:jc w:val="both"/>
        <w:rPr>
          <w:rFonts w:eastAsia="Times New Roman" w:cs="Times New Roman"/>
          <w:szCs w:val="24"/>
          <w:lang w:val="en-GB"/>
        </w:rPr>
      </w:pPr>
    </w:p>
    <w:p w14:paraId="74927E61" w14:textId="77777777" w:rsidR="006921C5" w:rsidRPr="00D51D37" w:rsidRDefault="00BD40C5" w:rsidP="00925169">
      <w:pPr>
        <w:rPr>
          <w:b/>
        </w:rPr>
      </w:pPr>
      <w:r w:rsidRPr="00D51D37">
        <w:rPr>
          <w:b/>
        </w:rPr>
        <w:t>Cases in favour</w:t>
      </w:r>
    </w:p>
    <w:p w14:paraId="33075822" w14:textId="77777777" w:rsidR="006921C5" w:rsidRPr="00D51D37" w:rsidRDefault="00BD40C5" w:rsidP="00925169">
      <w:pPr>
        <w:pStyle w:val="Normal1"/>
        <w:spacing w:line="360" w:lineRule="auto"/>
        <w:jc w:val="both"/>
        <w:rPr>
          <w:lang w:val="en-GB"/>
        </w:rPr>
      </w:pPr>
      <w:r w:rsidRPr="00D51D37">
        <w:rPr>
          <w:lang w:val="en-GB"/>
        </w:rPr>
        <w:t xml:space="preserve">After the businesses reopened the employees had experienced flexible working remotely and had shown success in the business operations. The work now experienced that it is different from the traditional 9 to 5 and had shown productivity with time management. Even after </w:t>
      </w:r>
      <w:r w:rsidR="008C1F29" w:rsidRPr="00D51D37">
        <w:rPr>
          <w:lang w:val="en-GB"/>
        </w:rPr>
        <w:t>the pandemic</w:t>
      </w:r>
      <w:r w:rsidRPr="00D51D37">
        <w:rPr>
          <w:lang w:val="en-GB"/>
        </w:rPr>
        <w:t xml:space="preserve"> the flexible working arrangements can improve productivity, </w:t>
      </w:r>
      <w:proofErr w:type="gramStart"/>
      <w:r w:rsidRPr="00D51D37">
        <w:rPr>
          <w:lang w:val="en-GB"/>
        </w:rPr>
        <w:t>recruitment</w:t>
      </w:r>
      <w:proofErr w:type="gramEnd"/>
      <w:r w:rsidRPr="00D51D37">
        <w:rPr>
          <w:lang w:val="en-GB"/>
        </w:rPr>
        <w:t xml:space="preserve"> and retention of the employees. Flexible working arrangements can offer numerous benefits and </w:t>
      </w:r>
      <w:proofErr w:type="gramStart"/>
      <w:r w:rsidRPr="00D51D37">
        <w:rPr>
          <w:lang w:val="en-GB"/>
        </w:rPr>
        <w:t>positive growth</w:t>
      </w:r>
      <w:proofErr w:type="gramEnd"/>
      <w:r w:rsidRPr="00D51D37">
        <w:rPr>
          <w:lang w:val="en-GB"/>
        </w:rPr>
        <w:t xml:space="preserve"> for both the employees and the employers (</w:t>
      </w:r>
      <w:proofErr w:type="spellStart"/>
      <w:r w:rsidRPr="00D51D37">
        <w:rPr>
          <w:color w:val="222222"/>
          <w:highlight w:val="white"/>
          <w:lang w:val="en-GB"/>
        </w:rPr>
        <w:t>Lazarova</w:t>
      </w:r>
      <w:proofErr w:type="spellEnd"/>
      <w:r w:rsidRPr="00D51D37">
        <w:rPr>
          <w:color w:val="222222"/>
          <w:highlight w:val="white"/>
          <w:lang w:val="en-GB"/>
        </w:rPr>
        <w:t xml:space="preserve"> </w:t>
      </w:r>
      <w:r w:rsidRPr="00D51D37">
        <w:rPr>
          <w:i/>
          <w:color w:val="222222"/>
          <w:highlight w:val="white"/>
          <w:lang w:val="en-GB"/>
        </w:rPr>
        <w:t>et al.,</w:t>
      </w:r>
      <w:r w:rsidRPr="00D51D37">
        <w:rPr>
          <w:color w:val="222222"/>
          <w:highlight w:val="white"/>
          <w:lang w:val="en-GB"/>
        </w:rPr>
        <w:t xml:space="preserve"> 2021</w:t>
      </w:r>
      <w:r w:rsidRPr="00D51D37">
        <w:rPr>
          <w:lang w:val="en-GB"/>
        </w:rPr>
        <w:t xml:space="preserve">). This helps in enhancing the working </w:t>
      </w:r>
      <w:r w:rsidR="008C1F29" w:rsidRPr="00D51D37">
        <w:rPr>
          <w:lang w:val="en-GB"/>
        </w:rPr>
        <w:t>morale;</w:t>
      </w:r>
      <w:r w:rsidRPr="00D51D37">
        <w:rPr>
          <w:lang w:val="en-GB"/>
        </w:rPr>
        <w:t xml:space="preserve"> it helps in boosting productivity, making a better work and life balance for the employees. This mode helps in the management of employee attendance and reducing absentees (</w:t>
      </w:r>
      <w:r w:rsidRPr="00D51D37">
        <w:rPr>
          <w:color w:val="222222"/>
          <w:highlight w:val="white"/>
          <w:lang w:val="en-GB"/>
        </w:rPr>
        <w:t>Bratton</w:t>
      </w:r>
      <w:r w:rsidRPr="00D51D37">
        <w:rPr>
          <w:i/>
          <w:color w:val="222222"/>
          <w:highlight w:val="white"/>
          <w:lang w:val="en-GB"/>
        </w:rPr>
        <w:t xml:space="preserve"> et al., </w:t>
      </w:r>
      <w:r w:rsidRPr="00D51D37">
        <w:rPr>
          <w:color w:val="222222"/>
          <w:highlight w:val="white"/>
          <w:lang w:val="en-GB"/>
        </w:rPr>
        <w:t>2021</w:t>
      </w:r>
      <w:r w:rsidRPr="00D51D37">
        <w:rPr>
          <w:lang w:val="en-GB"/>
        </w:rPr>
        <w:t xml:space="preserve">). This helps in retaining good and productive employees. The flexible work arrangement can also contribute to sustainability by reducing carbon footprints in the workplace. This mode helps in the continuous process of business operations even during emergencies. This can be further discussed by various factors but for a retail company it is not easy to propagate all the flexible arrangements as there would be requirement of physical presence of employees for certain job criteria but can be innovative in such manners. </w:t>
      </w:r>
    </w:p>
    <w:p w14:paraId="3BCCE4CC" w14:textId="77777777" w:rsidR="006921C5" w:rsidRPr="00D51D37" w:rsidRDefault="006921C5" w:rsidP="00925169">
      <w:pPr>
        <w:pStyle w:val="Normal1"/>
        <w:spacing w:line="360" w:lineRule="auto"/>
        <w:jc w:val="both"/>
        <w:rPr>
          <w:rFonts w:eastAsia="Times New Roman" w:cs="Times New Roman"/>
          <w:szCs w:val="24"/>
          <w:lang w:val="en-GB"/>
        </w:rPr>
      </w:pPr>
    </w:p>
    <w:p w14:paraId="3E7234C9" w14:textId="77777777" w:rsidR="006921C5" w:rsidRPr="00D51D37" w:rsidRDefault="00BD40C5" w:rsidP="00925169">
      <w:pPr>
        <w:rPr>
          <w:b/>
        </w:rPr>
      </w:pPr>
      <w:r w:rsidRPr="00D51D37">
        <w:rPr>
          <w:b/>
        </w:rPr>
        <w:t xml:space="preserve">Schedule Flexibility </w:t>
      </w:r>
    </w:p>
    <w:p w14:paraId="3E5FD238" w14:textId="77777777" w:rsidR="006921C5" w:rsidRPr="00D51D37" w:rsidRDefault="00BD40C5" w:rsidP="00925169">
      <w:pPr>
        <w:pStyle w:val="Normal1"/>
        <w:spacing w:line="360" w:lineRule="auto"/>
        <w:jc w:val="both"/>
        <w:rPr>
          <w:lang w:val="en-GB"/>
        </w:rPr>
      </w:pPr>
      <w:r w:rsidRPr="00D51D37">
        <w:rPr>
          <w:lang w:val="en-GB"/>
        </w:rPr>
        <w:t xml:space="preserve">This arrangement of flexible work environments is the traditional kind as it includes shift work, part-time schedules, job sharing, compressed workweek and flexible timing. Shift work has been a feature for the service economy operating 24/7 such as supermarkets which incorporate the retail business. As the retail business operates 24/7 the flexible shifts of the employees can be very beneficial and productive for the business operation. Part-time jobs have been a traditional flexible scheduling job requirement and incorporating this can be favourable as the </w:t>
      </w:r>
      <w:proofErr w:type="gramStart"/>
      <w:r w:rsidRPr="00D51D37">
        <w:rPr>
          <w:lang w:val="en-GB"/>
        </w:rPr>
        <w:t>full time</w:t>
      </w:r>
      <w:proofErr w:type="gramEnd"/>
      <w:r w:rsidRPr="00D51D37">
        <w:rPr>
          <w:lang w:val="en-GB"/>
        </w:rPr>
        <w:t xml:space="preserve"> workers can </w:t>
      </w:r>
      <w:r w:rsidRPr="00D51D37">
        <w:rPr>
          <w:lang w:val="en-GB"/>
        </w:rPr>
        <w:lastRenderedPageBreak/>
        <w:t>be assisted well in the functioning of business operations (</w:t>
      </w:r>
      <w:proofErr w:type="spellStart"/>
      <w:r w:rsidRPr="00D51D37">
        <w:rPr>
          <w:color w:val="222222"/>
          <w:highlight w:val="white"/>
          <w:lang w:val="en-GB"/>
        </w:rPr>
        <w:t>Klikauer</w:t>
      </w:r>
      <w:proofErr w:type="spellEnd"/>
      <w:r w:rsidRPr="00D51D37">
        <w:rPr>
          <w:color w:val="222222"/>
          <w:highlight w:val="white"/>
          <w:lang w:val="en-GB"/>
        </w:rPr>
        <w:t>, 2018.</w:t>
      </w:r>
      <w:r w:rsidRPr="00D51D37">
        <w:rPr>
          <w:lang w:val="en-GB"/>
        </w:rPr>
        <w:t xml:space="preserve">). This work arrangement can attract a workforce that includes students, young parents who do not wish to work full time due to circumstances. This can be beneficial and also some are part-time </w:t>
      </w:r>
      <w:proofErr w:type="gramStart"/>
      <w:r w:rsidRPr="00D51D37">
        <w:rPr>
          <w:lang w:val="en-GB"/>
        </w:rPr>
        <w:t>professionals</w:t>
      </w:r>
      <w:proofErr w:type="gramEnd"/>
      <w:r w:rsidRPr="00D51D37">
        <w:rPr>
          <w:lang w:val="en-GB"/>
        </w:rPr>
        <w:t xml:space="preserve"> and the organisation can retain those professionals with this mode of flexible work arrangement. Job sharing is another option that can be incorporated as it is </w:t>
      </w:r>
      <w:r w:rsidR="007224C7" w:rsidRPr="00D51D37">
        <w:rPr>
          <w:lang w:val="en-GB"/>
        </w:rPr>
        <w:t>practices of having different employees perform</w:t>
      </w:r>
      <w:r w:rsidRPr="00D51D37">
        <w:rPr>
          <w:lang w:val="en-GB"/>
        </w:rPr>
        <w:t xml:space="preserve"> a similar task (</w:t>
      </w:r>
      <w:r w:rsidRPr="00D51D37">
        <w:rPr>
          <w:color w:val="222222"/>
          <w:highlight w:val="white"/>
          <w:lang w:val="en-GB"/>
        </w:rPr>
        <w:t>Beatson, 2019</w:t>
      </w:r>
      <w:r w:rsidRPr="00D51D37">
        <w:rPr>
          <w:lang w:val="en-GB"/>
        </w:rPr>
        <w:t>). This mode can be productive in the retail sector as two or more employees work a part-time schedule but are accountable to the duties performed.</w:t>
      </w:r>
    </w:p>
    <w:p w14:paraId="7D1087F4" w14:textId="77777777" w:rsidR="006921C5" w:rsidRPr="00D51D37" w:rsidRDefault="006921C5" w:rsidP="00925169">
      <w:pPr>
        <w:pStyle w:val="Normal1"/>
        <w:spacing w:line="360" w:lineRule="auto"/>
        <w:jc w:val="both"/>
        <w:rPr>
          <w:rFonts w:eastAsia="Times New Roman" w:cs="Times New Roman"/>
          <w:szCs w:val="24"/>
          <w:lang w:val="en-GB"/>
        </w:rPr>
      </w:pPr>
    </w:p>
    <w:p w14:paraId="7E3CA521" w14:textId="77777777" w:rsidR="006921C5" w:rsidRPr="00D51D37" w:rsidRDefault="00BD40C5" w:rsidP="00925169">
      <w:pPr>
        <w:rPr>
          <w:b/>
        </w:rPr>
      </w:pPr>
      <w:r w:rsidRPr="00D51D37">
        <w:rPr>
          <w:b/>
        </w:rPr>
        <w:t xml:space="preserve">Location Flexibility </w:t>
      </w:r>
    </w:p>
    <w:p w14:paraId="7797EF2D" w14:textId="77777777" w:rsidR="006921C5" w:rsidRPr="00D51D37" w:rsidRDefault="00BD40C5" w:rsidP="00925169">
      <w:pPr>
        <w:pStyle w:val="Normal1"/>
        <w:spacing w:line="360" w:lineRule="auto"/>
        <w:jc w:val="both"/>
        <w:rPr>
          <w:lang w:val="en-GB"/>
        </w:rPr>
      </w:pPr>
      <w:r w:rsidRPr="00D51D37">
        <w:rPr>
          <w:lang w:val="en-GB"/>
        </w:rPr>
        <w:t>This flexible working arrangement is based on working remotely from home or from a work site without entering the physical location of the business operations. In this type of workplace Telecommunication and remote work is the most common type of flexible work environment. In the periphery of the retail business where certain employees are to be present physically for business operation, the above scheduling flexibility would be more appropriate (</w:t>
      </w:r>
      <w:r w:rsidRPr="00D51D37">
        <w:rPr>
          <w:color w:val="222222"/>
          <w:highlight w:val="white"/>
          <w:lang w:val="en-GB"/>
        </w:rPr>
        <w:t>Chung and Lippe, 2020</w:t>
      </w:r>
      <w:r w:rsidRPr="00D51D37">
        <w:rPr>
          <w:lang w:val="en-GB"/>
        </w:rPr>
        <w:t xml:space="preserve">). But with retail business having different fields of operations beside retail there are operations related to customer service, online services for procurement of items and managerial roles. This work flexibility aspect can be put down for those employees in the retail </w:t>
      </w:r>
      <w:r w:rsidR="007224C7" w:rsidRPr="00D51D37">
        <w:rPr>
          <w:lang w:val="en-GB"/>
        </w:rPr>
        <w:t>business who is</w:t>
      </w:r>
      <w:r w:rsidRPr="00D51D37">
        <w:rPr>
          <w:lang w:val="en-GB"/>
        </w:rPr>
        <w:t xml:space="preserve"> working on these kinds of operations. The employees can spend their </w:t>
      </w:r>
      <w:proofErr w:type="gramStart"/>
      <w:r w:rsidRPr="00D51D37">
        <w:rPr>
          <w:lang w:val="en-GB"/>
        </w:rPr>
        <w:t>work days</w:t>
      </w:r>
      <w:proofErr w:type="gramEnd"/>
      <w:r w:rsidRPr="00D51D37">
        <w:rPr>
          <w:lang w:val="en-GB"/>
        </w:rPr>
        <w:t xml:space="preserve"> with occasional telecommuting work like customer service, writing reports on sales, preparing spreadsheets from their home (</w:t>
      </w:r>
      <w:r w:rsidRPr="00D51D37">
        <w:rPr>
          <w:color w:val="222222"/>
          <w:highlight w:val="white"/>
          <w:lang w:val="en-GB"/>
        </w:rPr>
        <w:t>Fenton, 2020</w:t>
      </w:r>
      <w:r w:rsidRPr="00D51D37">
        <w:rPr>
          <w:lang w:val="en-GB"/>
        </w:rPr>
        <w:t xml:space="preserve">). This can help in the emergency work for ensuring business continuity. </w:t>
      </w:r>
    </w:p>
    <w:p w14:paraId="1ABF8BDC" w14:textId="77777777" w:rsidR="006921C5" w:rsidRPr="00D51D37" w:rsidRDefault="006921C5" w:rsidP="00925169">
      <w:pPr>
        <w:pStyle w:val="Normal1"/>
        <w:spacing w:line="360" w:lineRule="auto"/>
        <w:jc w:val="both"/>
        <w:rPr>
          <w:rFonts w:eastAsia="Times New Roman" w:cs="Times New Roman"/>
          <w:b/>
          <w:sz w:val="28"/>
          <w:szCs w:val="28"/>
          <w:lang w:val="en-GB"/>
        </w:rPr>
      </w:pPr>
    </w:p>
    <w:p w14:paraId="416529CC" w14:textId="77777777" w:rsidR="006921C5" w:rsidRPr="00D51D37" w:rsidRDefault="00BD40C5" w:rsidP="00925169">
      <w:pPr>
        <w:rPr>
          <w:b/>
        </w:rPr>
      </w:pPr>
      <w:r w:rsidRPr="00D51D37">
        <w:rPr>
          <w:b/>
        </w:rPr>
        <w:t xml:space="preserve">Hybrid work arrangements  </w:t>
      </w:r>
    </w:p>
    <w:p w14:paraId="61015DC2" w14:textId="77777777" w:rsidR="006921C5" w:rsidRPr="00D51D37" w:rsidRDefault="00BD40C5" w:rsidP="00925169">
      <w:pPr>
        <w:pStyle w:val="Normal1"/>
        <w:spacing w:line="360" w:lineRule="auto"/>
        <w:jc w:val="both"/>
        <w:rPr>
          <w:lang w:val="en-GB"/>
        </w:rPr>
      </w:pPr>
      <w:r w:rsidRPr="00D51D37">
        <w:rPr>
          <w:lang w:val="en-GB"/>
        </w:rPr>
        <w:t>Hybrid work arrangement is another dimension of flexible work arrangement in which the work time is being split between office and home. The employees in the retail business working at the sales counter are not much fit for this but the managerial roles to the roles in the management and data handling to customer service can utilise this working arrangement (</w:t>
      </w:r>
      <w:r w:rsidRPr="00D51D37">
        <w:rPr>
          <w:color w:val="222222"/>
          <w:highlight w:val="white"/>
          <w:lang w:val="en-GB"/>
        </w:rPr>
        <w:t>Delany, 2022</w:t>
      </w:r>
      <w:r w:rsidR="007224C7" w:rsidRPr="00D51D37">
        <w:rPr>
          <w:lang w:val="en-GB"/>
        </w:rPr>
        <w:t xml:space="preserve">). After the pandemic, </w:t>
      </w:r>
      <w:r w:rsidRPr="00D51D37">
        <w:rPr>
          <w:lang w:val="en-GB"/>
        </w:rPr>
        <w:t xml:space="preserve">working in a hybrid form by splitting the time from office and home has been normal. The employees working in the retail business having managerial type of work related to data, customer service, report </w:t>
      </w:r>
      <w:proofErr w:type="gramStart"/>
      <w:r w:rsidRPr="00D51D37">
        <w:rPr>
          <w:lang w:val="en-GB"/>
        </w:rPr>
        <w:t>making</w:t>
      </w:r>
      <w:proofErr w:type="gramEnd"/>
      <w:r w:rsidRPr="00D51D37">
        <w:rPr>
          <w:lang w:val="en-GB"/>
        </w:rPr>
        <w:t xml:space="preserve"> and surveys can incorporate this mode (</w:t>
      </w:r>
      <w:proofErr w:type="spellStart"/>
      <w:r w:rsidRPr="00D51D37">
        <w:rPr>
          <w:color w:val="222222"/>
          <w:highlight w:val="white"/>
          <w:lang w:val="en-GB"/>
        </w:rPr>
        <w:t>Senbursa</w:t>
      </w:r>
      <w:proofErr w:type="spellEnd"/>
      <w:r w:rsidRPr="00D51D37">
        <w:rPr>
          <w:color w:val="222222"/>
          <w:highlight w:val="white"/>
          <w:lang w:val="en-GB"/>
        </w:rPr>
        <w:t>, 2022</w:t>
      </w:r>
      <w:r w:rsidRPr="00D51D37">
        <w:rPr>
          <w:lang w:val="en-GB"/>
        </w:rPr>
        <w:t>). Thi</w:t>
      </w:r>
      <w:r w:rsidR="007224C7" w:rsidRPr="00D51D37">
        <w:rPr>
          <w:lang w:val="en-GB"/>
        </w:rPr>
        <w:t>s</w:t>
      </w:r>
      <w:r w:rsidRPr="00D51D37">
        <w:rPr>
          <w:lang w:val="en-GB"/>
        </w:rPr>
        <w:t xml:space="preserve"> can be an effective way in managing space of the office section and can manage the spaces for various </w:t>
      </w:r>
      <w:r w:rsidRPr="00D51D37">
        <w:rPr>
          <w:lang w:val="en-GB"/>
        </w:rPr>
        <w:lastRenderedPageBreak/>
        <w:t>operations with scheduling of hybrid working arrangements among different departments for office space.</w:t>
      </w:r>
    </w:p>
    <w:p w14:paraId="0C76D5D7" w14:textId="77777777" w:rsidR="006921C5" w:rsidRPr="00D51D37" w:rsidRDefault="006921C5" w:rsidP="00925169">
      <w:pPr>
        <w:pStyle w:val="Normal1"/>
        <w:spacing w:line="360" w:lineRule="auto"/>
        <w:jc w:val="both"/>
        <w:rPr>
          <w:rFonts w:eastAsia="Times New Roman" w:cs="Times New Roman"/>
          <w:szCs w:val="24"/>
          <w:lang w:val="en-GB"/>
        </w:rPr>
      </w:pPr>
    </w:p>
    <w:p w14:paraId="45F63DF8" w14:textId="77777777" w:rsidR="006921C5" w:rsidRPr="00D51D37" w:rsidRDefault="00BD40C5" w:rsidP="00925169">
      <w:pPr>
        <w:rPr>
          <w:b/>
        </w:rPr>
      </w:pPr>
      <w:r w:rsidRPr="00D51D37">
        <w:rPr>
          <w:b/>
        </w:rPr>
        <w:t xml:space="preserve">Role of Human Resources in promoting diversity and inclusion through flexible working </w:t>
      </w:r>
    </w:p>
    <w:p w14:paraId="3C0023B6" w14:textId="77777777" w:rsidR="00845B66" w:rsidRDefault="00BD40C5" w:rsidP="00925169">
      <w:pPr>
        <w:pStyle w:val="Normal1"/>
        <w:spacing w:line="360" w:lineRule="auto"/>
        <w:jc w:val="both"/>
        <w:rPr>
          <w:lang w:val="en-GB"/>
        </w:rPr>
      </w:pPr>
      <w:r w:rsidRPr="00D51D37">
        <w:rPr>
          <w:lang w:val="en-GB"/>
        </w:rPr>
        <w:t>In recent years there has been increasing focus on diversity and inclusion at work and other aspects too. The flexible working environment has seen an upward spiral and has been intertwined with diversity and inclusion. The Government has put forward reports on Race disparity, gender pay gap in the working environment and has taken measures in the gender pay gap to ethnicity pay gap (</w:t>
      </w:r>
      <w:proofErr w:type="spellStart"/>
      <w:r w:rsidRPr="00D51D37">
        <w:rPr>
          <w:color w:val="222222"/>
          <w:highlight w:val="white"/>
          <w:lang w:val="en-GB"/>
        </w:rPr>
        <w:t>Lazarova</w:t>
      </w:r>
      <w:proofErr w:type="spellEnd"/>
      <w:r w:rsidRPr="00D51D37">
        <w:rPr>
          <w:color w:val="222222"/>
          <w:highlight w:val="white"/>
          <w:lang w:val="en-GB"/>
        </w:rPr>
        <w:t xml:space="preserve"> </w:t>
      </w:r>
      <w:r w:rsidRPr="00D51D37">
        <w:rPr>
          <w:i/>
          <w:color w:val="222222"/>
          <w:highlight w:val="white"/>
          <w:lang w:val="en-GB"/>
        </w:rPr>
        <w:t>et al.,</w:t>
      </w:r>
      <w:r w:rsidRPr="00D51D37">
        <w:rPr>
          <w:color w:val="222222"/>
          <w:highlight w:val="white"/>
          <w:lang w:val="en-GB"/>
        </w:rPr>
        <w:t xml:space="preserve"> 2021</w:t>
      </w:r>
      <w:r w:rsidRPr="00D51D37">
        <w:rPr>
          <w:lang w:val="en-GB"/>
        </w:rPr>
        <w:t xml:space="preserve">). The businesses have also been incorporating diversity and inclusion in their workplace for a better working environment. </w:t>
      </w:r>
      <w:proofErr w:type="gramStart"/>
      <w:r w:rsidRPr="00D51D37">
        <w:rPr>
          <w:lang w:val="en-GB"/>
        </w:rPr>
        <w:t>In order to</w:t>
      </w:r>
      <w:proofErr w:type="gramEnd"/>
      <w:r w:rsidRPr="00D51D37">
        <w:rPr>
          <w:lang w:val="en-GB"/>
        </w:rPr>
        <w:t xml:space="preserve"> improve workplace equality and diversity inclusion, flexible working is one of the tools that can be incorporated (</w:t>
      </w:r>
      <w:r w:rsidRPr="00D51D37">
        <w:rPr>
          <w:color w:val="222222"/>
          <w:highlight w:val="white"/>
          <w:lang w:val="en-GB"/>
        </w:rPr>
        <w:t xml:space="preserve">Feng and </w:t>
      </w:r>
      <w:proofErr w:type="spellStart"/>
      <w:r w:rsidRPr="00D51D37">
        <w:rPr>
          <w:color w:val="222222"/>
          <w:highlight w:val="white"/>
          <w:lang w:val="en-GB"/>
        </w:rPr>
        <w:t>Geng</w:t>
      </w:r>
      <w:proofErr w:type="spellEnd"/>
      <w:r w:rsidRPr="00D51D37">
        <w:rPr>
          <w:color w:val="222222"/>
          <w:highlight w:val="white"/>
          <w:lang w:val="en-GB"/>
        </w:rPr>
        <w:t>, 2022</w:t>
      </w:r>
      <w:r w:rsidRPr="00D51D37">
        <w:rPr>
          <w:lang w:val="en-GB"/>
        </w:rPr>
        <w:t xml:space="preserve">). Human resources </w:t>
      </w:r>
      <w:proofErr w:type="gramStart"/>
      <w:r w:rsidRPr="00D51D37">
        <w:rPr>
          <w:lang w:val="en-GB"/>
        </w:rPr>
        <w:t>has</w:t>
      </w:r>
      <w:proofErr w:type="gramEnd"/>
      <w:r w:rsidRPr="00D51D37">
        <w:rPr>
          <w:lang w:val="en-GB"/>
        </w:rPr>
        <w:t xml:space="preserve"> been crucial in promoting diversity and inclusion through flexible working as diversity and inclusion highlight the working condition in regards to race, culture, religion, gender. This has the impact of structural racism, problems related to gender, disability, </w:t>
      </w:r>
      <w:proofErr w:type="gramStart"/>
      <w:r w:rsidRPr="00D51D37">
        <w:rPr>
          <w:lang w:val="en-GB"/>
        </w:rPr>
        <w:t>religion</w:t>
      </w:r>
      <w:proofErr w:type="gramEnd"/>
      <w:r w:rsidRPr="00D51D37">
        <w:rPr>
          <w:lang w:val="en-GB"/>
        </w:rPr>
        <w:t xml:space="preserve"> and beliefs. Human resources and managers can use various means for promoting diversity. Flexible working can be professed by creating job opportunities to a broader pool of individuals with different cultural background, race, religion, gender or with physical disabilities or temporary health issues ((</w:t>
      </w:r>
      <w:r w:rsidRPr="00D51D37">
        <w:rPr>
          <w:color w:val="222222"/>
          <w:highlight w:val="white"/>
          <w:lang w:val="en-GB"/>
        </w:rPr>
        <w:t>Beatson, 2019</w:t>
      </w:r>
      <w:r w:rsidRPr="00D51D37">
        <w:rPr>
          <w:lang w:val="en-GB"/>
        </w:rPr>
        <w:t xml:space="preserve">).). These individuals can work from home </w:t>
      </w:r>
      <w:proofErr w:type="gramStart"/>
      <w:r w:rsidRPr="00D51D37">
        <w:rPr>
          <w:lang w:val="en-GB"/>
        </w:rPr>
        <w:t>and also</w:t>
      </w:r>
      <w:proofErr w:type="gramEnd"/>
      <w:r w:rsidRPr="00D51D37">
        <w:rPr>
          <w:lang w:val="en-GB"/>
        </w:rPr>
        <w:t xml:space="preserve"> be accessible through virtual methods. Employees having different backgrounds in terms of race, religion, ethnicity, religion, gender have their personal choice in their personal sphere (</w:t>
      </w:r>
      <w:r w:rsidRPr="00D51D37">
        <w:rPr>
          <w:color w:val="222222"/>
          <w:highlight w:val="white"/>
          <w:lang w:val="en-GB"/>
        </w:rPr>
        <w:t>Reichel</w:t>
      </w:r>
      <w:r w:rsidRPr="00D51D37">
        <w:rPr>
          <w:i/>
          <w:color w:val="222222"/>
          <w:highlight w:val="white"/>
          <w:lang w:val="en-GB"/>
        </w:rPr>
        <w:t xml:space="preserve"> et al.,</w:t>
      </w:r>
      <w:r w:rsidRPr="00D51D37">
        <w:rPr>
          <w:color w:val="222222"/>
          <w:highlight w:val="white"/>
          <w:lang w:val="en-GB"/>
        </w:rPr>
        <w:t xml:space="preserve"> 2022</w:t>
      </w:r>
      <w:r w:rsidRPr="00D51D37">
        <w:rPr>
          <w:lang w:val="en-GB"/>
        </w:rPr>
        <w:t xml:space="preserve">). These individuals may be under-represented due to their differences from the main culture of the company. The managers can provide better representation with ethical analysis and understanding of the individual’s culture. The managers can implement voluntary groups for a shared identity such as women, different ethnic groups, LGBTQ groups having similar interest giving importance for inclusion in recruiting, </w:t>
      </w:r>
      <w:proofErr w:type="gramStart"/>
      <w:r w:rsidRPr="00D51D37">
        <w:rPr>
          <w:lang w:val="en-GB"/>
        </w:rPr>
        <w:t>mentoring</w:t>
      </w:r>
      <w:proofErr w:type="gramEnd"/>
      <w:r w:rsidRPr="00D51D37">
        <w:rPr>
          <w:lang w:val="en-GB"/>
        </w:rPr>
        <w:t xml:space="preserve"> and retaining the employees. </w:t>
      </w:r>
    </w:p>
    <w:p w14:paraId="12B43B06" w14:textId="18276FFE" w:rsidR="006921C5" w:rsidRPr="00D51D37" w:rsidRDefault="00BD40C5" w:rsidP="00925169">
      <w:pPr>
        <w:pStyle w:val="Normal1"/>
        <w:spacing w:line="360" w:lineRule="auto"/>
        <w:jc w:val="both"/>
        <w:rPr>
          <w:lang w:val="en-GB"/>
        </w:rPr>
      </w:pPr>
      <w:r w:rsidRPr="00D51D37">
        <w:rPr>
          <w:lang w:val="en-GB"/>
        </w:rPr>
        <w:t xml:space="preserve">       </w:t>
      </w:r>
    </w:p>
    <w:p w14:paraId="2749062F" w14:textId="77777777" w:rsidR="006921C5" w:rsidRPr="00D51D37" w:rsidRDefault="006921C5" w:rsidP="00925169">
      <w:pPr>
        <w:pStyle w:val="Normal1"/>
        <w:spacing w:line="360" w:lineRule="auto"/>
        <w:jc w:val="both"/>
        <w:rPr>
          <w:rFonts w:eastAsia="Times New Roman" w:cs="Times New Roman"/>
          <w:szCs w:val="24"/>
          <w:lang w:val="en-GB"/>
        </w:rPr>
      </w:pPr>
    </w:p>
    <w:p w14:paraId="377F0AF9" w14:textId="77777777" w:rsidR="006921C5" w:rsidRPr="00D51D37" w:rsidRDefault="006921C5" w:rsidP="00925169">
      <w:pPr>
        <w:pStyle w:val="Normal1"/>
        <w:spacing w:line="360" w:lineRule="auto"/>
        <w:jc w:val="both"/>
        <w:rPr>
          <w:rFonts w:eastAsia="Times New Roman" w:cs="Times New Roman"/>
          <w:szCs w:val="24"/>
          <w:lang w:val="en-GB"/>
        </w:rPr>
      </w:pPr>
    </w:p>
    <w:p w14:paraId="1FD4BA64" w14:textId="77777777" w:rsidR="006921C5" w:rsidRPr="00D51D37" w:rsidRDefault="00BD40C5" w:rsidP="00925169">
      <w:pPr>
        <w:pStyle w:val="Heading1"/>
        <w:spacing w:line="360" w:lineRule="auto"/>
        <w:rPr>
          <w:szCs w:val="32"/>
          <w:lang w:val="en-GB"/>
        </w:rPr>
      </w:pPr>
      <w:bookmarkStart w:id="2" w:name="_Toc101379241"/>
      <w:r w:rsidRPr="00D51D37">
        <w:rPr>
          <w:lang w:val="en-GB"/>
        </w:rPr>
        <w:lastRenderedPageBreak/>
        <w:t>Case against flexible working in relation to inequality at work</w:t>
      </w:r>
      <w:bookmarkEnd w:id="2"/>
      <w:r w:rsidRPr="00D51D37">
        <w:rPr>
          <w:lang w:val="en-GB"/>
        </w:rPr>
        <w:t xml:space="preserve"> </w:t>
      </w:r>
    </w:p>
    <w:p w14:paraId="3EFF5031" w14:textId="77777777" w:rsidR="006921C5" w:rsidRPr="00D51D37" w:rsidRDefault="00BD40C5" w:rsidP="00925169">
      <w:pPr>
        <w:pStyle w:val="Normal1"/>
        <w:spacing w:line="360" w:lineRule="auto"/>
        <w:jc w:val="both"/>
        <w:rPr>
          <w:lang w:val="en-GB"/>
        </w:rPr>
      </w:pPr>
      <w:r w:rsidRPr="00D51D37">
        <w:rPr>
          <w:lang w:val="en-GB"/>
        </w:rPr>
        <w:t xml:space="preserve">There are favourable conditions for flexible working in relation to diversity and inclusion at work and how the role of Human resource has been promoting diversity and inclusion through flexible working. </w:t>
      </w:r>
      <w:proofErr w:type="gramStart"/>
      <w:r w:rsidRPr="00D51D37">
        <w:rPr>
          <w:lang w:val="en-GB"/>
        </w:rPr>
        <w:t>But,</w:t>
      </w:r>
      <w:proofErr w:type="gramEnd"/>
      <w:r w:rsidRPr="00D51D37">
        <w:rPr>
          <w:lang w:val="en-GB"/>
        </w:rPr>
        <w:t xml:space="preserve"> there also has been cases regarding unfavourable flexible working relation to inequality at work. Working from home with a flexible working environment may be difficult </w:t>
      </w:r>
      <w:proofErr w:type="gramStart"/>
      <w:r w:rsidRPr="00D51D37">
        <w:rPr>
          <w:lang w:val="en-GB"/>
        </w:rPr>
        <w:t>in regards to</w:t>
      </w:r>
      <w:proofErr w:type="gramEnd"/>
      <w:r w:rsidRPr="00D51D37">
        <w:rPr>
          <w:lang w:val="en-GB"/>
        </w:rPr>
        <w:t xml:space="preserve"> communication with colleagues and this also depends on the technological difficulties sometimes faced during this kind of scenario. It will be difficult to work due to having to find perfect coordination </w:t>
      </w:r>
      <w:proofErr w:type="gramStart"/>
      <w:r w:rsidRPr="00D51D37">
        <w:rPr>
          <w:lang w:val="en-GB"/>
        </w:rPr>
        <w:t>in regards to</w:t>
      </w:r>
      <w:proofErr w:type="gramEnd"/>
      <w:r w:rsidRPr="00D51D37">
        <w:rPr>
          <w:lang w:val="en-GB"/>
        </w:rPr>
        <w:t xml:space="preserve"> communication. There is also the disadvantage from the employer’s perspective. The means of working through flexible working, the supervision by managers can be difficult and if not carefully managed, it hampers the operation. This is the direct scenario in flexible working relation but in accordance with inequality at work there are various instances faced and have an unfavourable work relation in accordance </w:t>
      </w:r>
      <w:proofErr w:type="gramStart"/>
      <w:r w:rsidRPr="00D51D37">
        <w:rPr>
          <w:lang w:val="en-GB"/>
        </w:rPr>
        <w:t>to</w:t>
      </w:r>
      <w:proofErr w:type="gramEnd"/>
      <w:r w:rsidRPr="00D51D37">
        <w:rPr>
          <w:lang w:val="en-GB"/>
        </w:rPr>
        <w:t xml:space="preserve"> flexible working in relation to inequality at work. These can be categorised into Discrimination which is further categorised into direct and indirect discrimination and along with a reasonable adjustment for flexible working </w:t>
      </w:r>
      <w:proofErr w:type="gramStart"/>
      <w:r w:rsidRPr="00D51D37">
        <w:rPr>
          <w:lang w:val="en-GB"/>
        </w:rPr>
        <w:t>in regards to</w:t>
      </w:r>
      <w:proofErr w:type="gramEnd"/>
      <w:r w:rsidRPr="00D51D37">
        <w:rPr>
          <w:lang w:val="en-GB"/>
        </w:rPr>
        <w:t xml:space="preserve"> inequality at work. </w:t>
      </w:r>
    </w:p>
    <w:p w14:paraId="63B434AD" w14:textId="77777777" w:rsidR="006921C5" w:rsidRPr="00D51D37" w:rsidRDefault="00BD40C5" w:rsidP="00925169">
      <w:pPr>
        <w:rPr>
          <w:b/>
        </w:rPr>
      </w:pPr>
      <w:bookmarkStart w:id="3" w:name="_1wypyca05pce" w:colFirst="0" w:colLast="0"/>
      <w:bookmarkEnd w:id="3"/>
      <w:r w:rsidRPr="00D51D37">
        <w:rPr>
          <w:b/>
        </w:rPr>
        <w:t xml:space="preserve">Discrimination </w:t>
      </w:r>
    </w:p>
    <w:p w14:paraId="1355B8A0" w14:textId="77777777" w:rsidR="006921C5" w:rsidRPr="00D51D37" w:rsidRDefault="00BD40C5" w:rsidP="00925169">
      <w:pPr>
        <w:pStyle w:val="Normal1"/>
        <w:spacing w:line="360" w:lineRule="auto"/>
        <w:jc w:val="both"/>
        <w:rPr>
          <w:lang w:val="en-GB"/>
        </w:rPr>
      </w:pPr>
      <w:r w:rsidRPr="00D51D37">
        <w:rPr>
          <w:lang w:val="en-GB"/>
        </w:rPr>
        <w:t xml:space="preserve">The individual or any employees may feel discriminatory if they have asked for a request for working flexibly. This can be a difficult position as discrimination is a complex topic and should not </w:t>
      </w:r>
      <w:proofErr w:type="spellStart"/>
      <w:r w:rsidRPr="00D51D37">
        <w:rPr>
          <w:lang w:val="en-GB"/>
        </w:rPr>
        <w:t>ne</w:t>
      </w:r>
      <w:proofErr w:type="spellEnd"/>
      <w:r w:rsidRPr="00D51D37">
        <w:rPr>
          <w:lang w:val="en-GB"/>
        </w:rPr>
        <w:t xml:space="preserve"> claimed until proven discriminated. If the base of the discrimination is just a feeling the employee has but has no evidence to prove a </w:t>
      </w:r>
      <w:proofErr w:type="gramStart"/>
      <w:r w:rsidRPr="00D51D37">
        <w:rPr>
          <w:lang w:val="en-GB"/>
        </w:rPr>
        <w:t>claim</w:t>
      </w:r>
      <w:proofErr w:type="gramEnd"/>
      <w:r w:rsidRPr="00D51D37">
        <w:rPr>
          <w:lang w:val="en-GB"/>
        </w:rPr>
        <w:t xml:space="preserve"> then it may be considered a serious offence in the workplace. There is the presence of </w:t>
      </w:r>
      <w:r w:rsidR="007224C7" w:rsidRPr="00D51D37">
        <w:rPr>
          <w:lang w:val="en-GB"/>
        </w:rPr>
        <w:t>discrimination</w:t>
      </w:r>
      <w:r w:rsidRPr="00D51D37">
        <w:rPr>
          <w:lang w:val="en-GB"/>
        </w:rPr>
        <w:t xml:space="preserve"> in organisations in relation to inequality at work and can be surmised by various examples by assessing direct and indirect discrimination.</w:t>
      </w:r>
    </w:p>
    <w:p w14:paraId="5A989B8E" w14:textId="77777777" w:rsidR="006921C5" w:rsidRPr="00D51D37" w:rsidRDefault="00BD40C5" w:rsidP="00925169">
      <w:pPr>
        <w:rPr>
          <w:b/>
        </w:rPr>
      </w:pPr>
      <w:bookmarkStart w:id="4" w:name="_8vhbefeba7w5" w:colFirst="0" w:colLast="0"/>
      <w:bookmarkEnd w:id="4"/>
      <w:r w:rsidRPr="00D51D37">
        <w:rPr>
          <w:b/>
        </w:rPr>
        <w:t>Direct discrimination</w:t>
      </w:r>
    </w:p>
    <w:p w14:paraId="2B9470BA" w14:textId="77777777" w:rsidR="006921C5" w:rsidRPr="00D51D37" w:rsidRDefault="00BD40C5" w:rsidP="00925169">
      <w:pPr>
        <w:pStyle w:val="Normal1"/>
        <w:spacing w:line="360" w:lineRule="auto"/>
        <w:jc w:val="both"/>
        <w:rPr>
          <w:lang w:val="en-GB"/>
        </w:rPr>
      </w:pPr>
      <w:r w:rsidRPr="00D51D37">
        <w:rPr>
          <w:lang w:val="en-GB"/>
        </w:rPr>
        <w:t xml:space="preserve">In a workplace in accordance </w:t>
      </w:r>
      <w:proofErr w:type="gramStart"/>
      <w:r w:rsidRPr="00D51D37">
        <w:rPr>
          <w:lang w:val="en-GB"/>
        </w:rPr>
        <w:t>to</w:t>
      </w:r>
      <w:proofErr w:type="gramEnd"/>
      <w:r w:rsidRPr="00D51D37">
        <w:rPr>
          <w:lang w:val="en-GB"/>
        </w:rPr>
        <w:t xml:space="preserve"> inequality at work, direct discrimination can be claimed if the individual is treated unfairly from the other employees. It can be exemplified by using the example of a single father or a gay man who adopts a child and request for a flexible work schedule like asking for an earlier timeframe to start or finish the work and </w:t>
      </w:r>
      <w:r w:rsidR="008C1F29" w:rsidRPr="00D51D37">
        <w:rPr>
          <w:lang w:val="en-GB"/>
        </w:rPr>
        <w:t>is not</w:t>
      </w:r>
      <w:r w:rsidRPr="00D51D37">
        <w:rPr>
          <w:lang w:val="en-GB"/>
        </w:rPr>
        <w:t xml:space="preserve"> obliged by the company as it doesn’t facilitate the company’s policy (</w:t>
      </w:r>
      <w:r w:rsidRPr="00D51D37">
        <w:rPr>
          <w:color w:val="222222"/>
          <w:highlight w:val="white"/>
          <w:lang w:val="en-GB"/>
        </w:rPr>
        <w:t xml:space="preserve">Schoen and </w:t>
      </w:r>
      <w:proofErr w:type="spellStart"/>
      <w:r w:rsidRPr="00D51D37">
        <w:rPr>
          <w:color w:val="222222"/>
          <w:highlight w:val="white"/>
          <w:lang w:val="en-GB"/>
        </w:rPr>
        <w:t>Rost</w:t>
      </w:r>
      <w:proofErr w:type="spellEnd"/>
      <w:r w:rsidRPr="00D51D37">
        <w:rPr>
          <w:color w:val="222222"/>
          <w:highlight w:val="white"/>
          <w:lang w:val="en-GB"/>
        </w:rPr>
        <w:t>, 2021)</w:t>
      </w:r>
      <w:r w:rsidRPr="00D51D37">
        <w:rPr>
          <w:lang w:val="en-GB"/>
        </w:rPr>
        <w:t xml:space="preserve">. </w:t>
      </w:r>
      <w:proofErr w:type="gramStart"/>
      <w:r w:rsidRPr="00D51D37">
        <w:rPr>
          <w:lang w:val="en-GB"/>
        </w:rPr>
        <w:t>But,</w:t>
      </w:r>
      <w:proofErr w:type="gramEnd"/>
      <w:r w:rsidRPr="00D51D37">
        <w:rPr>
          <w:lang w:val="en-GB"/>
        </w:rPr>
        <w:t xml:space="preserve"> the company policy states requests from parents are to be considered then this leaves a certain inequality for the given individual. </w:t>
      </w:r>
    </w:p>
    <w:p w14:paraId="78B556C0" w14:textId="77777777" w:rsidR="006921C5" w:rsidRPr="00D51D37" w:rsidRDefault="006921C5" w:rsidP="00925169">
      <w:pPr>
        <w:pStyle w:val="Normal1"/>
        <w:spacing w:line="360" w:lineRule="auto"/>
        <w:jc w:val="both"/>
        <w:rPr>
          <w:rFonts w:eastAsia="Times New Roman" w:cs="Times New Roman"/>
          <w:szCs w:val="24"/>
          <w:lang w:val="en-GB"/>
        </w:rPr>
      </w:pPr>
    </w:p>
    <w:p w14:paraId="5FCDF304" w14:textId="77777777" w:rsidR="006921C5" w:rsidRPr="00D51D37" w:rsidRDefault="00BD40C5" w:rsidP="00925169">
      <w:pPr>
        <w:rPr>
          <w:b/>
        </w:rPr>
      </w:pPr>
      <w:r w:rsidRPr="00D51D37">
        <w:rPr>
          <w:b/>
        </w:rPr>
        <w:lastRenderedPageBreak/>
        <w:t>Indirect discrimination</w:t>
      </w:r>
    </w:p>
    <w:p w14:paraId="7AF0D69D" w14:textId="77777777" w:rsidR="006921C5" w:rsidRPr="00D51D37" w:rsidRDefault="00BD40C5" w:rsidP="00925169">
      <w:pPr>
        <w:pStyle w:val="Normal1"/>
        <w:spacing w:line="360" w:lineRule="auto"/>
        <w:jc w:val="both"/>
        <w:rPr>
          <w:lang w:val="en-GB"/>
        </w:rPr>
      </w:pPr>
      <w:r w:rsidRPr="00D51D37">
        <w:rPr>
          <w:lang w:val="en-GB"/>
        </w:rPr>
        <w:t xml:space="preserve">In the flexible working regarding to inequality at work, the outcome of discrimination is very </w:t>
      </w:r>
      <w:r w:rsidR="007224C7" w:rsidRPr="00D51D37">
        <w:rPr>
          <w:lang w:val="en-GB"/>
        </w:rPr>
        <w:t>passive</w:t>
      </w:r>
      <w:r w:rsidRPr="00D51D37">
        <w:rPr>
          <w:lang w:val="en-GB"/>
        </w:rPr>
        <w:t xml:space="preserve"> and indirect. The company policy may have instances like not providing any request for a flexible working environment. This can lead to an outcome for indirect discrimination as a woman is not differently than a man but there are certain </w:t>
      </w:r>
      <w:r w:rsidR="007224C7" w:rsidRPr="00D51D37">
        <w:rPr>
          <w:lang w:val="en-GB"/>
        </w:rPr>
        <w:t>circumstances that do</w:t>
      </w:r>
      <w:r w:rsidRPr="00D51D37">
        <w:rPr>
          <w:lang w:val="en-GB"/>
        </w:rPr>
        <w:t xml:space="preserve"> not </w:t>
      </w:r>
      <w:r w:rsidR="007224C7" w:rsidRPr="00D51D37">
        <w:rPr>
          <w:lang w:val="en-GB"/>
        </w:rPr>
        <w:t>fulfil</w:t>
      </w:r>
      <w:r w:rsidRPr="00D51D37">
        <w:rPr>
          <w:lang w:val="en-GB"/>
        </w:rPr>
        <w:t xml:space="preserve"> the standards of equality. This can be shown as a discriminatory impact in accordance </w:t>
      </w:r>
      <w:proofErr w:type="gramStart"/>
      <w:r w:rsidRPr="00D51D37">
        <w:rPr>
          <w:lang w:val="en-GB"/>
        </w:rPr>
        <w:t>to</w:t>
      </w:r>
      <w:proofErr w:type="gramEnd"/>
      <w:r w:rsidRPr="00D51D37">
        <w:rPr>
          <w:lang w:val="en-GB"/>
        </w:rPr>
        <w:t xml:space="preserve"> women and in a gender perspective. The manager or an employer refuses a woman’s request </w:t>
      </w:r>
      <w:proofErr w:type="gramStart"/>
      <w:r w:rsidRPr="00D51D37">
        <w:rPr>
          <w:lang w:val="en-GB"/>
        </w:rPr>
        <w:t>in regards to</w:t>
      </w:r>
      <w:proofErr w:type="gramEnd"/>
      <w:r w:rsidRPr="00D51D37">
        <w:rPr>
          <w:lang w:val="en-GB"/>
        </w:rPr>
        <w:t xml:space="preserve"> the company policy stated above, it is not a direct discrimination but rather an indirect one (</w:t>
      </w:r>
      <w:r w:rsidRPr="00D51D37">
        <w:rPr>
          <w:color w:val="222222"/>
          <w:highlight w:val="white"/>
          <w:lang w:val="en-GB"/>
        </w:rPr>
        <w:t>Meagher, 2022</w:t>
      </w:r>
      <w:r w:rsidRPr="00D51D37">
        <w:rPr>
          <w:lang w:val="en-GB"/>
        </w:rPr>
        <w:t>). This can be synthesised by the concept that more working women have childcare responsibilities than men and this puts the women in a disadvantage. This instance shows that even though the company policy is unbiased but with an indirect approach it shows the periphery of indirect discrimination (</w:t>
      </w:r>
      <w:r w:rsidRPr="00D51D37">
        <w:rPr>
          <w:color w:val="222222"/>
          <w:highlight w:val="white"/>
          <w:lang w:val="en-GB"/>
        </w:rPr>
        <w:t xml:space="preserve">Reichel </w:t>
      </w:r>
      <w:r w:rsidRPr="00D51D37">
        <w:rPr>
          <w:i/>
          <w:color w:val="222222"/>
          <w:highlight w:val="white"/>
          <w:lang w:val="en-GB"/>
        </w:rPr>
        <w:t>et al</w:t>
      </w:r>
      <w:r w:rsidRPr="00D51D37">
        <w:rPr>
          <w:color w:val="222222"/>
          <w:highlight w:val="white"/>
          <w:lang w:val="en-GB"/>
        </w:rPr>
        <w:t>., 2022</w:t>
      </w:r>
      <w:r w:rsidRPr="00D51D37">
        <w:rPr>
          <w:lang w:val="en-GB"/>
        </w:rPr>
        <w:t>).</w:t>
      </w:r>
    </w:p>
    <w:p w14:paraId="04663009" w14:textId="77777777" w:rsidR="006921C5" w:rsidRPr="00D51D37" w:rsidRDefault="00BD40C5" w:rsidP="00925169">
      <w:pPr>
        <w:rPr>
          <w:b/>
        </w:rPr>
      </w:pPr>
      <w:bookmarkStart w:id="5" w:name="_tinsksepcwl3" w:colFirst="0" w:colLast="0"/>
      <w:bookmarkEnd w:id="5"/>
      <w:r w:rsidRPr="00D51D37">
        <w:rPr>
          <w:b/>
        </w:rPr>
        <w:t>Reasonable adjustment for flexible working</w:t>
      </w:r>
    </w:p>
    <w:p w14:paraId="5F4D8B6E" w14:textId="77777777" w:rsidR="006921C5" w:rsidRPr="00D51D37" w:rsidRDefault="00BD40C5" w:rsidP="00925169">
      <w:pPr>
        <w:pStyle w:val="Normal1"/>
        <w:spacing w:line="360" w:lineRule="auto"/>
        <w:jc w:val="both"/>
        <w:rPr>
          <w:lang w:val="en-GB"/>
        </w:rPr>
      </w:pPr>
      <w:r w:rsidRPr="00D51D37">
        <w:rPr>
          <w:lang w:val="en-GB"/>
        </w:rPr>
        <w:t xml:space="preserve">In the work environment there must be a reasonable adjustment for asking for a flexible working hour but sometimes it gets </w:t>
      </w:r>
      <w:r w:rsidRPr="00D51D37">
        <w:rPr>
          <w:szCs w:val="24"/>
          <w:lang w:val="en-GB"/>
        </w:rPr>
        <w:t>negated</w:t>
      </w:r>
      <w:r w:rsidRPr="00D51D37">
        <w:rPr>
          <w:lang w:val="en-GB"/>
        </w:rPr>
        <w:t xml:space="preserve"> as it goes against the policy of the organisation. The employer or the manager would not oblige to the </w:t>
      </w:r>
      <w:proofErr w:type="gramStart"/>
      <w:r w:rsidRPr="00D51D37">
        <w:rPr>
          <w:lang w:val="en-GB"/>
        </w:rPr>
        <w:t>request</w:t>
      </w:r>
      <w:proofErr w:type="gramEnd"/>
      <w:r w:rsidRPr="00D51D37">
        <w:rPr>
          <w:lang w:val="en-GB"/>
        </w:rPr>
        <w:t xml:space="preserve"> and this can lead to another concept of inequality at work (</w:t>
      </w:r>
      <w:r w:rsidRPr="00D51D37">
        <w:rPr>
          <w:color w:val="222222"/>
          <w:highlight w:val="white"/>
          <w:lang w:val="en-GB"/>
        </w:rPr>
        <w:t>SHRM, 2022</w:t>
      </w:r>
      <w:r w:rsidRPr="00D51D37">
        <w:rPr>
          <w:lang w:val="en-GB"/>
        </w:rPr>
        <w:t>). This can be shown by taking an example of a certain disabled employee with certain disabilities. The employee may ask for a flexible working environment due to his disability and cannot commute to the workplace during peak hours as having difficulties in coping with the crowd. The individual can ask for a flexible work schedule but may or may not be provided. If it is not provided it leads to a certain indirect discrimination in relation to inequality at work (</w:t>
      </w:r>
      <w:r w:rsidRPr="00D51D37">
        <w:rPr>
          <w:color w:val="222222"/>
          <w:highlight w:val="white"/>
          <w:lang w:val="en-GB"/>
        </w:rPr>
        <w:t xml:space="preserve">Schoen and </w:t>
      </w:r>
      <w:proofErr w:type="spellStart"/>
      <w:r w:rsidRPr="00D51D37">
        <w:rPr>
          <w:color w:val="222222"/>
          <w:highlight w:val="white"/>
          <w:lang w:val="en-GB"/>
        </w:rPr>
        <w:t>Rost</w:t>
      </w:r>
      <w:proofErr w:type="spellEnd"/>
      <w:r w:rsidRPr="00D51D37">
        <w:rPr>
          <w:color w:val="222222"/>
          <w:highlight w:val="white"/>
          <w:lang w:val="en-GB"/>
        </w:rPr>
        <w:t>, 2021)</w:t>
      </w:r>
      <w:r w:rsidRPr="00D51D37">
        <w:rPr>
          <w:lang w:val="en-GB"/>
        </w:rPr>
        <w:t xml:space="preserve">. </w:t>
      </w:r>
    </w:p>
    <w:p w14:paraId="3CEAE3B6" w14:textId="77777777" w:rsidR="006921C5" w:rsidRPr="00D51D37" w:rsidRDefault="006921C5" w:rsidP="00925169">
      <w:pPr>
        <w:pStyle w:val="Normal1"/>
        <w:spacing w:line="360" w:lineRule="auto"/>
        <w:jc w:val="both"/>
        <w:rPr>
          <w:rFonts w:eastAsia="Times New Roman" w:cs="Times New Roman"/>
          <w:szCs w:val="24"/>
          <w:lang w:val="en-GB"/>
        </w:rPr>
      </w:pPr>
    </w:p>
    <w:p w14:paraId="1A2E9469" w14:textId="77777777" w:rsidR="006921C5" w:rsidRPr="00D51D37" w:rsidRDefault="00BD40C5" w:rsidP="00925169">
      <w:pPr>
        <w:rPr>
          <w:b/>
          <w:szCs w:val="24"/>
        </w:rPr>
      </w:pPr>
      <w:r w:rsidRPr="00D51D37">
        <w:rPr>
          <w:b/>
        </w:rPr>
        <w:t>Human Resources in addressing the concerns of inequality from flexible working</w:t>
      </w:r>
    </w:p>
    <w:p w14:paraId="08004B14" w14:textId="77777777" w:rsidR="006921C5" w:rsidRPr="00D51D37" w:rsidRDefault="00BD40C5" w:rsidP="00925169">
      <w:pPr>
        <w:pStyle w:val="Normal1"/>
        <w:spacing w:line="360" w:lineRule="auto"/>
        <w:jc w:val="both"/>
        <w:rPr>
          <w:b/>
          <w:sz w:val="32"/>
          <w:szCs w:val="32"/>
          <w:lang w:val="en-GB"/>
        </w:rPr>
      </w:pPr>
      <w:r w:rsidRPr="00D51D37">
        <w:rPr>
          <w:lang w:val="en-GB"/>
        </w:rPr>
        <w:t xml:space="preserve">Human resource has played a role in addressing the concerns of inequality in flexible working by recognising the different conjectures of intersectionality </w:t>
      </w:r>
      <w:proofErr w:type="gramStart"/>
      <w:r w:rsidRPr="00D51D37">
        <w:rPr>
          <w:lang w:val="en-GB"/>
        </w:rPr>
        <w:t>in regards to</w:t>
      </w:r>
      <w:proofErr w:type="gramEnd"/>
      <w:r w:rsidRPr="00D51D37">
        <w:rPr>
          <w:lang w:val="en-GB"/>
        </w:rPr>
        <w:t xml:space="preserve"> race, class, gender, religion and beliefs and incorporating a broader perspective in policy framing (</w:t>
      </w:r>
      <w:r w:rsidRPr="00D51D37">
        <w:rPr>
          <w:color w:val="222222"/>
          <w:highlight w:val="white"/>
          <w:lang w:val="en-GB"/>
        </w:rPr>
        <w:t>Meagher, 2022</w:t>
      </w:r>
      <w:r w:rsidRPr="00D51D37">
        <w:rPr>
          <w:lang w:val="en-GB"/>
        </w:rPr>
        <w:t xml:space="preserve">). The managers and employers need to approach diversity and inclusion in a holistic approach to tackle inequality in flexible working.    </w:t>
      </w:r>
    </w:p>
    <w:p w14:paraId="0E4CE3F5" w14:textId="77777777" w:rsidR="006921C5" w:rsidRPr="00D51D37" w:rsidRDefault="006921C5" w:rsidP="00925169">
      <w:pPr>
        <w:pStyle w:val="Normal1"/>
        <w:spacing w:line="360" w:lineRule="auto"/>
        <w:jc w:val="both"/>
        <w:rPr>
          <w:rFonts w:eastAsia="Times New Roman" w:cs="Times New Roman"/>
          <w:b/>
          <w:sz w:val="32"/>
          <w:szCs w:val="32"/>
          <w:lang w:val="en-GB"/>
        </w:rPr>
      </w:pPr>
    </w:p>
    <w:p w14:paraId="36D1EF7E" w14:textId="77777777" w:rsidR="006921C5" w:rsidRPr="00D51D37" w:rsidRDefault="006921C5" w:rsidP="00925169">
      <w:pPr>
        <w:pStyle w:val="Normal1"/>
        <w:spacing w:line="360" w:lineRule="auto"/>
        <w:jc w:val="both"/>
        <w:rPr>
          <w:rFonts w:eastAsia="Times New Roman" w:cs="Times New Roman"/>
          <w:b/>
          <w:sz w:val="32"/>
          <w:szCs w:val="32"/>
          <w:lang w:val="en-GB"/>
        </w:rPr>
      </w:pPr>
    </w:p>
    <w:p w14:paraId="2EDD852C" w14:textId="77777777" w:rsidR="006921C5" w:rsidRPr="00D51D37" w:rsidRDefault="00BD40C5" w:rsidP="00925169">
      <w:pPr>
        <w:pStyle w:val="Heading1"/>
        <w:spacing w:line="360" w:lineRule="auto"/>
        <w:rPr>
          <w:lang w:val="en-GB"/>
        </w:rPr>
      </w:pPr>
      <w:bookmarkStart w:id="6" w:name="_Toc101379242"/>
      <w:r w:rsidRPr="00D51D37">
        <w:rPr>
          <w:lang w:val="en-GB"/>
        </w:rPr>
        <w:lastRenderedPageBreak/>
        <w:t>Conclusion</w:t>
      </w:r>
      <w:bookmarkEnd w:id="6"/>
    </w:p>
    <w:p w14:paraId="034ABF02" w14:textId="77777777" w:rsidR="006921C5" w:rsidRPr="00D51D37" w:rsidRDefault="00BD40C5" w:rsidP="00925169">
      <w:pPr>
        <w:pStyle w:val="Normal1"/>
        <w:spacing w:line="360" w:lineRule="auto"/>
        <w:jc w:val="both"/>
        <w:rPr>
          <w:lang w:val="en-GB"/>
        </w:rPr>
      </w:pPr>
      <w:r w:rsidRPr="00D51D37">
        <w:rPr>
          <w:lang w:val="en-GB"/>
        </w:rPr>
        <w:t>The report highlighted the factors that work in favour of or against the rising demand of flexible work hours among the employees in the UK. The outbreak of Coronavirus has exposed employees to the concept of flexible working hours. The employees want to continue with the working forms even after the pandemic. The report presented factors that support or oppose the demand in their respective ways. It is of utmost importance to manage people in this critical situation as to not affect the effectiveness of the organisation. Management should focus on critically evaluating the effect of various factors of flexible work hours on the business of the organisation. The adaptation of flexible work hours can have a positive impact on the efficiency of business performance. It can help organisations in attracting quality and talented individuals, improve job-satisfaction and employee retention, well-being of the employees and overall effectiveness of the employees that will essentially be in favour of the organisation’s business. However, with the positive factors, it also has certain limitations. Coordination can become complex within the organisation that can hamper the efficiency of the performance. Therefore, the management must be mindful and take each factor into proper consideration to understand the impact of a flexible work environment.</w:t>
      </w:r>
    </w:p>
    <w:p w14:paraId="658E50EB" w14:textId="77777777" w:rsidR="006921C5" w:rsidRPr="00D51D37" w:rsidRDefault="006921C5" w:rsidP="007224C7">
      <w:pPr>
        <w:pStyle w:val="Normal1"/>
        <w:spacing w:line="360" w:lineRule="auto"/>
        <w:jc w:val="both"/>
        <w:rPr>
          <w:rFonts w:eastAsia="Times New Roman" w:cs="Times New Roman"/>
          <w:b/>
          <w:szCs w:val="24"/>
          <w:lang w:val="en-GB"/>
        </w:rPr>
      </w:pPr>
    </w:p>
    <w:p w14:paraId="1FC3331F" w14:textId="77777777" w:rsidR="006921C5" w:rsidRPr="00D51D37" w:rsidRDefault="00BD40C5" w:rsidP="007224C7">
      <w:pPr>
        <w:pStyle w:val="Normal1"/>
        <w:spacing w:line="360" w:lineRule="auto"/>
        <w:jc w:val="both"/>
        <w:rPr>
          <w:rFonts w:eastAsia="Times New Roman" w:cs="Times New Roman"/>
          <w:b/>
          <w:szCs w:val="24"/>
          <w:lang w:val="en-GB"/>
        </w:rPr>
      </w:pPr>
      <w:r w:rsidRPr="00D51D37">
        <w:rPr>
          <w:lang w:val="en-GB"/>
        </w:rPr>
        <w:br w:type="page"/>
      </w:r>
    </w:p>
    <w:p w14:paraId="1E8CFE63" w14:textId="77777777" w:rsidR="006921C5" w:rsidRPr="00D51D37" w:rsidRDefault="00BD40C5" w:rsidP="007224C7">
      <w:pPr>
        <w:pStyle w:val="Heading1"/>
        <w:spacing w:line="360" w:lineRule="auto"/>
        <w:rPr>
          <w:b w:val="0"/>
          <w:lang w:val="en-GB"/>
        </w:rPr>
      </w:pPr>
      <w:bookmarkStart w:id="7" w:name="_nug4lo6qypcs" w:colFirst="0" w:colLast="0"/>
      <w:bookmarkStart w:id="8" w:name="_Toc101379243"/>
      <w:bookmarkEnd w:id="7"/>
      <w:r w:rsidRPr="00D51D37">
        <w:rPr>
          <w:lang w:val="en-GB"/>
        </w:rPr>
        <w:lastRenderedPageBreak/>
        <w:t>References</w:t>
      </w:r>
      <w:bookmarkEnd w:id="8"/>
      <w:r w:rsidRPr="00D51D37">
        <w:rPr>
          <w:lang w:val="en-GB"/>
        </w:rPr>
        <w:t xml:space="preserve"> </w:t>
      </w:r>
    </w:p>
    <w:p w14:paraId="2207D271"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r w:rsidRPr="00D51D37">
        <w:rPr>
          <w:rFonts w:eastAsia="Times New Roman" w:cs="Times New Roman"/>
          <w:color w:val="222222"/>
          <w:szCs w:val="24"/>
          <w:highlight w:val="white"/>
          <w:lang w:val="en-GB"/>
        </w:rPr>
        <w:t xml:space="preserve">Beatson, M., 2019. Mega Trends: Flexible Working. </w:t>
      </w:r>
      <w:r w:rsidRPr="00D51D37">
        <w:rPr>
          <w:rFonts w:eastAsia="Times New Roman" w:cs="Times New Roman"/>
          <w:i/>
          <w:color w:val="222222"/>
          <w:szCs w:val="24"/>
          <w:highlight w:val="white"/>
          <w:lang w:val="en-GB"/>
        </w:rPr>
        <w:t xml:space="preserve">London: Chartered Institute of Personnel and Development, Available online: https://www. </w:t>
      </w:r>
      <w:proofErr w:type="spellStart"/>
      <w:r w:rsidRPr="00D51D37">
        <w:rPr>
          <w:rFonts w:eastAsia="Times New Roman" w:cs="Times New Roman"/>
          <w:i/>
          <w:color w:val="222222"/>
          <w:szCs w:val="24"/>
          <w:highlight w:val="white"/>
          <w:lang w:val="en-GB"/>
        </w:rPr>
        <w:t>cipd</w:t>
      </w:r>
      <w:proofErr w:type="spellEnd"/>
      <w:r w:rsidRPr="00D51D37">
        <w:rPr>
          <w:rFonts w:eastAsia="Times New Roman" w:cs="Times New Roman"/>
          <w:i/>
          <w:color w:val="222222"/>
          <w:szCs w:val="24"/>
          <w:highlight w:val="white"/>
          <w:lang w:val="en-GB"/>
        </w:rPr>
        <w:t xml:space="preserve">. co. </w:t>
      </w:r>
      <w:proofErr w:type="spellStart"/>
      <w:r w:rsidRPr="00D51D37">
        <w:rPr>
          <w:rFonts w:eastAsia="Times New Roman" w:cs="Times New Roman"/>
          <w:i/>
          <w:color w:val="222222"/>
          <w:szCs w:val="24"/>
          <w:highlight w:val="white"/>
          <w:lang w:val="en-GB"/>
        </w:rPr>
        <w:t>uk</w:t>
      </w:r>
      <w:proofErr w:type="spellEnd"/>
      <w:r w:rsidRPr="00D51D37">
        <w:rPr>
          <w:rFonts w:eastAsia="Times New Roman" w:cs="Times New Roman"/>
          <w:i/>
          <w:color w:val="222222"/>
          <w:szCs w:val="24"/>
          <w:highlight w:val="white"/>
          <w:lang w:val="en-GB"/>
        </w:rPr>
        <w:t>/Images/megatrends-report-flexible-working-1_tcm18-52769. pdf (accessed on 15 October 2019)</w:t>
      </w:r>
      <w:r w:rsidRPr="00D51D37">
        <w:rPr>
          <w:rFonts w:eastAsia="Times New Roman" w:cs="Times New Roman"/>
          <w:color w:val="222222"/>
          <w:szCs w:val="24"/>
          <w:highlight w:val="white"/>
          <w:lang w:val="en-GB"/>
        </w:rPr>
        <w:t>.</w:t>
      </w:r>
    </w:p>
    <w:p w14:paraId="2120EE8D" w14:textId="77777777" w:rsidR="008C1F29" w:rsidRPr="00D51D37" w:rsidRDefault="008C1F29" w:rsidP="007224C7">
      <w:pPr>
        <w:pStyle w:val="Normal1"/>
        <w:spacing w:line="360" w:lineRule="auto"/>
        <w:rPr>
          <w:highlight w:val="white"/>
          <w:lang w:val="en-GB"/>
        </w:rPr>
      </w:pPr>
      <w:r w:rsidRPr="00D51D37">
        <w:rPr>
          <w:highlight w:val="white"/>
          <w:lang w:val="en-GB"/>
        </w:rPr>
        <w:t xml:space="preserve">Bratton, J., Gold, J., Bratton, A. and Steele, L., 2021. </w:t>
      </w:r>
      <w:r w:rsidRPr="00D51D37">
        <w:rPr>
          <w:i/>
          <w:highlight w:val="white"/>
          <w:lang w:val="en-GB"/>
        </w:rPr>
        <w:t>Human resource management</w:t>
      </w:r>
      <w:r w:rsidRPr="00D51D37">
        <w:rPr>
          <w:highlight w:val="white"/>
          <w:lang w:val="en-GB"/>
        </w:rPr>
        <w:t>. Bloomsbury Publishing.</w:t>
      </w:r>
    </w:p>
    <w:p w14:paraId="076C653A"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r w:rsidRPr="00D51D37">
        <w:rPr>
          <w:rFonts w:eastAsia="Times New Roman" w:cs="Times New Roman"/>
          <w:color w:val="222222"/>
          <w:szCs w:val="24"/>
          <w:highlight w:val="white"/>
          <w:lang w:val="en-GB"/>
        </w:rPr>
        <w:t xml:space="preserve">Chung, H. and Van der Lippe, T., 2020. Flexible working, work–life balance, and gender equality: Introduction. </w:t>
      </w:r>
      <w:r w:rsidRPr="00D51D37">
        <w:rPr>
          <w:rFonts w:eastAsia="Times New Roman" w:cs="Times New Roman"/>
          <w:i/>
          <w:color w:val="222222"/>
          <w:szCs w:val="24"/>
          <w:highlight w:val="white"/>
          <w:lang w:val="en-GB"/>
        </w:rPr>
        <w:t>Social Indicators Research</w:t>
      </w:r>
      <w:r w:rsidRPr="00D51D37">
        <w:rPr>
          <w:rFonts w:eastAsia="Times New Roman" w:cs="Times New Roman"/>
          <w:color w:val="222222"/>
          <w:szCs w:val="24"/>
          <w:highlight w:val="white"/>
          <w:lang w:val="en-GB"/>
        </w:rPr>
        <w:t xml:space="preserve">, </w:t>
      </w:r>
      <w:r w:rsidRPr="00D51D37">
        <w:rPr>
          <w:rFonts w:eastAsia="Times New Roman" w:cs="Times New Roman"/>
          <w:i/>
          <w:color w:val="222222"/>
          <w:szCs w:val="24"/>
          <w:highlight w:val="white"/>
          <w:lang w:val="en-GB"/>
        </w:rPr>
        <w:t>151</w:t>
      </w:r>
      <w:r w:rsidRPr="00D51D37">
        <w:rPr>
          <w:rFonts w:eastAsia="Times New Roman" w:cs="Times New Roman"/>
          <w:color w:val="222222"/>
          <w:szCs w:val="24"/>
          <w:highlight w:val="white"/>
          <w:lang w:val="en-GB"/>
        </w:rPr>
        <w:t>(2), pp.365-381.</w:t>
      </w:r>
    </w:p>
    <w:p w14:paraId="647418EA"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r w:rsidRPr="00D51D37">
        <w:rPr>
          <w:rFonts w:eastAsia="Times New Roman" w:cs="Times New Roman"/>
          <w:color w:val="222222"/>
          <w:szCs w:val="24"/>
          <w:highlight w:val="white"/>
          <w:lang w:val="en-GB"/>
        </w:rPr>
        <w:t xml:space="preserve">Delany, K., 2022. What challenges will organisations face transitioning for the first time to the new normal of remote </w:t>
      </w:r>
      <w:proofErr w:type="gramStart"/>
      <w:r w:rsidRPr="00D51D37">
        <w:rPr>
          <w:rFonts w:eastAsia="Times New Roman" w:cs="Times New Roman"/>
          <w:color w:val="222222"/>
          <w:szCs w:val="24"/>
          <w:highlight w:val="white"/>
          <w:lang w:val="en-GB"/>
        </w:rPr>
        <w:t>working?.</w:t>
      </w:r>
      <w:proofErr w:type="gramEnd"/>
      <w:r w:rsidRPr="00D51D37">
        <w:rPr>
          <w:rFonts w:eastAsia="Times New Roman" w:cs="Times New Roman"/>
          <w:color w:val="222222"/>
          <w:szCs w:val="24"/>
          <w:highlight w:val="white"/>
          <w:lang w:val="en-GB"/>
        </w:rPr>
        <w:t xml:space="preserve"> </w:t>
      </w:r>
      <w:r w:rsidRPr="00D51D37">
        <w:rPr>
          <w:rFonts w:eastAsia="Times New Roman" w:cs="Times New Roman"/>
          <w:i/>
          <w:color w:val="222222"/>
          <w:szCs w:val="24"/>
          <w:highlight w:val="white"/>
          <w:lang w:val="en-GB"/>
        </w:rPr>
        <w:t>Human Resource Development International</w:t>
      </w:r>
      <w:r w:rsidRPr="00D51D37">
        <w:rPr>
          <w:rFonts w:eastAsia="Times New Roman" w:cs="Times New Roman"/>
          <w:color w:val="222222"/>
          <w:szCs w:val="24"/>
          <w:highlight w:val="white"/>
          <w:lang w:val="en-GB"/>
        </w:rPr>
        <w:t>, pp.1-9.</w:t>
      </w:r>
    </w:p>
    <w:p w14:paraId="54ECC7B6"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r w:rsidRPr="00D51D37">
        <w:rPr>
          <w:rFonts w:eastAsia="Times New Roman" w:cs="Times New Roman"/>
          <w:color w:val="222222"/>
          <w:szCs w:val="24"/>
          <w:highlight w:val="white"/>
          <w:lang w:val="en-GB"/>
        </w:rPr>
        <w:t xml:space="preserve">Feng, X. and </w:t>
      </w:r>
      <w:proofErr w:type="spellStart"/>
      <w:r w:rsidRPr="00D51D37">
        <w:rPr>
          <w:rFonts w:eastAsia="Times New Roman" w:cs="Times New Roman"/>
          <w:color w:val="222222"/>
          <w:szCs w:val="24"/>
          <w:highlight w:val="white"/>
          <w:lang w:val="en-GB"/>
        </w:rPr>
        <w:t>Geng</w:t>
      </w:r>
      <w:proofErr w:type="spellEnd"/>
      <w:r w:rsidRPr="00D51D37">
        <w:rPr>
          <w:rFonts w:eastAsia="Times New Roman" w:cs="Times New Roman"/>
          <w:color w:val="222222"/>
          <w:szCs w:val="24"/>
          <w:highlight w:val="white"/>
          <w:lang w:val="en-GB"/>
        </w:rPr>
        <w:t xml:space="preserve">, Y., 2022. Flexible Employment Development in Post-COVID Economic Revival. In </w:t>
      </w:r>
      <w:r w:rsidRPr="00D51D37">
        <w:rPr>
          <w:rFonts w:eastAsia="Times New Roman" w:cs="Times New Roman"/>
          <w:i/>
          <w:color w:val="222222"/>
          <w:szCs w:val="24"/>
          <w:highlight w:val="white"/>
          <w:lang w:val="en-GB"/>
        </w:rPr>
        <w:t>Post-COVID Economic Revival, Volume II</w:t>
      </w:r>
      <w:r w:rsidRPr="00D51D37">
        <w:rPr>
          <w:rFonts w:eastAsia="Times New Roman" w:cs="Times New Roman"/>
          <w:color w:val="222222"/>
          <w:szCs w:val="24"/>
          <w:highlight w:val="white"/>
          <w:lang w:val="en-GB"/>
        </w:rPr>
        <w:t xml:space="preserve"> (pp. 285-297). Palgrave Macmillan, Cham.</w:t>
      </w:r>
    </w:p>
    <w:p w14:paraId="1AB670E1"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r w:rsidRPr="00D51D37">
        <w:rPr>
          <w:rFonts w:eastAsia="Times New Roman" w:cs="Times New Roman"/>
          <w:color w:val="222222"/>
          <w:szCs w:val="24"/>
          <w:highlight w:val="white"/>
          <w:lang w:val="en-GB"/>
        </w:rPr>
        <w:t xml:space="preserve">Fenton, M., 2020. Agreeing flexible working hours. </w:t>
      </w:r>
      <w:r w:rsidRPr="00D51D37">
        <w:rPr>
          <w:rFonts w:eastAsia="Times New Roman" w:cs="Times New Roman"/>
          <w:i/>
          <w:color w:val="222222"/>
          <w:szCs w:val="24"/>
          <w:highlight w:val="white"/>
          <w:lang w:val="en-GB"/>
        </w:rPr>
        <w:t>BDJ in Practice</w:t>
      </w:r>
      <w:r w:rsidRPr="00D51D37">
        <w:rPr>
          <w:rFonts w:eastAsia="Times New Roman" w:cs="Times New Roman"/>
          <w:color w:val="222222"/>
          <w:szCs w:val="24"/>
          <w:highlight w:val="white"/>
          <w:lang w:val="en-GB"/>
        </w:rPr>
        <w:t xml:space="preserve">, </w:t>
      </w:r>
      <w:r w:rsidRPr="00D51D37">
        <w:rPr>
          <w:rFonts w:eastAsia="Times New Roman" w:cs="Times New Roman"/>
          <w:i/>
          <w:color w:val="222222"/>
          <w:szCs w:val="24"/>
          <w:highlight w:val="white"/>
          <w:lang w:val="en-GB"/>
        </w:rPr>
        <w:t>33</w:t>
      </w:r>
      <w:r w:rsidRPr="00D51D37">
        <w:rPr>
          <w:rFonts w:eastAsia="Times New Roman" w:cs="Times New Roman"/>
          <w:color w:val="222222"/>
          <w:szCs w:val="24"/>
          <w:highlight w:val="white"/>
          <w:lang w:val="en-GB"/>
        </w:rPr>
        <w:t>(9), pp.31-31.</w:t>
      </w:r>
    </w:p>
    <w:p w14:paraId="64152075"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proofErr w:type="spellStart"/>
      <w:r w:rsidRPr="00D51D37">
        <w:rPr>
          <w:rFonts w:eastAsia="Times New Roman" w:cs="Times New Roman"/>
          <w:color w:val="222222"/>
          <w:szCs w:val="24"/>
          <w:highlight w:val="white"/>
          <w:lang w:val="en-GB"/>
        </w:rPr>
        <w:t>Klikauer</w:t>
      </w:r>
      <w:proofErr w:type="spellEnd"/>
      <w:r w:rsidRPr="00D51D37">
        <w:rPr>
          <w:rFonts w:eastAsia="Times New Roman" w:cs="Times New Roman"/>
          <w:color w:val="222222"/>
          <w:szCs w:val="24"/>
          <w:highlight w:val="white"/>
          <w:lang w:val="en-GB"/>
        </w:rPr>
        <w:t xml:space="preserve">, T., 2018. </w:t>
      </w:r>
      <w:r w:rsidRPr="00D51D37">
        <w:rPr>
          <w:rFonts w:eastAsia="Times New Roman" w:cs="Times New Roman"/>
          <w:i/>
          <w:color w:val="222222"/>
          <w:szCs w:val="24"/>
          <w:highlight w:val="white"/>
          <w:lang w:val="en-GB"/>
        </w:rPr>
        <w:t>Managing People in Organizations</w:t>
      </w:r>
      <w:r w:rsidRPr="00D51D37">
        <w:rPr>
          <w:rFonts w:eastAsia="Times New Roman" w:cs="Times New Roman"/>
          <w:color w:val="222222"/>
          <w:szCs w:val="24"/>
          <w:highlight w:val="white"/>
          <w:lang w:val="en-GB"/>
        </w:rPr>
        <w:t>. Macmillan International Higher Education.</w:t>
      </w:r>
    </w:p>
    <w:p w14:paraId="198B159A"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proofErr w:type="spellStart"/>
      <w:r w:rsidRPr="00D51D37">
        <w:rPr>
          <w:rFonts w:eastAsia="Times New Roman" w:cs="Times New Roman"/>
          <w:color w:val="222222"/>
          <w:szCs w:val="24"/>
          <w:highlight w:val="white"/>
          <w:lang w:val="en-GB"/>
        </w:rPr>
        <w:t>Lazarova</w:t>
      </w:r>
      <w:proofErr w:type="spellEnd"/>
      <w:r w:rsidRPr="00D51D37">
        <w:rPr>
          <w:rFonts w:eastAsia="Times New Roman" w:cs="Times New Roman"/>
          <w:color w:val="222222"/>
          <w:szCs w:val="24"/>
          <w:highlight w:val="white"/>
          <w:lang w:val="en-GB"/>
        </w:rPr>
        <w:t xml:space="preserve">, M., Thomas, D.C. and Farndale, E., 2021. </w:t>
      </w:r>
      <w:r w:rsidRPr="00D51D37">
        <w:rPr>
          <w:rFonts w:eastAsia="Times New Roman" w:cs="Times New Roman"/>
          <w:i/>
          <w:color w:val="222222"/>
          <w:szCs w:val="24"/>
          <w:highlight w:val="white"/>
          <w:lang w:val="en-GB"/>
        </w:rPr>
        <w:t>Essentials of International Human Resource Management: Managing People Globally</w:t>
      </w:r>
      <w:r w:rsidRPr="00D51D37">
        <w:rPr>
          <w:rFonts w:eastAsia="Times New Roman" w:cs="Times New Roman"/>
          <w:color w:val="222222"/>
          <w:szCs w:val="24"/>
          <w:highlight w:val="white"/>
          <w:lang w:val="en-GB"/>
        </w:rPr>
        <w:t>. Edward Elgar Publishing.</w:t>
      </w:r>
    </w:p>
    <w:p w14:paraId="07C87A68"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r w:rsidRPr="00D51D37">
        <w:rPr>
          <w:rFonts w:eastAsia="Times New Roman" w:cs="Times New Roman"/>
          <w:color w:val="222222"/>
          <w:szCs w:val="24"/>
          <w:highlight w:val="white"/>
          <w:lang w:val="en-GB"/>
        </w:rPr>
        <w:t xml:space="preserve">Meagher, F., 2022. </w:t>
      </w:r>
      <w:r w:rsidRPr="00D51D37">
        <w:rPr>
          <w:rFonts w:eastAsia="Times New Roman" w:cs="Times New Roman"/>
          <w:i/>
          <w:color w:val="222222"/>
          <w:szCs w:val="24"/>
          <w:highlight w:val="white"/>
          <w:lang w:val="en-GB"/>
        </w:rPr>
        <w:t>Flexible working: a step to creating more inclusive workplaces | CIPD</w:t>
      </w:r>
      <w:r w:rsidRPr="00D51D37">
        <w:rPr>
          <w:rFonts w:eastAsia="Times New Roman" w:cs="Times New Roman"/>
          <w:color w:val="222222"/>
          <w:szCs w:val="24"/>
          <w:highlight w:val="white"/>
          <w:lang w:val="en-GB"/>
        </w:rPr>
        <w:t>. [online] CIPD. Available at: &lt;https://www.cipd.co.uk/news-views/news-articles/flexible-working#gref&gt; [Accessed 20 April 2022].</w:t>
      </w:r>
    </w:p>
    <w:p w14:paraId="310CA9DF"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r w:rsidRPr="00D51D37">
        <w:rPr>
          <w:rFonts w:eastAsia="Times New Roman" w:cs="Times New Roman"/>
          <w:color w:val="222222"/>
          <w:szCs w:val="24"/>
          <w:highlight w:val="white"/>
          <w:lang w:val="en-GB"/>
        </w:rPr>
        <w:t xml:space="preserve">Raiden, A. and King, A., 2021. Managing people and considering, creating, and delivering social value. In </w:t>
      </w:r>
      <w:r w:rsidRPr="00D51D37">
        <w:rPr>
          <w:rFonts w:eastAsia="Times New Roman" w:cs="Times New Roman"/>
          <w:i/>
          <w:color w:val="222222"/>
          <w:szCs w:val="24"/>
          <w:highlight w:val="white"/>
          <w:lang w:val="en-GB"/>
        </w:rPr>
        <w:t>Social Value in Practice</w:t>
      </w:r>
      <w:r w:rsidRPr="00D51D37">
        <w:rPr>
          <w:rFonts w:eastAsia="Times New Roman" w:cs="Times New Roman"/>
          <w:color w:val="222222"/>
          <w:szCs w:val="24"/>
          <w:highlight w:val="white"/>
          <w:lang w:val="en-GB"/>
        </w:rPr>
        <w:t xml:space="preserve"> (pp. 53-71). Routledge.</w:t>
      </w:r>
    </w:p>
    <w:p w14:paraId="4DDD8B6E"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r w:rsidRPr="00D51D37">
        <w:rPr>
          <w:rFonts w:eastAsia="Times New Roman" w:cs="Times New Roman"/>
          <w:color w:val="222222"/>
          <w:szCs w:val="24"/>
          <w:highlight w:val="white"/>
          <w:lang w:val="en-GB"/>
        </w:rPr>
        <w:t xml:space="preserve">Reichel, A., </w:t>
      </w:r>
      <w:proofErr w:type="spellStart"/>
      <w:r w:rsidRPr="00D51D37">
        <w:rPr>
          <w:rFonts w:eastAsia="Times New Roman" w:cs="Times New Roman"/>
          <w:color w:val="222222"/>
          <w:szCs w:val="24"/>
          <w:highlight w:val="white"/>
          <w:lang w:val="en-GB"/>
        </w:rPr>
        <w:t>Lazarova</w:t>
      </w:r>
      <w:proofErr w:type="spellEnd"/>
      <w:r w:rsidRPr="00D51D37">
        <w:rPr>
          <w:rFonts w:eastAsia="Times New Roman" w:cs="Times New Roman"/>
          <w:color w:val="222222"/>
          <w:szCs w:val="24"/>
          <w:highlight w:val="white"/>
          <w:lang w:val="en-GB"/>
        </w:rPr>
        <w:t xml:space="preserve">, M., </w:t>
      </w:r>
      <w:proofErr w:type="spellStart"/>
      <w:r w:rsidRPr="00D51D37">
        <w:rPr>
          <w:rFonts w:eastAsia="Times New Roman" w:cs="Times New Roman"/>
          <w:color w:val="222222"/>
          <w:szCs w:val="24"/>
          <w:highlight w:val="white"/>
          <w:lang w:val="en-GB"/>
        </w:rPr>
        <w:t>Apospori</w:t>
      </w:r>
      <w:proofErr w:type="spellEnd"/>
      <w:r w:rsidRPr="00D51D37">
        <w:rPr>
          <w:rFonts w:eastAsia="Times New Roman" w:cs="Times New Roman"/>
          <w:color w:val="222222"/>
          <w:szCs w:val="24"/>
          <w:highlight w:val="white"/>
          <w:lang w:val="en-GB"/>
        </w:rPr>
        <w:t xml:space="preserve">, E., </w:t>
      </w:r>
      <w:proofErr w:type="spellStart"/>
      <w:r w:rsidRPr="00D51D37">
        <w:rPr>
          <w:rFonts w:eastAsia="Times New Roman" w:cs="Times New Roman"/>
          <w:color w:val="222222"/>
          <w:szCs w:val="24"/>
          <w:highlight w:val="white"/>
          <w:lang w:val="en-GB"/>
        </w:rPr>
        <w:t>Afiouni</w:t>
      </w:r>
      <w:proofErr w:type="spellEnd"/>
      <w:r w:rsidRPr="00D51D37">
        <w:rPr>
          <w:rFonts w:eastAsia="Times New Roman" w:cs="Times New Roman"/>
          <w:color w:val="222222"/>
          <w:szCs w:val="24"/>
          <w:highlight w:val="white"/>
          <w:lang w:val="en-GB"/>
        </w:rPr>
        <w:t xml:space="preserve">, F., Andresen, M., </w:t>
      </w:r>
      <w:proofErr w:type="spellStart"/>
      <w:r w:rsidRPr="00D51D37">
        <w:rPr>
          <w:rFonts w:eastAsia="Times New Roman" w:cs="Times New Roman"/>
          <w:color w:val="222222"/>
          <w:szCs w:val="24"/>
          <w:highlight w:val="white"/>
          <w:lang w:val="en-GB"/>
        </w:rPr>
        <w:t>Bosak</w:t>
      </w:r>
      <w:proofErr w:type="spellEnd"/>
      <w:r w:rsidRPr="00D51D37">
        <w:rPr>
          <w:rFonts w:eastAsia="Times New Roman" w:cs="Times New Roman"/>
          <w:color w:val="222222"/>
          <w:szCs w:val="24"/>
          <w:highlight w:val="white"/>
          <w:lang w:val="en-GB"/>
        </w:rPr>
        <w:t xml:space="preserve">, J., Parry, E., </w:t>
      </w:r>
      <w:proofErr w:type="spellStart"/>
      <w:r w:rsidRPr="00D51D37">
        <w:rPr>
          <w:rFonts w:eastAsia="Times New Roman" w:cs="Times New Roman"/>
          <w:color w:val="222222"/>
          <w:szCs w:val="24"/>
          <w:highlight w:val="white"/>
          <w:lang w:val="en-GB"/>
        </w:rPr>
        <w:t>Bagdadli</w:t>
      </w:r>
      <w:proofErr w:type="spellEnd"/>
      <w:r w:rsidRPr="00D51D37">
        <w:rPr>
          <w:rFonts w:eastAsia="Times New Roman" w:cs="Times New Roman"/>
          <w:color w:val="222222"/>
          <w:szCs w:val="24"/>
          <w:highlight w:val="white"/>
          <w:lang w:val="en-GB"/>
        </w:rPr>
        <w:t xml:space="preserve">, S., Briscoe, J.P., </w:t>
      </w:r>
      <w:proofErr w:type="spellStart"/>
      <w:r w:rsidRPr="00D51D37">
        <w:rPr>
          <w:rFonts w:eastAsia="Times New Roman" w:cs="Times New Roman"/>
          <w:color w:val="222222"/>
          <w:szCs w:val="24"/>
          <w:highlight w:val="white"/>
          <w:lang w:val="en-GB"/>
        </w:rPr>
        <w:t>Gianecchini</w:t>
      </w:r>
      <w:proofErr w:type="spellEnd"/>
      <w:r w:rsidRPr="00D51D37">
        <w:rPr>
          <w:rFonts w:eastAsia="Times New Roman" w:cs="Times New Roman"/>
          <w:color w:val="222222"/>
          <w:szCs w:val="24"/>
          <w:highlight w:val="white"/>
          <w:lang w:val="en-GB"/>
        </w:rPr>
        <w:t xml:space="preserve">, M. and Suzanne, P., 2022. The disabling effects of enabling social policies on organisations’ human capital development practices for women. </w:t>
      </w:r>
      <w:r w:rsidRPr="00D51D37">
        <w:rPr>
          <w:rFonts w:eastAsia="Times New Roman" w:cs="Times New Roman"/>
          <w:i/>
          <w:color w:val="222222"/>
          <w:szCs w:val="24"/>
          <w:highlight w:val="white"/>
          <w:lang w:val="en-GB"/>
        </w:rPr>
        <w:t>Human Resource Management Journal</w:t>
      </w:r>
      <w:r w:rsidRPr="00D51D37">
        <w:rPr>
          <w:rFonts w:eastAsia="Times New Roman" w:cs="Times New Roman"/>
          <w:color w:val="222222"/>
          <w:szCs w:val="24"/>
          <w:highlight w:val="white"/>
          <w:lang w:val="en-GB"/>
        </w:rPr>
        <w:t>.</w:t>
      </w:r>
    </w:p>
    <w:p w14:paraId="473AD660"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r w:rsidRPr="00D51D37">
        <w:rPr>
          <w:rFonts w:eastAsia="Times New Roman" w:cs="Times New Roman"/>
          <w:color w:val="222222"/>
          <w:szCs w:val="24"/>
          <w:highlight w:val="white"/>
          <w:lang w:val="en-GB"/>
        </w:rPr>
        <w:t xml:space="preserve">Schoen, C. and </w:t>
      </w:r>
      <w:proofErr w:type="spellStart"/>
      <w:r w:rsidRPr="00D51D37">
        <w:rPr>
          <w:rFonts w:eastAsia="Times New Roman" w:cs="Times New Roman"/>
          <w:color w:val="222222"/>
          <w:szCs w:val="24"/>
          <w:highlight w:val="white"/>
          <w:lang w:val="en-GB"/>
        </w:rPr>
        <w:t>Rost</w:t>
      </w:r>
      <w:proofErr w:type="spellEnd"/>
      <w:r w:rsidRPr="00D51D37">
        <w:rPr>
          <w:rFonts w:eastAsia="Times New Roman" w:cs="Times New Roman"/>
          <w:color w:val="222222"/>
          <w:szCs w:val="24"/>
          <w:highlight w:val="white"/>
          <w:lang w:val="en-GB"/>
        </w:rPr>
        <w:t xml:space="preserve">, K., 2021. What really works?! Evaluating the effectiveness of practices to increase the managerial diversity of women and minorities. </w:t>
      </w:r>
      <w:r w:rsidRPr="00D51D37">
        <w:rPr>
          <w:rFonts w:eastAsia="Times New Roman" w:cs="Times New Roman"/>
          <w:i/>
          <w:color w:val="222222"/>
          <w:szCs w:val="24"/>
          <w:highlight w:val="white"/>
          <w:lang w:val="en-GB"/>
        </w:rPr>
        <w:t>European Management Journal</w:t>
      </w:r>
      <w:r w:rsidRPr="00D51D37">
        <w:rPr>
          <w:rFonts w:eastAsia="Times New Roman" w:cs="Times New Roman"/>
          <w:color w:val="222222"/>
          <w:szCs w:val="24"/>
          <w:highlight w:val="white"/>
          <w:lang w:val="en-GB"/>
        </w:rPr>
        <w:t xml:space="preserve">, </w:t>
      </w:r>
      <w:r w:rsidRPr="00D51D37">
        <w:rPr>
          <w:rFonts w:eastAsia="Times New Roman" w:cs="Times New Roman"/>
          <w:i/>
          <w:color w:val="222222"/>
          <w:szCs w:val="24"/>
          <w:highlight w:val="white"/>
          <w:lang w:val="en-GB"/>
        </w:rPr>
        <w:t>39</w:t>
      </w:r>
      <w:r w:rsidRPr="00D51D37">
        <w:rPr>
          <w:rFonts w:eastAsia="Times New Roman" w:cs="Times New Roman"/>
          <w:color w:val="222222"/>
          <w:szCs w:val="24"/>
          <w:highlight w:val="white"/>
          <w:lang w:val="en-GB"/>
        </w:rPr>
        <w:t>(1), pp.95-108.</w:t>
      </w:r>
    </w:p>
    <w:p w14:paraId="373EEB6E"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proofErr w:type="spellStart"/>
      <w:r w:rsidRPr="00D51D37">
        <w:rPr>
          <w:rFonts w:eastAsia="Times New Roman" w:cs="Times New Roman"/>
          <w:color w:val="222222"/>
          <w:szCs w:val="24"/>
          <w:highlight w:val="white"/>
          <w:lang w:val="en-GB"/>
        </w:rPr>
        <w:lastRenderedPageBreak/>
        <w:t>Senbursa</w:t>
      </w:r>
      <w:proofErr w:type="spellEnd"/>
      <w:r w:rsidRPr="00D51D37">
        <w:rPr>
          <w:rFonts w:eastAsia="Times New Roman" w:cs="Times New Roman"/>
          <w:color w:val="222222"/>
          <w:szCs w:val="24"/>
          <w:highlight w:val="white"/>
          <w:lang w:val="en-GB"/>
        </w:rPr>
        <w:t xml:space="preserve">, N., 2022. Employee-Friendly Human Resources Management Strategies in the New Age “Covid” Era. In </w:t>
      </w:r>
      <w:r w:rsidRPr="00D51D37">
        <w:rPr>
          <w:rFonts w:eastAsia="Times New Roman" w:cs="Times New Roman"/>
          <w:i/>
          <w:color w:val="222222"/>
          <w:szCs w:val="24"/>
          <w:highlight w:val="white"/>
          <w:lang w:val="en-GB"/>
        </w:rPr>
        <w:t xml:space="preserve">Navigating the New Normal of Business </w:t>
      </w:r>
      <w:proofErr w:type="gramStart"/>
      <w:r w:rsidRPr="00D51D37">
        <w:rPr>
          <w:rFonts w:eastAsia="Times New Roman" w:cs="Times New Roman"/>
          <w:i/>
          <w:color w:val="222222"/>
          <w:szCs w:val="24"/>
          <w:highlight w:val="white"/>
          <w:lang w:val="en-GB"/>
        </w:rPr>
        <w:t>With</w:t>
      </w:r>
      <w:proofErr w:type="gramEnd"/>
      <w:r w:rsidRPr="00D51D37">
        <w:rPr>
          <w:rFonts w:eastAsia="Times New Roman" w:cs="Times New Roman"/>
          <w:i/>
          <w:color w:val="222222"/>
          <w:szCs w:val="24"/>
          <w:highlight w:val="white"/>
          <w:lang w:val="en-GB"/>
        </w:rPr>
        <w:t xml:space="preserve"> Enhanced Human Resource Management Strategies</w:t>
      </w:r>
      <w:r w:rsidRPr="00D51D37">
        <w:rPr>
          <w:rFonts w:eastAsia="Times New Roman" w:cs="Times New Roman"/>
          <w:color w:val="222222"/>
          <w:szCs w:val="24"/>
          <w:highlight w:val="white"/>
          <w:lang w:val="en-GB"/>
        </w:rPr>
        <w:t xml:space="preserve"> (pp. 22-40). IGI Global.</w:t>
      </w:r>
    </w:p>
    <w:p w14:paraId="03DAAA8A" w14:textId="77777777" w:rsidR="008C1F29" w:rsidRPr="00D51D37" w:rsidRDefault="008C1F29" w:rsidP="007224C7">
      <w:pPr>
        <w:pStyle w:val="Normal1"/>
        <w:spacing w:line="360" w:lineRule="auto"/>
        <w:jc w:val="both"/>
        <w:rPr>
          <w:rFonts w:eastAsia="Times New Roman" w:cs="Times New Roman"/>
          <w:color w:val="222222"/>
          <w:szCs w:val="24"/>
          <w:highlight w:val="white"/>
          <w:lang w:val="en-GB"/>
        </w:rPr>
      </w:pPr>
      <w:r w:rsidRPr="00D51D37">
        <w:rPr>
          <w:rFonts w:eastAsia="Times New Roman" w:cs="Times New Roman"/>
          <w:color w:val="222222"/>
          <w:szCs w:val="24"/>
          <w:highlight w:val="white"/>
          <w:lang w:val="en-GB"/>
        </w:rPr>
        <w:t xml:space="preserve">SHRM. 2022. </w:t>
      </w:r>
      <w:r w:rsidRPr="00D51D37">
        <w:rPr>
          <w:rFonts w:eastAsia="Times New Roman" w:cs="Times New Roman"/>
          <w:i/>
          <w:color w:val="222222"/>
          <w:szCs w:val="24"/>
          <w:highlight w:val="white"/>
          <w:lang w:val="en-GB"/>
        </w:rPr>
        <w:t>Managing Flexible Work Arrangements</w:t>
      </w:r>
      <w:r w:rsidRPr="00D51D37">
        <w:rPr>
          <w:rFonts w:eastAsia="Times New Roman" w:cs="Times New Roman"/>
          <w:color w:val="222222"/>
          <w:szCs w:val="24"/>
          <w:highlight w:val="white"/>
          <w:lang w:val="en-GB"/>
        </w:rPr>
        <w:t>. [online] Available at: &lt;https://www.shrm.org/resourcesandtools/tools-and-samples/toolkits/pages/managingflexibleworkarrangements.aspx&gt; [Accessed 20 April 2022].</w:t>
      </w:r>
    </w:p>
    <w:sectPr w:rsidR="008C1F29" w:rsidRPr="00D51D37" w:rsidSect="006921C5">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A3C74" w14:textId="77777777" w:rsidR="004D1FAF" w:rsidRDefault="004D1FAF" w:rsidP="007224C7">
      <w:pPr>
        <w:spacing w:line="240" w:lineRule="auto"/>
      </w:pPr>
      <w:r>
        <w:separator/>
      </w:r>
    </w:p>
  </w:endnote>
  <w:endnote w:type="continuationSeparator" w:id="0">
    <w:p w14:paraId="6F6363AF" w14:textId="77777777" w:rsidR="004D1FAF" w:rsidRDefault="004D1FAF" w:rsidP="007224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07429"/>
      <w:docPartObj>
        <w:docPartGallery w:val="Page Numbers (Bottom of Page)"/>
        <w:docPartUnique/>
      </w:docPartObj>
    </w:sdtPr>
    <w:sdtEndPr/>
    <w:sdtContent>
      <w:p w14:paraId="417D37D8" w14:textId="77777777" w:rsidR="007224C7" w:rsidRDefault="004D1FAF">
        <w:pPr>
          <w:pStyle w:val="Footer"/>
          <w:jc w:val="right"/>
        </w:pPr>
        <w:r>
          <w:fldChar w:fldCharType="begin"/>
        </w:r>
        <w:r>
          <w:instrText xml:space="preserve"> PAGE   \* MERGEFORMAT </w:instrText>
        </w:r>
        <w:r>
          <w:fldChar w:fldCharType="separate"/>
        </w:r>
        <w:r w:rsidR="00D51D37">
          <w:rPr>
            <w:noProof/>
          </w:rPr>
          <w:t>2</w:t>
        </w:r>
        <w:r>
          <w:rPr>
            <w:noProof/>
          </w:rPr>
          <w:fldChar w:fldCharType="end"/>
        </w:r>
      </w:p>
    </w:sdtContent>
  </w:sdt>
  <w:p w14:paraId="7BD43F98" w14:textId="77777777" w:rsidR="007224C7" w:rsidRDefault="00722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0D597" w14:textId="77777777" w:rsidR="004D1FAF" w:rsidRDefault="004D1FAF" w:rsidP="007224C7">
      <w:pPr>
        <w:spacing w:line="240" w:lineRule="auto"/>
      </w:pPr>
      <w:r>
        <w:separator/>
      </w:r>
    </w:p>
  </w:footnote>
  <w:footnote w:type="continuationSeparator" w:id="0">
    <w:p w14:paraId="039E1EFC" w14:textId="77777777" w:rsidR="004D1FAF" w:rsidRDefault="004D1FAF" w:rsidP="007224C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1C5"/>
    <w:rsid w:val="002F6C1E"/>
    <w:rsid w:val="00323EB9"/>
    <w:rsid w:val="004D1FAF"/>
    <w:rsid w:val="006921C5"/>
    <w:rsid w:val="007224C7"/>
    <w:rsid w:val="00845B66"/>
    <w:rsid w:val="0088202C"/>
    <w:rsid w:val="008C1F29"/>
    <w:rsid w:val="008E04AD"/>
    <w:rsid w:val="00925169"/>
    <w:rsid w:val="00993F57"/>
    <w:rsid w:val="00A66ACC"/>
    <w:rsid w:val="00A95C91"/>
    <w:rsid w:val="00BD40C5"/>
    <w:rsid w:val="00D51D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DC77E"/>
  <w15:docId w15:val="{5997A468-6B87-B649-BB2E-7B361ADAC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04AD"/>
    <w:pPr>
      <w:spacing w:line="360" w:lineRule="auto"/>
      <w:jc w:val="both"/>
    </w:pPr>
    <w:rPr>
      <w:rFonts w:ascii="Times New Roman" w:hAnsi="Times New Roman"/>
      <w:sz w:val="24"/>
      <w:lang w:val="en-GB"/>
    </w:rPr>
  </w:style>
  <w:style w:type="paragraph" w:styleId="Heading1">
    <w:name w:val="heading 1"/>
    <w:basedOn w:val="Normal1"/>
    <w:next w:val="Normal1"/>
    <w:rsid w:val="007224C7"/>
    <w:pPr>
      <w:keepNext/>
      <w:keepLines/>
      <w:spacing w:before="400" w:after="120"/>
      <w:jc w:val="both"/>
      <w:outlineLvl w:val="0"/>
    </w:pPr>
    <w:rPr>
      <w:b/>
      <w:sz w:val="32"/>
      <w:szCs w:val="40"/>
    </w:rPr>
  </w:style>
  <w:style w:type="paragraph" w:styleId="Heading2">
    <w:name w:val="heading 2"/>
    <w:basedOn w:val="Normal1"/>
    <w:next w:val="Normal1"/>
    <w:rsid w:val="007224C7"/>
    <w:pPr>
      <w:keepNext/>
      <w:keepLines/>
      <w:spacing w:before="360" w:after="120"/>
      <w:jc w:val="both"/>
      <w:outlineLvl w:val="1"/>
    </w:pPr>
    <w:rPr>
      <w:b/>
      <w:sz w:val="28"/>
      <w:szCs w:val="32"/>
    </w:rPr>
  </w:style>
  <w:style w:type="paragraph" w:styleId="Heading3">
    <w:name w:val="heading 3"/>
    <w:basedOn w:val="Normal1"/>
    <w:next w:val="Normal1"/>
    <w:rsid w:val="006921C5"/>
    <w:pPr>
      <w:keepNext/>
      <w:keepLines/>
      <w:spacing w:before="320" w:after="80"/>
      <w:outlineLvl w:val="2"/>
    </w:pPr>
    <w:rPr>
      <w:color w:val="434343"/>
      <w:sz w:val="28"/>
      <w:szCs w:val="28"/>
    </w:rPr>
  </w:style>
  <w:style w:type="paragraph" w:styleId="Heading4">
    <w:name w:val="heading 4"/>
    <w:basedOn w:val="Normal1"/>
    <w:next w:val="Normal1"/>
    <w:rsid w:val="006921C5"/>
    <w:pPr>
      <w:keepNext/>
      <w:keepLines/>
      <w:spacing w:before="280" w:after="80"/>
      <w:outlineLvl w:val="3"/>
    </w:pPr>
    <w:rPr>
      <w:color w:val="666666"/>
      <w:szCs w:val="24"/>
    </w:rPr>
  </w:style>
  <w:style w:type="paragraph" w:styleId="Heading5">
    <w:name w:val="heading 5"/>
    <w:basedOn w:val="Normal1"/>
    <w:next w:val="Normal1"/>
    <w:rsid w:val="006921C5"/>
    <w:pPr>
      <w:keepNext/>
      <w:keepLines/>
      <w:spacing w:before="240" w:after="80"/>
      <w:outlineLvl w:val="4"/>
    </w:pPr>
    <w:rPr>
      <w:color w:val="666666"/>
      <w:sz w:val="22"/>
    </w:rPr>
  </w:style>
  <w:style w:type="paragraph" w:styleId="Heading6">
    <w:name w:val="heading 6"/>
    <w:basedOn w:val="Normal1"/>
    <w:next w:val="Normal1"/>
    <w:rsid w:val="006921C5"/>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224C7"/>
    <w:rPr>
      <w:rFonts w:ascii="Times New Roman" w:hAnsi="Times New Roman"/>
      <w:sz w:val="24"/>
    </w:rPr>
  </w:style>
  <w:style w:type="paragraph" w:styleId="Title">
    <w:name w:val="Title"/>
    <w:basedOn w:val="Normal1"/>
    <w:next w:val="Normal1"/>
    <w:rsid w:val="006921C5"/>
    <w:pPr>
      <w:keepNext/>
      <w:keepLines/>
      <w:spacing w:after="60"/>
    </w:pPr>
    <w:rPr>
      <w:sz w:val="52"/>
      <w:szCs w:val="52"/>
    </w:rPr>
  </w:style>
  <w:style w:type="paragraph" w:styleId="Subtitle">
    <w:name w:val="Subtitle"/>
    <w:basedOn w:val="Normal1"/>
    <w:next w:val="Normal1"/>
    <w:rsid w:val="006921C5"/>
    <w:pPr>
      <w:keepNext/>
      <w:keepLines/>
      <w:spacing w:after="320"/>
    </w:pPr>
    <w:rPr>
      <w:rFonts w:ascii="Arial" w:hAnsi="Arial"/>
      <w:color w:val="666666"/>
      <w:sz w:val="30"/>
      <w:szCs w:val="30"/>
    </w:rPr>
  </w:style>
  <w:style w:type="paragraph" w:styleId="TOCHeading">
    <w:name w:val="TOC Heading"/>
    <w:basedOn w:val="Heading1"/>
    <w:next w:val="Normal"/>
    <w:uiPriority w:val="39"/>
    <w:semiHidden/>
    <w:unhideWhenUsed/>
    <w:qFormat/>
    <w:rsid w:val="007224C7"/>
    <w:pPr>
      <w:spacing w:before="480" w:after="0"/>
      <w:outlineLvl w:val="9"/>
    </w:pPr>
    <w:rPr>
      <w:rFonts w:asciiTheme="majorHAnsi" w:eastAsiaTheme="majorEastAsia" w:hAnsiTheme="majorHAnsi" w:cstheme="majorBidi"/>
      <w:b w:val="0"/>
      <w:bCs/>
      <w:color w:val="365F91" w:themeColor="accent1" w:themeShade="BF"/>
      <w:sz w:val="28"/>
      <w:szCs w:val="28"/>
      <w:lang w:val="en-US" w:eastAsia="en-US"/>
    </w:rPr>
  </w:style>
  <w:style w:type="paragraph" w:styleId="TOC2">
    <w:name w:val="toc 2"/>
    <w:basedOn w:val="Normal"/>
    <w:next w:val="Normal"/>
    <w:autoRedefine/>
    <w:uiPriority w:val="39"/>
    <w:unhideWhenUsed/>
    <w:rsid w:val="007224C7"/>
    <w:pPr>
      <w:spacing w:after="100"/>
      <w:ind w:left="220"/>
    </w:pPr>
  </w:style>
  <w:style w:type="paragraph" w:styleId="TOC1">
    <w:name w:val="toc 1"/>
    <w:basedOn w:val="Normal"/>
    <w:next w:val="Normal"/>
    <w:autoRedefine/>
    <w:uiPriority w:val="39"/>
    <w:unhideWhenUsed/>
    <w:rsid w:val="007224C7"/>
    <w:pPr>
      <w:spacing w:after="100"/>
    </w:pPr>
  </w:style>
  <w:style w:type="character" w:styleId="Hyperlink">
    <w:name w:val="Hyperlink"/>
    <w:basedOn w:val="DefaultParagraphFont"/>
    <w:uiPriority w:val="99"/>
    <w:unhideWhenUsed/>
    <w:rsid w:val="007224C7"/>
    <w:rPr>
      <w:color w:val="0000FF" w:themeColor="hyperlink"/>
      <w:u w:val="single"/>
    </w:rPr>
  </w:style>
  <w:style w:type="paragraph" w:styleId="BalloonText">
    <w:name w:val="Balloon Text"/>
    <w:basedOn w:val="Normal"/>
    <w:link w:val="BalloonTextChar"/>
    <w:uiPriority w:val="99"/>
    <w:semiHidden/>
    <w:unhideWhenUsed/>
    <w:rsid w:val="007224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24C7"/>
    <w:rPr>
      <w:rFonts w:ascii="Tahoma" w:hAnsi="Tahoma" w:cs="Tahoma"/>
      <w:sz w:val="16"/>
      <w:szCs w:val="16"/>
    </w:rPr>
  </w:style>
  <w:style w:type="paragraph" w:styleId="Header">
    <w:name w:val="header"/>
    <w:basedOn w:val="Normal"/>
    <w:link w:val="HeaderChar"/>
    <w:uiPriority w:val="99"/>
    <w:semiHidden/>
    <w:unhideWhenUsed/>
    <w:rsid w:val="007224C7"/>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7224C7"/>
  </w:style>
  <w:style w:type="paragraph" w:styleId="Footer">
    <w:name w:val="footer"/>
    <w:basedOn w:val="Normal"/>
    <w:link w:val="FooterChar"/>
    <w:uiPriority w:val="99"/>
    <w:unhideWhenUsed/>
    <w:rsid w:val="007224C7"/>
    <w:pPr>
      <w:tabs>
        <w:tab w:val="center" w:pos="4513"/>
        <w:tab w:val="right" w:pos="9026"/>
      </w:tabs>
      <w:spacing w:line="240" w:lineRule="auto"/>
    </w:pPr>
  </w:style>
  <w:style w:type="character" w:customStyle="1" w:styleId="FooterChar">
    <w:name w:val="Footer Char"/>
    <w:basedOn w:val="DefaultParagraphFont"/>
    <w:link w:val="Footer"/>
    <w:uiPriority w:val="99"/>
    <w:rsid w:val="007224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9308A9-E716-4C8A-9294-CE2AD33A6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2854</Words>
  <Characters>16271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Csila Girbomean</cp:lastModifiedBy>
  <cp:revision>3</cp:revision>
  <dcterms:created xsi:type="dcterms:W3CDTF">2022-05-06T07:25:00Z</dcterms:created>
  <dcterms:modified xsi:type="dcterms:W3CDTF">2022-05-06T07:27:00Z</dcterms:modified>
</cp:coreProperties>
</file>