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2E6049F3" w:rsidR="00C97483" w:rsidRPr="00B23D2C" w:rsidRDefault="004F2E5F">
      <w:pPr>
        <w:jc w:val="center"/>
        <w:rPr>
          <w:rFonts w:ascii="Times New Roman" w:eastAsia="Times New Roman" w:hAnsi="Times New Roman" w:cs="Times New Roman"/>
          <w:b/>
          <w:bCs/>
          <w:sz w:val="32"/>
          <w:szCs w:val="32"/>
          <w:lang w:val="en-GB"/>
        </w:rPr>
      </w:pPr>
      <w:r w:rsidRPr="00A406E5">
        <w:rPr>
          <w:noProof/>
        </w:rPr>
        <w:drawing>
          <wp:anchor distT="0" distB="0" distL="114300" distR="114300" simplePos="0" relativeHeight="251659264" behindDoc="0" locked="0" layoutInCell="1" allowOverlap="1" wp14:anchorId="38656B81" wp14:editId="71D05B49">
            <wp:simplePos x="0" y="0"/>
            <wp:positionH relativeFrom="margin">
              <wp:align>center</wp:align>
            </wp:positionH>
            <wp:positionV relativeFrom="paragraph">
              <wp:posOffset>160020</wp:posOffset>
            </wp:positionV>
            <wp:extent cx="2438400" cy="81534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38400" cy="8153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000002" w14:textId="0893EFB9" w:rsidR="00C97483" w:rsidRPr="00B23D2C" w:rsidRDefault="00C97483">
      <w:pPr>
        <w:jc w:val="center"/>
        <w:rPr>
          <w:rFonts w:ascii="Times New Roman" w:eastAsia="Times New Roman" w:hAnsi="Times New Roman" w:cs="Times New Roman"/>
          <w:b/>
          <w:bCs/>
          <w:sz w:val="32"/>
          <w:szCs w:val="32"/>
          <w:lang w:val="en-GB"/>
        </w:rPr>
      </w:pPr>
    </w:p>
    <w:p w14:paraId="00000004" w14:textId="77777777" w:rsidR="00C97483" w:rsidRPr="00B23D2C" w:rsidRDefault="00C97483" w:rsidP="004F2E5F">
      <w:pPr>
        <w:rPr>
          <w:rFonts w:ascii="Times New Roman" w:eastAsia="Times New Roman" w:hAnsi="Times New Roman" w:cs="Times New Roman"/>
          <w:b/>
          <w:bCs/>
          <w:sz w:val="32"/>
          <w:szCs w:val="32"/>
          <w:lang w:val="en-GB"/>
        </w:rPr>
      </w:pPr>
    </w:p>
    <w:p w14:paraId="00000005" w14:textId="77777777" w:rsidR="00C97483" w:rsidRPr="00B23D2C" w:rsidRDefault="00C97483">
      <w:pPr>
        <w:jc w:val="center"/>
        <w:rPr>
          <w:rFonts w:ascii="Times New Roman" w:eastAsia="Times New Roman" w:hAnsi="Times New Roman" w:cs="Times New Roman"/>
          <w:b/>
          <w:bCs/>
          <w:sz w:val="32"/>
          <w:szCs w:val="32"/>
          <w:lang w:val="en-GB"/>
        </w:rPr>
      </w:pPr>
    </w:p>
    <w:p w14:paraId="3FC9998A" w14:textId="5250C6F3" w:rsidR="004F2E5F" w:rsidRDefault="004F2E5F" w:rsidP="004F2E5F">
      <w:pPr>
        <w:spacing w:before="240"/>
        <w:jc w:val="center"/>
        <w:rPr>
          <w:rFonts w:eastAsia="Times New Roman"/>
          <w:b/>
          <w:bCs/>
          <w:sz w:val="28"/>
          <w:szCs w:val="28"/>
          <w:lang w:val="en-GB"/>
        </w:rPr>
      </w:pPr>
      <w:r>
        <w:rPr>
          <w:rFonts w:eastAsia="Times New Roman"/>
          <w:b/>
          <w:bCs/>
          <w:sz w:val="28"/>
          <w:szCs w:val="28"/>
          <w:lang w:val="en-GB"/>
        </w:rPr>
        <w:t xml:space="preserve">Module Code: </w:t>
      </w:r>
      <w:r w:rsidRPr="00B23D2C">
        <w:rPr>
          <w:rFonts w:eastAsia="Times New Roman"/>
          <w:b/>
          <w:bCs/>
          <w:sz w:val="28"/>
          <w:szCs w:val="28"/>
          <w:lang w:val="en-GB"/>
        </w:rPr>
        <w:t>BMHP5016</w:t>
      </w:r>
    </w:p>
    <w:p w14:paraId="00000006" w14:textId="26B4FC74" w:rsidR="00C97483" w:rsidRPr="00B23D2C" w:rsidRDefault="004F2E5F" w:rsidP="004F2E5F">
      <w:pPr>
        <w:spacing w:before="240"/>
        <w:jc w:val="center"/>
        <w:rPr>
          <w:rFonts w:eastAsia="Times New Roman"/>
          <w:b/>
          <w:bCs/>
          <w:sz w:val="28"/>
          <w:szCs w:val="28"/>
          <w:lang w:val="en-GB"/>
        </w:rPr>
      </w:pPr>
      <w:r>
        <w:rPr>
          <w:rFonts w:eastAsia="Times New Roman"/>
          <w:b/>
          <w:bCs/>
          <w:sz w:val="28"/>
          <w:szCs w:val="28"/>
          <w:lang w:val="en-GB"/>
        </w:rPr>
        <w:t xml:space="preserve">Module Title: </w:t>
      </w:r>
      <w:r w:rsidRPr="00B23D2C">
        <w:rPr>
          <w:rFonts w:eastAsia="Times New Roman"/>
          <w:b/>
          <w:bCs/>
          <w:sz w:val="28"/>
          <w:szCs w:val="28"/>
          <w:lang w:val="en-GB"/>
        </w:rPr>
        <w:t>Principles of Health and Social Care Practice</w:t>
      </w:r>
    </w:p>
    <w:p w14:paraId="73DFCA5A" w14:textId="77777777" w:rsidR="004F2E5F" w:rsidRDefault="004F2E5F" w:rsidP="004F2E5F">
      <w:pPr>
        <w:spacing w:before="240"/>
        <w:jc w:val="center"/>
        <w:rPr>
          <w:rFonts w:eastAsia="Times New Roman"/>
          <w:b/>
          <w:bCs/>
          <w:sz w:val="28"/>
          <w:szCs w:val="28"/>
          <w:lang w:val="en-GB"/>
        </w:rPr>
      </w:pPr>
    </w:p>
    <w:p w14:paraId="00000007" w14:textId="66CF8569" w:rsidR="00C97483" w:rsidRDefault="004F2E5F" w:rsidP="004F2E5F">
      <w:pPr>
        <w:spacing w:before="240"/>
        <w:jc w:val="center"/>
        <w:rPr>
          <w:rFonts w:eastAsia="Times New Roman"/>
          <w:b/>
          <w:bCs/>
          <w:sz w:val="28"/>
          <w:szCs w:val="28"/>
          <w:lang w:val="en-GB"/>
        </w:rPr>
      </w:pPr>
      <w:r>
        <w:rPr>
          <w:rFonts w:eastAsia="Times New Roman"/>
          <w:b/>
          <w:bCs/>
          <w:sz w:val="28"/>
          <w:szCs w:val="28"/>
          <w:lang w:val="en-GB"/>
        </w:rPr>
        <w:t xml:space="preserve">Assignment Title: </w:t>
      </w:r>
      <w:r w:rsidRPr="00B23D2C">
        <w:rPr>
          <w:rFonts w:eastAsia="Times New Roman"/>
          <w:b/>
          <w:bCs/>
          <w:sz w:val="28"/>
          <w:szCs w:val="28"/>
          <w:lang w:val="en-GB"/>
        </w:rPr>
        <w:t>Component 2: Written Assignment (Report)</w:t>
      </w:r>
    </w:p>
    <w:p w14:paraId="5D34B34F" w14:textId="77777777" w:rsidR="004F2E5F" w:rsidRDefault="004F2E5F" w:rsidP="004F2E5F">
      <w:pPr>
        <w:spacing w:before="240"/>
        <w:jc w:val="center"/>
        <w:rPr>
          <w:rFonts w:eastAsia="Times New Roman"/>
          <w:b/>
          <w:bCs/>
          <w:sz w:val="28"/>
          <w:szCs w:val="28"/>
          <w:lang w:val="en-GB"/>
        </w:rPr>
      </w:pPr>
    </w:p>
    <w:p w14:paraId="45362776" w14:textId="54AFCDDB" w:rsidR="004F2E5F" w:rsidRDefault="004F2E5F" w:rsidP="004F2E5F">
      <w:pPr>
        <w:spacing w:before="240"/>
        <w:jc w:val="center"/>
        <w:rPr>
          <w:rFonts w:eastAsia="Times New Roman"/>
          <w:b/>
          <w:bCs/>
          <w:sz w:val="28"/>
          <w:szCs w:val="28"/>
          <w:lang w:val="en-GB"/>
        </w:rPr>
      </w:pPr>
      <w:r>
        <w:rPr>
          <w:rFonts w:eastAsia="Times New Roman"/>
          <w:b/>
          <w:bCs/>
          <w:sz w:val="28"/>
          <w:szCs w:val="28"/>
          <w:lang w:val="en-GB"/>
        </w:rPr>
        <w:t xml:space="preserve">Student Name: </w:t>
      </w:r>
      <w:r w:rsidRPr="004F2E5F">
        <w:rPr>
          <w:rFonts w:eastAsia="Times New Roman"/>
          <w:b/>
          <w:bCs/>
          <w:sz w:val="28"/>
          <w:szCs w:val="28"/>
          <w:lang w:val="en-GB"/>
        </w:rPr>
        <w:t>Molly Ndoya</w:t>
      </w:r>
    </w:p>
    <w:p w14:paraId="0FEE5976" w14:textId="3517BE05" w:rsidR="004F2E5F" w:rsidRDefault="004F2E5F" w:rsidP="004F2E5F">
      <w:pPr>
        <w:spacing w:before="240"/>
        <w:jc w:val="center"/>
        <w:rPr>
          <w:rFonts w:eastAsia="Times New Roman"/>
          <w:b/>
          <w:bCs/>
          <w:sz w:val="28"/>
          <w:szCs w:val="28"/>
          <w:lang w:val="en-GB"/>
        </w:rPr>
      </w:pPr>
      <w:r>
        <w:rPr>
          <w:rFonts w:eastAsia="Times New Roman"/>
          <w:b/>
          <w:bCs/>
          <w:sz w:val="28"/>
          <w:szCs w:val="28"/>
          <w:lang w:val="en-GB"/>
        </w:rPr>
        <w:t xml:space="preserve">Student ID: </w:t>
      </w:r>
      <w:r w:rsidR="00EB0BAF">
        <w:rPr>
          <w:rFonts w:eastAsia="Times New Roman"/>
          <w:b/>
          <w:bCs/>
          <w:sz w:val="28"/>
          <w:szCs w:val="28"/>
          <w:lang w:val="en-GB"/>
        </w:rPr>
        <w:t>2423296</w:t>
      </w:r>
    </w:p>
    <w:p w14:paraId="0055C0E6" w14:textId="46EFD4DB" w:rsidR="00EB0BAF" w:rsidRDefault="00EB0BAF" w:rsidP="004F2E5F">
      <w:pPr>
        <w:spacing w:before="240"/>
        <w:jc w:val="center"/>
        <w:rPr>
          <w:rFonts w:eastAsia="Times New Roman"/>
          <w:b/>
          <w:bCs/>
          <w:sz w:val="28"/>
          <w:szCs w:val="28"/>
          <w:lang w:val="en-GB"/>
        </w:rPr>
      </w:pPr>
      <w:r>
        <w:rPr>
          <w:rFonts w:eastAsia="Times New Roman"/>
          <w:b/>
          <w:bCs/>
          <w:sz w:val="28"/>
          <w:szCs w:val="28"/>
          <w:lang w:val="en-GB"/>
        </w:rPr>
        <w:t>Lecture: Aishat Bakre</w:t>
      </w:r>
    </w:p>
    <w:p w14:paraId="6C0A4976" w14:textId="77777777" w:rsidR="00EB0BAF" w:rsidRDefault="00EB0BAF" w:rsidP="004F2E5F">
      <w:pPr>
        <w:spacing w:before="240"/>
        <w:jc w:val="center"/>
        <w:rPr>
          <w:rFonts w:eastAsia="Times New Roman"/>
          <w:b/>
          <w:bCs/>
          <w:sz w:val="28"/>
          <w:szCs w:val="28"/>
          <w:lang w:val="en-GB"/>
        </w:rPr>
      </w:pPr>
    </w:p>
    <w:p w14:paraId="7A77FF7B" w14:textId="77777777" w:rsidR="00EB0BAF" w:rsidRDefault="00EB0BAF" w:rsidP="004F2E5F">
      <w:pPr>
        <w:spacing w:before="240"/>
        <w:jc w:val="center"/>
        <w:rPr>
          <w:rFonts w:eastAsia="Times New Roman"/>
          <w:b/>
          <w:bCs/>
          <w:sz w:val="28"/>
          <w:szCs w:val="28"/>
          <w:lang w:val="en-GB"/>
        </w:rPr>
      </w:pPr>
    </w:p>
    <w:p w14:paraId="62EB8D88" w14:textId="77777777" w:rsidR="00EB0BAF" w:rsidRDefault="00EB0BAF" w:rsidP="004F2E5F">
      <w:pPr>
        <w:spacing w:before="240"/>
        <w:jc w:val="center"/>
        <w:rPr>
          <w:rFonts w:eastAsia="Times New Roman"/>
          <w:b/>
          <w:bCs/>
          <w:sz w:val="28"/>
          <w:szCs w:val="28"/>
          <w:lang w:val="en-GB"/>
        </w:rPr>
      </w:pPr>
    </w:p>
    <w:p w14:paraId="2A937F73" w14:textId="77777777" w:rsidR="00EB0BAF" w:rsidRPr="00B23D2C" w:rsidRDefault="00EB0BAF" w:rsidP="004F2E5F">
      <w:pPr>
        <w:spacing w:before="240"/>
        <w:jc w:val="center"/>
        <w:rPr>
          <w:rFonts w:eastAsia="Times New Roman"/>
          <w:b/>
          <w:bCs/>
          <w:sz w:val="28"/>
          <w:szCs w:val="28"/>
          <w:lang w:val="en-GB"/>
        </w:rPr>
      </w:pPr>
    </w:p>
    <w:p w14:paraId="00000008" w14:textId="77777777" w:rsidR="00C97483" w:rsidRPr="00B23D2C" w:rsidRDefault="00000000">
      <w:pPr>
        <w:rPr>
          <w:rFonts w:eastAsia="Times New Roman"/>
          <w:b/>
          <w:bCs/>
          <w:lang w:val="en-GB"/>
        </w:rPr>
      </w:pPr>
      <w:r w:rsidRPr="00B23D2C">
        <w:rPr>
          <w:lang w:val="en-GB"/>
        </w:rPr>
        <w:br w:type="page"/>
      </w:r>
    </w:p>
    <w:p w14:paraId="16587023" w14:textId="59D2B6F2" w:rsidR="00D25E89" w:rsidRDefault="00D25E89">
      <w:pPr>
        <w:spacing w:line="276" w:lineRule="auto"/>
        <w:jc w:val="left"/>
        <w:rPr>
          <w:rFonts w:eastAsia="Times New Roman"/>
          <w:lang w:val="en-GB"/>
        </w:rPr>
      </w:pPr>
      <w:r>
        <w:rPr>
          <w:rFonts w:eastAsia="Times New Roman"/>
          <w:lang w:val="en-GB"/>
        </w:rPr>
        <w:lastRenderedPageBreak/>
        <w:br w:type="page"/>
      </w:r>
    </w:p>
    <w:sdt>
      <w:sdtPr>
        <w:rPr>
          <w:rFonts w:ascii="Arial" w:eastAsia="Arial" w:hAnsi="Arial" w:cs="Arial"/>
          <w:color w:val="auto"/>
          <w:sz w:val="22"/>
          <w:szCs w:val="22"/>
          <w:lang w:val="en" w:eastAsia="en-IN"/>
        </w:rPr>
        <w:id w:val="-1223833587"/>
        <w:docPartObj>
          <w:docPartGallery w:val="Table of Contents"/>
          <w:docPartUnique/>
        </w:docPartObj>
      </w:sdtPr>
      <w:sdtEndPr>
        <w:rPr>
          <w:b/>
          <w:bCs/>
          <w:noProof/>
        </w:rPr>
      </w:sdtEndPr>
      <w:sdtContent>
        <w:p w14:paraId="683D132F" w14:textId="35D3E958" w:rsidR="00D25E89" w:rsidRPr="00D25E89" w:rsidRDefault="00D25E89" w:rsidP="00D25E89">
          <w:pPr>
            <w:pStyle w:val="TOCHeading"/>
            <w:spacing w:before="0" w:line="360" w:lineRule="auto"/>
            <w:jc w:val="center"/>
            <w:rPr>
              <w:rFonts w:ascii="Arial" w:hAnsi="Arial" w:cs="Arial"/>
              <w:b/>
              <w:bCs/>
              <w:color w:val="auto"/>
              <w:sz w:val="28"/>
              <w:szCs w:val="28"/>
            </w:rPr>
          </w:pPr>
          <w:r w:rsidRPr="00D25E89">
            <w:rPr>
              <w:rFonts w:ascii="Arial" w:hAnsi="Arial" w:cs="Arial"/>
              <w:b/>
              <w:bCs/>
              <w:color w:val="auto"/>
              <w:sz w:val="28"/>
              <w:szCs w:val="28"/>
            </w:rPr>
            <w:t>Table of Contents</w:t>
          </w:r>
        </w:p>
        <w:p w14:paraId="4BA6B1D5" w14:textId="6557F3F9" w:rsidR="00D25E89" w:rsidRPr="00D25E89" w:rsidRDefault="00D25E89" w:rsidP="00D25E89">
          <w:pPr>
            <w:pStyle w:val="TOC1"/>
            <w:tabs>
              <w:tab w:val="right" w:leader="dot" w:pos="9350"/>
            </w:tabs>
            <w:rPr>
              <w:noProof/>
              <w:sz w:val="24"/>
              <w:szCs w:val="24"/>
            </w:rPr>
          </w:pPr>
          <w:r w:rsidRPr="00D25E89">
            <w:rPr>
              <w:sz w:val="24"/>
              <w:szCs w:val="24"/>
            </w:rPr>
            <w:fldChar w:fldCharType="begin"/>
          </w:r>
          <w:r w:rsidRPr="00D25E89">
            <w:rPr>
              <w:sz w:val="24"/>
              <w:szCs w:val="24"/>
            </w:rPr>
            <w:instrText xml:space="preserve"> TOC \o "1-3" \h \z \u </w:instrText>
          </w:r>
          <w:r w:rsidRPr="00D25E89">
            <w:rPr>
              <w:sz w:val="24"/>
              <w:szCs w:val="24"/>
            </w:rPr>
            <w:fldChar w:fldCharType="separate"/>
          </w:r>
          <w:hyperlink w:anchor="_Toc223782931" w:history="1">
            <w:r w:rsidRPr="00D25E89">
              <w:rPr>
                <w:rStyle w:val="Hyperlink"/>
                <w:noProof/>
                <w:color w:val="auto"/>
                <w:sz w:val="24"/>
                <w:szCs w:val="24"/>
                <w:lang w:val="en-GB"/>
              </w:rPr>
              <w:t>Introduction</w:t>
            </w:r>
            <w:r w:rsidRPr="00D25E89">
              <w:rPr>
                <w:noProof/>
                <w:webHidden/>
                <w:sz w:val="24"/>
                <w:szCs w:val="24"/>
              </w:rPr>
              <w:tab/>
            </w:r>
            <w:r w:rsidRPr="00D25E89">
              <w:rPr>
                <w:noProof/>
                <w:webHidden/>
                <w:sz w:val="24"/>
                <w:szCs w:val="24"/>
              </w:rPr>
              <w:fldChar w:fldCharType="begin"/>
            </w:r>
            <w:r w:rsidRPr="00D25E89">
              <w:rPr>
                <w:noProof/>
                <w:webHidden/>
                <w:sz w:val="24"/>
                <w:szCs w:val="24"/>
              </w:rPr>
              <w:instrText xml:space="preserve"> PAGEREF _Toc223782931 \h </w:instrText>
            </w:r>
            <w:r w:rsidRPr="00D25E89">
              <w:rPr>
                <w:noProof/>
                <w:webHidden/>
                <w:sz w:val="24"/>
                <w:szCs w:val="24"/>
              </w:rPr>
            </w:r>
            <w:r w:rsidRPr="00D25E89">
              <w:rPr>
                <w:noProof/>
                <w:webHidden/>
                <w:sz w:val="24"/>
                <w:szCs w:val="24"/>
              </w:rPr>
              <w:fldChar w:fldCharType="separate"/>
            </w:r>
            <w:r w:rsidRPr="00D25E89">
              <w:rPr>
                <w:noProof/>
                <w:webHidden/>
                <w:sz w:val="24"/>
                <w:szCs w:val="24"/>
              </w:rPr>
              <w:t>4</w:t>
            </w:r>
            <w:r w:rsidRPr="00D25E89">
              <w:rPr>
                <w:noProof/>
                <w:webHidden/>
                <w:sz w:val="24"/>
                <w:szCs w:val="24"/>
              </w:rPr>
              <w:fldChar w:fldCharType="end"/>
            </w:r>
          </w:hyperlink>
        </w:p>
        <w:p w14:paraId="55011D02" w14:textId="3E104A9D" w:rsidR="00D25E89" w:rsidRPr="00D25E89" w:rsidRDefault="00D25E89" w:rsidP="00D25E89">
          <w:pPr>
            <w:pStyle w:val="TOC1"/>
            <w:tabs>
              <w:tab w:val="right" w:leader="dot" w:pos="9350"/>
            </w:tabs>
            <w:rPr>
              <w:noProof/>
              <w:sz w:val="24"/>
              <w:szCs w:val="24"/>
            </w:rPr>
          </w:pPr>
          <w:hyperlink w:anchor="_Toc223782932" w:history="1">
            <w:r w:rsidRPr="00D25E89">
              <w:rPr>
                <w:rStyle w:val="Hyperlink"/>
                <w:noProof/>
                <w:color w:val="auto"/>
                <w:sz w:val="24"/>
                <w:szCs w:val="24"/>
                <w:lang w:val="en-GB"/>
              </w:rPr>
              <w:t>Definition of Person-Centred Care</w:t>
            </w:r>
            <w:r w:rsidRPr="00D25E89">
              <w:rPr>
                <w:noProof/>
                <w:webHidden/>
                <w:sz w:val="24"/>
                <w:szCs w:val="24"/>
              </w:rPr>
              <w:tab/>
            </w:r>
            <w:r w:rsidRPr="00D25E89">
              <w:rPr>
                <w:noProof/>
                <w:webHidden/>
                <w:sz w:val="24"/>
                <w:szCs w:val="24"/>
              </w:rPr>
              <w:fldChar w:fldCharType="begin"/>
            </w:r>
            <w:r w:rsidRPr="00D25E89">
              <w:rPr>
                <w:noProof/>
                <w:webHidden/>
                <w:sz w:val="24"/>
                <w:szCs w:val="24"/>
              </w:rPr>
              <w:instrText xml:space="preserve"> PAGEREF _Toc223782932 \h </w:instrText>
            </w:r>
            <w:r w:rsidRPr="00D25E89">
              <w:rPr>
                <w:noProof/>
                <w:webHidden/>
                <w:sz w:val="24"/>
                <w:szCs w:val="24"/>
              </w:rPr>
            </w:r>
            <w:r w:rsidRPr="00D25E89">
              <w:rPr>
                <w:noProof/>
                <w:webHidden/>
                <w:sz w:val="24"/>
                <w:szCs w:val="24"/>
              </w:rPr>
              <w:fldChar w:fldCharType="separate"/>
            </w:r>
            <w:r w:rsidRPr="00D25E89">
              <w:rPr>
                <w:noProof/>
                <w:webHidden/>
                <w:sz w:val="24"/>
                <w:szCs w:val="24"/>
              </w:rPr>
              <w:t>4</w:t>
            </w:r>
            <w:r w:rsidRPr="00D25E89">
              <w:rPr>
                <w:noProof/>
                <w:webHidden/>
                <w:sz w:val="24"/>
                <w:szCs w:val="24"/>
              </w:rPr>
              <w:fldChar w:fldCharType="end"/>
            </w:r>
          </w:hyperlink>
        </w:p>
        <w:p w14:paraId="26C2AD65" w14:textId="56FA070F" w:rsidR="00D25E89" w:rsidRPr="00D25E89" w:rsidRDefault="00D25E89" w:rsidP="00D25E89">
          <w:pPr>
            <w:pStyle w:val="TOC1"/>
            <w:tabs>
              <w:tab w:val="right" w:leader="dot" w:pos="9350"/>
            </w:tabs>
            <w:rPr>
              <w:noProof/>
              <w:sz w:val="24"/>
              <w:szCs w:val="24"/>
            </w:rPr>
          </w:pPr>
          <w:hyperlink w:anchor="_Toc223782933" w:history="1">
            <w:r w:rsidRPr="00D25E89">
              <w:rPr>
                <w:rStyle w:val="Hyperlink"/>
                <w:noProof/>
                <w:color w:val="auto"/>
                <w:sz w:val="24"/>
                <w:szCs w:val="24"/>
                <w:lang w:val="en-GB"/>
              </w:rPr>
              <w:t>Key Theories</w:t>
            </w:r>
            <w:r w:rsidRPr="00D25E89">
              <w:rPr>
                <w:noProof/>
                <w:webHidden/>
                <w:sz w:val="24"/>
                <w:szCs w:val="24"/>
              </w:rPr>
              <w:tab/>
            </w:r>
            <w:r w:rsidRPr="00D25E89">
              <w:rPr>
                <w:noProof/>
                <w:webHidden/>
                <w:sz w:val="24"/>
                <w:szCs w:val="24"/>
              </w:rPr>
              <w:fldChar w:fldCharType="begin"/>
            </w:r>
            <w:r w:rsidRPr="00D25E89">
              <w:rPr>
                <w:noProof/>
                <w:webHidden/>
                <w:sz w:val="24"/>
                <w:szCs w:val="24"/>
              </w:rPr>
              <w:instrText xml:space="preserve"> PAGEREF _Toc223782933 \h </w:instrText>
            </w:r>
            <w:r w:rsidRPr="00D25E89">
              <w:rPr>
                <w:noProof/>
                <w:webHidden/>
                <w:sz w:val="24"/>
                <w:szCs w:val="24"/>
              </w:rPr>
            </w:r>
            <w:r w:rsidRPr="00D25E89">
              <w:rPr>
                <w:noProof/>
                <w:webHidden/>
                <w:sz w:val="24"/>
                <w:szCs w:val="24"/>
              </w:rPr>
              <w:fldChar w:fldCharType="separate"/>
            </w:r>
            <w:r w:rsidRPr="00D25E89">
              <w:rPr>
                <w:noProof/>
                <w:webHidden/>
                <w:sz w:val="24"/>
                <w:szCs w:val="24"/>
              </w:rPr>
              <w:t>5</w:t>
            </w:r>
            <w:r w:rsidRPr="00D25E89">
              <w:rPr>
                <w:noProof/>
                <w:webHidden/>
                <w:sz w:val="24"/>
                <w:szCs w:val="24"/>
              </w:rPr>
              <w:fldChar w:fldCharType="end"/>
            </w:r>
          </w:hyperlink>
        </w:p>
        <w:p w14:paraId="1582C31A" w14:textId="4BF1CC72" w:rsidR="00D25E89" w:rsidRPr="00D25E89" w:rsidRDefault="00D25E89" w:rsidP="00D25E89">
          <w:pPr>
            <w:pStyle w:val="TOC1"/>
            <w:tabs>
              <w:tab w:val="right" w:leader="dot" w:pos="9350"/>
            </w:tabs>
            <w:rPr>
              <w:noProof/>
              <w:sz w:val="24"/>
              <w:szCs w:val="24"/>
            </w:rPr>
          </w:pPr>
          <w:hyperlink w:anchor="_Toc223782934" w:history="1">
            <w:r w:rsidRPr="00D25E89">
              <w:rPr>
                <w:rStyle w:val="Hyperlink"/>
                <w:noProof/>
                <w:color w:val="auto"/>
                <w:sz w:val="24"/>
                <w:szCs w:val="24"/>
                <w:lang w:val="en-GB"/>
              </w:rPr>
              <w:t>Ethical Fundamentals</w:t>
            </w:r>
            <w:r w:rsidRPr="00D25E89">
              <w:rPr>
                <w:noProof/>
                <w:webHidden/>
                <w:sz w:val="24"/>
                <w:szCs w:val="24"/>
              </w:rPr>
              <w:tab/>
            </w:r>
            <w:r w:rsidRPr="00D25E89">
              <w:rPr>
                <w:noProof/>
                <w:webHidden/>
                <w:sz w:val="24"/>
                <w:szCs w:val="24"/>
              </w:rPr>
              <w:fldChar w:fldCharType="begin"/>
            </w:r>
            <w:r w:rsidRPr="00D25E89">
              <w:rPr>
                <w:noProof/>
                <w:webHidden/>
                <w:sz w:val="24"/>
                <w:szCs w:val="24"/>
              </w:rPr>
              <w:instrText xml:space="preserve"> PAGEREF _Toc223782934 \h </w:instrText>
            </w:r>
            <w:r w:rsidRPr="00D25E89">
              <w:rPr>
                <w:noProof/>
                <w:webHidden/>
                <w:sz w:val="24"/>
                <w:szCs w:val="24"/>
              </w:rPr>
            </w:r>
            <w:r w:rsidRPr="00D25E89">
              <w:rPr>
                <w:noProof/>
                <w:webHidden/>
                <w:sz w:val="24"/>
                <w:szCs w:val="24"/>
              </w:rPr>
              <w:fldChar w:fldCharType="separate"/>
            </w:r>
            <w:r w:rsidRPr="00D25E89">
              <w:rPr>
                <w:noProof/>
                <w:webHidden/>
                <w:sz w:val="24"/>
                <w:szCs w:val="24"/>
              </w:rPr>
              <w:t>7</w:t>
            </w:r>
            <w:r w:rsidRPr="00D25E89">
              <w:rPr>
                <w:noProof/>
                <w:webHidden/>
                <w:sz w:val="24"/>
                <w:szCs w:val="24"/>
              </w:rPr>
              <w:fldChar w:fldCharType="end"/>
            </w:r>
          </w:hyperlink>
        </w:p>
        <w:p w14:paraId="548373E4" w14:textId="3F0DCC7A" w:rsidR="00D25E89" w:rsidRPr="00D25E89" w:rsidRDefault="00D25E89" w:rsidP="00D25E89">
          <w:pPr>
            <w:pStyle w:val="TOC1"/>
            <w:tabs>
              <w:tab w:val="right" w:leader="dot" w:pos="9350"/>
            </w:tabs>
            <w:rPr>
              <w:noProof/>
              <w:sz w:val="24"/>
              <w:szCs w:val="24"/>
            </w:rPr>
          </w:pPr>
          <w:hyperlink w:anchor="_Toc223782935" w:history="1">
            <w:r w:rsidRPr="00D25E89">
              <w:rPr>
                <w:rStyle w:val="Hyperlink"/>
                <w:noProof/>
                <w:color w:val="auto"/>
                <w:sz w:val="24"/>
                <w:szCs w:val="24"/>
                <w:lang w:val="en-GB"/>
              </w:rPr>
              <w:t>Evaluation of Partnership Working</w:t>
            </w:r>
            <w:r w:rsidRPr="00D25E89">
              <w:rPr>
                <w:noProof/>
                <w:webHidden/>
                <w:sz w:val="24"/>
                <w:szCs w:val="24"/>
              </w:rPr>
              <w:tab/>
            </w:r>
            <w:r w:rsidRPr="00D25E89">
              <w:rPr>
                <w:noProof/>
                <w:webHidden/>
                <w:sz w:val="24"/>
                <w:szCs w:val="24"/>
              </w:rPr>
              <w:fldChar w:fldCharType="begin"/>
            </w:r>
            <w:r w:rsidRPr="00D25E89">
              <w:rPr>
                <w:noProof/>
                <w:webHidden/>
                <w:sz w:val="24"/>
                <w:szCs w:val="24"/>
              </w:rPr>
              <w:instrText xml:space="preserve"> PAGEREF _Toc223782935 \h </w:instrText>
            </w:r>
            <w:r w:rsidRPr="00D25E89">
              <w:rPr>
                <w:noProof/>
                <w:webHidden/>
                <w:sz w:val="24"/>
                <w:szCs w:val="24"/>
              </w:rPr>
            </w:r>
            <w:r w:rsidRPr="00D25E89">
              <w:rPr>
                <w:noProof/>
                <w:webHidden/>
                <w:sz w:val="24"/>
                <w:szCs w:val="24"/>
              </w:rPr>
              <w:fldChar w:fldCharType="separate"/>
            </w:r>
            <w:r w:rsidRPr="00D25E89">
              <w:rPr>
                <w:noProof/>
                <w:webHidden/>
                <w:sz w:val="24"/>
                <w:szCs w:val="24"/>
              </w:rPr>
              <w:t>7</w:t>
            </w:r>
            <w:r w:rsidRPr="00D25E89">
              <w:rPr>
                <w:noProof/>
                <w:webHidden/>
                <w:sz w:val="24"/>
                <w:szCs w:val="24"/>
              </w:rPr>
              <w:fldChar w:fldCharType="end"/>
            </w:r>
          </w:hyperlink>
        </w:p>
        <w:p w14:paraId="5201DB8D" w14:textId="76E89EB5" w:rsidR="00D25E89" w:rsidRPr="00D25E89" w:rsidRDefault="00D25E89" w:rsidP="00D25E89">
          <w:pPr>
            <w:pStyle w:val="TOC1"/>
            <w:tabs>
              <w:tab w:val="right" w:leader="dot" w:pos="9350"/>
            </w:tabs>
            <w:rPr>
              <w:noProof/>
              <w:sz w:val="24"/>
              <w:szCs w:val="24"/>
            </w:rPr>
          </w:pPr>
          <w:hyperlink w:anchor="_Toc223782936" w:history="1">
            <w:r w:rsidRPr="00D25E89">
              <w:rPr>
                <w:rStyle w:val="Hyperlink"/>
                <w:noProof/>
                <w:color w:val="auto"/>
                <w:sz w:val="24"/>
                <w:szCs w:val="24"/>
                <w:lang w:val="en-GB"/>
              </w:rPr>
              <w:t>Policy and Legislation</w:t>
            </w:r>
            <w:r w:rsidRPr="00D25E89">
              <w:rPr>
                <w:noProof/>
                <w:webHidden/>
                <w:sz w:val="24"/>
                <w:szCs w:val="24"/>
              </w:rPr>
              <w:tab/>
            </w:r>
            <w:r w:rsidRPr="00D25E89">
              <w:rPr>
                <w:noProof/>
                <w:webHidden/>
                <w:sz w:val="24"/>
                <w:szCs w:val="24"/>
              </w:rPr>
              <w:fldChar w:fldCharType="begin"/>
            </w:r>
            <w:r w:rsidRPr="00D25E89">
              <w:rPr>
                <w:noProof/>
                <w:webHidden/>
                <w:sz w:val="24"/>
                <w:szCs w:val="24"/>
              </w:rPr>
              <w:instrText xml:space="preserve"> PAGEREF _Toc223782936 \h </w:instrText>
            </w:r>
            <w:r w:rsidRPr="00D25E89">
              <w:rPr>
                <w:noProof/>
                <w:webHidden/>
                <w:sz w:val="24"/>
                <w:szCs w:val="24"/>
              </w:rPr>
            </w:r>
            <w:r w:rsidRPr="00D25E89">
              <w:rPr>
                <w:noProof/>
                <w:webHidden/>
                <w:sz w:val="24"/>
                <w:szCs w:val="24"/>
              </w:rPr>
              <w:fldChar w:fldCharType="separate"/>
            </w:r>
            <w:r w:rsidRPr="00D25E89">
              <w:rPr>
                <w:noProof/>
                <w:webHidden/>
                <w:sz w:val="24"/>
                <w:szCs w:val="24"/>
              </w:rPr>
              <w:t>8</w:t>
            </w:r>
            <w:r w:rsidRPr="00D25E89">
              <w:rPr>
                <w:noProof/>
                <w:webHidden/>
                <w:sz w:val="24"/>
                <w:szCs w:val="24"/>
              </w:rPr>
              <w:fldChar w:fldCharType="end"/>
            </w:r>
          </w:hyperlink>
        </w:p>
        <w:p w14:paraId="2C509561" w14:textId="64E8C4F2" w:rsidR="00D25E89" w:rsidRPr="00D25E89" w:rsidRDefault="00D25E89" w:rsidP="00D25E89">
          <w:pPr>
            <w:pStyle w:val="TOC1"/>
            <w:tabs>
              <w:tab w:val="right" w:leader="dot" w:pos="9350"/>
            </w:tabs>
            <w:rPr>
              <w:noProof/>
              <w:sz w:val="24"/>
              <w:szCs w:val="24"/>
            </w:rPr>
          </w:pPr>
          <w:hyperlink w:anchor="_Toc223782937" w:history="1">
            <w:r w:rsidRPr="00D25E89">
              <w:rPr>
                <w:rStyle w:val="Hyperlink"/>
                <w:noProof/>
                <w:color w:val="auto"/>
                <w:sz w:val="24"/>
                <w:szCs w:val="24"/>
                <w:lang w:val="en-GB"/>
              </w:rPr>
              <w:t>Recommendations</w:t>
            </w:r>
            <w:r w:rsidRPr="00D25E89">
              <w:rPr>
                <w:noProof/>
                <w:webHidden/>
                <w:sz w:val="24"/>
                <w:szCs w:val="24"/>
              </w:rPr>
              <w:tab/>
            </w:r>
            <w:r w:rsidRPr="00D25E89">
              <w:rPr>
                <w:noProof/>
                <w:webHidden/>
                <w:sz w:val="24"/>
                <w:szCs w:val="24"/>
              </w:rPr>
              <w:fldChar w:fldCharType="begin"/>
            </w:r>
            <w:r w:rsidRPr="00D25E89">
              <w:rPr>
                <w:noProof/>
                <w:webHidden/>
                <w:sz w:val="24"/>
                <w:szCs w:val="24"/>
              </w:rPr>
              <w:instrText xml:space="preserve"> PAGEREF _Toc223782937 \h </w:instrText>
            </w:r>
            <w:r w:rsidRPr="00D25E89">
              <w:rPr>
                <w:noProof/>
                <w:webHidden/>
                <w:sz w:val="24"/>
                <w:szCs w:val="24"/>
              </w:rPr>
            </w:r>
            <w:r w:rsidRPr="00D25E89">
              <w:rPr>
                <w:noProof/>
                <w:webHidden/>
                <w:sz w:val="24"/>
                <w:szCs w:val="24"/>
              </w:rPr>
              <w:fldChar w:fldCharType="separate"/>
            </w:r>
            <w:r w:rsidRPr="00D25E89">
              <w:rPr>
                <w:noProof/>
                <w:webHidden/>
                <w:sz w:val="24"/>
                <w:szCs w:val="24"/>
              </w:rPr>
              <w:t>10</w:t>
            </w:r>
            <w:r w:rsidRPr="00D25E89">
              <w:rPr>
                <w:noProof/>
                <w:webHidden/>
                <w:sz w:val="24"/>
                <w:szCs w:val="24"/>
              </w:rPr>
              <w:fldChar w:fldCharType="end"/>
            </w:r>
          </w:hyperlink>
        </w:p>
        <w:p w14:paraId="2A7F65F5" w14:textId="160D078E" w:rsidR="00D25E89" w:rsidRPr="00D25E89" w:rsidRDefault="00D25E89" w:rsidP="00D25E89">
          <w:pPr>
            <w:pStyle w:val="TOC1"/>
            <w:tabs>
              <w:tab w:val="right" w:leader="dot" w:pos="9350"/>
            </w:tabs>
            <w:rPr>
              <w:noProof/>
              <w:sz w:val="24"/>
              <w:szCs w:val="24"/>
            </w:rPr>
          </w:pPr>
          <w:hyperlink w:anchor="_Toc223782938" w:history="1">
            <w:r w:rsidRPr="00D25E89">
              <w:rPr>
                <w:rStyle w:val="Hyperlink"/>
                <w:noProof/>
                <w:color w:val="auto"/>
                <w:sz w:val="24"/>
                <w:szCs w:val="24"/>
                <w:lang w:val="en-GB"/>
              </w:rPr>
              <w:t>Conclusion</w:t>
            </w:r>
            <w:r w:rsidRPr="00D25E89">
              <w:rPr>
                <w:noProof/>
                <w:webHidden/>
                <w:sz w:val="24"/>
                <w:szCs w:val="24"/>
              </w:rPr>
              <w:tab/>
            </w:r>
            <w:r w:rsidRPr="00D25E89">
              <w:rPr>
                <w:noProof/>
                <w:webHidden/>
                <w:sz w:val="24"/>
                <w:szCs w:val="24"/>
              </w:rPr>
              <w:fldChar w:fldCharType="begin"/>
            </w:r>
            <w:r w:rsidRPr="00D25E89">
              <w:rPr>
                <w:noProof/>
                <w:webHidden/>
                <w:sz w:val="24"/>
                <w:szCs w:val="24"/>
              </w:rPr>
              <w:instrText xml:space="preserve"> PAGEREF _Toc223782938 \h </w:instrText>
            </w:r>
            <w:r w:rsidRPr="00D25E89">
              <w:rPr>
                <w:noProof/>
                <w:webHidden/>
                <w:sz w:val="24"/>
                <w:szCs w:val="24"/>
              </w:rPr>
            </w:r>
            <w:r w:rsidRPr="00D25E89">
              <w:rPr>
                <w:noProof/>
                <w:webHidden/>
                <w:sz w:val="24"/>
                <w:szCs w:val="24"/>
              </w:rPr>
              <w:fldChar w:fldCharType="separate"/>
            </w:r>
            <w:r w:rsidRPr="00D25E89">
              <w:rPr>
                <w:noProof/>
                <w:webHidden/>
                <w:sz w:val="24"/>
                <w:szCs w:val="24"/>
              </w:rPr>
              <w:t>10</w:t>
            </w:r>
            <w:r w:rsidRPr="00D25E89">
              <w:rPr>
                <w:noProof/>
                <w:webHidden/>
                <w:sz w:val="24"/>
                <w:szCs w:val="24"/>
              </w:rPr>
              <w:fldChar w:fldCharType="end"/>
            </w:r>
          </w:hyperlink>
        </w:p>
        <w:p w14:paraId="747738EC" w14:textId="2ACC7171" w:rsidR="00D25E89" w:rsidRPr="00D25E89" w:rsidRDefault="00D25E89" w:rsidP="00D25E89">
          <w:pPr>
            <w:pStyle w:val="TOC1"/>
            <w:tabs>
              <w:tab w:val="right" w:leader="dot" w:pos="9350"/>
            </w:tabs>
            <w:rPr>
              <w:noProof/>
              <w:sz w:val="24"/>
              <w:szCs w:val="24"/>
            </w:rPr>
          </w:pPr>
          <w:hyperlink w:anchor="_Toc223782939" w:history="1">
            <w:r w:rsidRPr="00D25E89">
              <w:rPr>
                <w:rStyle w:val="Hyperlink"/>
                <w:noProof/>
                <w:color w:val="auto"/>
                <w:sz w:val="24"/>
                <w:szCs w:val="24"/>
                <w:lang w:val="en-GB"/>
              </w:rPr>
              <w:t>Reference list</w:t>
            </w:r>
            <w:r w:rsidRPr="00D25E89">
              <w:rPr>
                <w:noProof/>
                <w:webHidden/>
                <w:sz w:val="24"/>
                <w:szCs w:val="24"/>
              </w:rPr>
              <w:tab/>
            </w:r>
            <w:r w:rsidRPr="00D25E89">
              <w:rPr>
                <w:noProof/>
                <w:webHidden/>
                <w:sz w:val="24"/>
                <w:szCs w:val="24"/>
              </w:rPr>
              <w:fldChar w:fldCharType="begin"/>
            </w:r>
            <w:r w:rsidRPr="00D25E89">
              <w:rPr>
                <w:noProof/>
                <w:webHidden/>
                <w:sz w:val="24"/>
                <w:szCs w:val="24"/>
              </w:rPr>
              <w:instrText xml:space="preserve"> PAGEREF _Toc223782939 \h </w:instrText>
            </w:r>
            <w:r w:rsidRPr="00D25E89">
              <w:rPr>
                <w:noProof/>
                <w:webHidden/>
                <w:sz w:val="24"/>
                <w:szCs w:val="24"/>
              </w:rPr>
            </w:r>
            <w:r w:rsidRPr="00D25E89">
              <w:rPr>
                <w:noProof/>
                <w:webHidden/>
                <w:sz w:val="24"/>
                <w:szCs w:val="24"/>
              </w:rPr>
              <w:fldChar w:fldCharType="separate"/>
            </w:r>
            <w:r w:rsidRPr="00D25E89">
              <w:rPr>
                <w:noProof/>
                <w:webHidden/>
                <w:sz w:val="24"/>
                <w:szCs w:val="24"/>
              </w:rPr>
              <w:t>11</w:t>
            </w:r>
            <w:r w:rsidRPr="00D25E89">
              <w:rPr>
                <w:noProof/>
                <w:webHidden/>
                <w:sz w:val="24"/>
                <w:szCs w:val="24"/>
              </w:rPr>
              <w:fldChar w:fldCharType="end"/>
            </w:r>
          </w:hyperlink>
        </w:p>
        <w:p w14:paraId="0A15D356" w14:textId="0028BC7E" w:rsidR="00D25E89" w:rsidRDefault="00D25E89" w:rsidP="00D25E89">
          <w:r w:rsidRPr="00D25E89">
            <w:rPr>
              <w:b/>
              <w:bCs/>
              <w:noProof/>
              <w:sz w:val="24"/>
              <w:szCs w:val="24"/>
            </w:rPr>
            <w:fldChar w:fldCharType="end"/>
          </w:r>
        </w:p>
      </w:sdtContent>
    </w:sdt>
    <w:p w14:paraId="03C13FA7" w14:textId="77777777" w:rsidR="00D25E89" w:rsidRPr="00B23D2C" w:rsidRDefault="00D25E89">
      <w:pPr>
        <w:spacing w:before="200"/>
        <w:rPr>
          <w:rFonts w:eastAsia="Times New Roman"/>
          <w:lang w:val="en-GB"/>
        </w:rPr>
      </w:pPr>
    </w:p>
    <w:p w14:paraId="0000000B" w14:textId="77777777" w:rsidR="00C97483" w:rsidRPr="00B23D2C" w:rsidRDefault="00000000">
      <w:pPr>
        <w:spacing w:before="200"/>
        <w:rPr>
          <w:rFonts w:eastAsia="Times New Roman"/>
          <w:b/>
          <w:bCs/>
          <w:lang w:val="en-GB"/>
        </w:rPr>
      </w:pPr>
      <w:r w:rsidRPr="00B23D2C">
        <w:rPr>
          <w:lang w:val="en-GB"/>
        </w:rPr>
        <w:br w:type="page"/>
      </w:r>
    </w:p>
    <w:p w14:paraId="0000000C" w14:textId="01A8A66E" w:rsidR="00C97483" w:rsidRPr="00B23D2C" w:rsidRDefault="00000000" w:rsidP="00D25E89">
      <w:pPr>
        <w:pStyle w:val="Heading1"/>
        <w:rPr>
          <w:lang w:val="en-GB"/>
        </w:rPr>
      </w:pPr>
      <w:bookmarkStart w:id="0" w:name="_Toc223782931"/>
      <w:r w:rsidRPr="00B23D2C">
        <w:rPr>
          <w:lang w:val="en-GB"/>
        </w:rPr>
        <w:lastRenderedPageBreak/>
        <w:t>Int</w:t>
      </w:r>
      <w:r w:rsidR="00D25E89">
        <w:rPr>
          <w:lang w:val="en-GB"/>
        </w:rPr>
        <w:t>r</w:t>
      </w:r>
      <w:r w:rsidRPr="00B23D2C">
        <w:rPr>
          <w:lang w:val="en-GB"/>
        </w:rPr>
        <w:t>oduction</w:t>
      </w:r>
      <w:bookmarkEnd w:id="0"/>
    </w:p>
    <w:p w14:paraId="0000000D" w14:textId="529653AE" w:rsidR="00C97483" w:rsidRPr="00B23D2C" w:rsidRDefault="00000000">
      <w:pPr>
        <w:spacing w:before="200"/>
        <w:rPr>
          <w:rFonts w:eastAsia="Times New Roman"/>
          <w:lang w:val="en-GB"/>
        </w:rPr>
      </w:pPr>
      <w:r w:rsidRPr="00B23D2C">
        <w:rPr>
          <w:rFonts w:eastAsia="Times New Roman"/>
          <w:lang w:val="en-GB"/>
        </w:rPr>
        <w:t xml:space="preserve">In </w:t>
      </w:r>
      <w:r w:rsidR="00EB0BAF">
        <w:rPr>
          <w:rFonts w:eastAsia="Times New Roman"/>
          <w:lang w:val="en-GB"/>
        </w:rPr>
        <w:t>H</w:t>
      </w:r>
      <w:r w:rsidRPr="00B23D2C">
        <w:rPr>
          <w:rFonts w:eastAsia="Times New Roman"/>
          <w:lang w:val="en-GB"/>
        </w:rPr>
        <w:t xml:space="preserve">ealth and </w:t>
      </w:r>
      <w:r w:rsidR="00EB0BAF">
        <w:rPr>
          <w:rFonts w:eastAsia="Times New Roman"/>
          <w:lang w:val="en-GB"/>
        </w:rPr>
        <w:t>S</w:t>
      </w:r>
      <w:r w:rsidRPr="00B23D2C">
        <w:rPr>
          <w:rFonts w:eastAsia="Times New Roman"/>
          <w:lang w:val="en-GB"/>
        </w:rPr>
        <w:t xml:space="preserve">ocial care, the key concepts in practice, such as </w:t>
      </w:r>
      <w:r w:rsidRPr="00B23D2C">
        <w:rPr>
          <w:rFonts w:eastAsia="Times New Roman"/>
          <w:b/>
          <w:bCs/>
          <w:lang w:val="en-GB"/>
        </w:rPr>
        <w:t>"Person-Centred Care"</w:t>
      </w:r>
      <w:r w:rsidRPr="00B23D2C">
        <w:rPr>
          <w:rFonts w:eastAsia="Times New Roman"/>
          <w:lang w:val="en-GB"/>
        </w:rPr>
        <w:t xml:space="preserve"> (PCC) and </w:t>
      </w:r>
      <w:r w:rsidRPr="00B23D2C">
        <w:rPr>
          <w:rFonts w:eastAsia="Times New Roman"/>
          <w:b/>
          <w:bCs/>
          <w:lang w:val="en-GB"/>
        </w:rPr>
        <w:t>"Partnership Working"</w:t>
      </w:r>
      <w:r w:rsidRPr="00B23D2C">
        <w:rPr>
          <w:rFonts w:eastAsia="Times New Roman"/>
          <w:lang w:val="en-GB"/>
        </w:rPr>
        <w:t xml:space="preserve"> (PW), have become pivotal to delivering tailored services to patients or service users while collaborating with multidisciplinary teams to meet the desired outcomes. PCC, as informed by Berntsen </w:t>
      </w:r>
      <w:r w:rsidRPr="00B23D2C">
        <w:rPr>
          <w:rFonts w:eastAsia="Times New Roman"/>
          <w:i/>
          <w:iCs/>
          <w:lang w:val="en-GB"/>
        </w:rPr>
        <w:t>et al.,</w:t>
      </w:r>
      <w:r w:rsidRPr="00B23D2C">
        <w:rPr>
          <w:rFonts w:eastAsia="Times New Roman"/>
          <w:lang w:val="en-GB"/>
        </w:rPr>
        <w:t xml:space="preserve"> (2021) gains significant importance in terms of offering respect, dignity, and participation of service users in decision-making. Correspondingly, PW considers collaboration among professionals, organisations, and service users as the key to the delivery of integrated and holistic care (Sauvage and Ahluwalia, 2026). </w:t>
      </w:r>
    </w:p>
    <w:p w14:paraId="0000000E" w14:textId="77777777" w:rsidR="00C97483" w:rsidRPr="00B23D2C" w:rsidRDefault="00000000">
      <w:pPr>
        <w:spacing w:before="200"/>
        <w:rPr>
          <w:rFonts w:eastAsia="Times New Roman"/>
          <w:lang w:val="en-GB"/>
        </w:rPr>
      </w:pPr>
      <w:r w:rsidRPr="00B23D2C">
        <w:rPr>
          <w:rFonts w:eastAsia="Times New Roman"/>
          <w:lang w:val="en-GB"/>
        </w:rPr>
        <w:t>This report is aimed at critically assessing PCC and PW, their theoretical backgrounds, ethics and practicality in health and social care. The ethical foundations will be examined, and PW and its use in practice will be evaluated. Additionally, the UK policy and legislation will be explored to show how the concepts of PCC and PW are incorporated within professional standards. Finally, future development recommendations will be provided.</w:t>
      </w:r>
    </w:p>
    <w:p w14:paraId="0000000F" w14:textId="77777777" w:rsidR="00C97483" w:rsidRPr="00B23D2C" w:rsidRDefault="00000000">
      <w:pPr>
        <w:spacing w:before="200"/>
        <w:rPr>
          <w:rFonts w:eastAsia="Times New Roman"/>
          <w:lang w:val="en-GB"/>
        </w:rPr>
      </w:pPr>
      <w:r w:rsidRPr="00B23D2C">
        <w:rPr>
          <w:rFonts w:eastAsia="Times New Roman"/>
          <w:lang w:val="en-GB"/>
        </w:rPr>
        <w:t xml:space="preserve">In line with the focus, the report will use the case study of </w:t>
      </w:r>
      <w:r w:rsidRPr="00B23D2C">
        <w:rPr>
          <w:rFonts w:eastAsia="Times New Roman"/>
          <w:b/>
          <w:bCs/>
          <w:lang w:val="en-GB"/>
        </w:rPr>
        <w:t>"The Wellington Hospital"</w:t>
      </w:r>
      <w:r w:rsidRPr="00B23D2C">
        <w:rPr>
          <w:rFonts w:eastAsia="Times New Roman"/>
          <w:lang w:val="en-GB"/>
        </w:rPr>
        <w:t>, one of the top-ranking private healthcare providers in London, to demonstrate the application of PCC and PW in practice (Hcahealthcare.co.uk, 2024).</w:t>
      </w:r>
    </w:p>
    <w:p w14:paraId="00000010" w14:textId="77777777" w:rsidR="00C97483" w:rsidRPr="00B23D2C" w:rsidRDefault="00000000" w:rsidP="00D25E89">
      <w:pPr>
        <w:pStyle w:val="Heading1"/>
        <w:rPr>
          <w:lang w:val="en-GB"/>
        </w:rPr>
      </w:pPr>
      <w:bookmarkStart w:id="1" w:name="_Toc223782932"/>
      <w:r w:rsidRPr="00B23D2C">
        <w:rPr>
          <w:lang w:val="en-GB"/>
        </w:rPr>
        <w:t>Definition of Person-Centred Care</w:t>
      </w:r>
      <w:bookmarkEnd w:id="1"/>
    </w:p>
    <w:p w14:paraId="00000011" w14:textId="77777777" w:rsidR="00C97483" w:rsidRPr="00B23D2C" w:rsidRDefault="00000000">
      <w:pPr>
        <w:spacing w:before="200"/>
        <w:rPr>
          <w:rFonts w:eastAsia="Times New Roman"/>
          <w:lang w:val="en-GB"/>
        </w:rPr>
      </w:pPr>
      <w:r w:rsidRPr="00B23D2C">
        <w:rPr>
          <w:rFonts w:eastAsia="Times New Roman"/>
          <w:lang w:val="en-GB"/>
        </w:rPr>
        <w:t xml:space="preserve">According to the evidence provided by Berntsen </w:t>
      </w:r>
      <w:r w:rsidRPr="00B23D2C">
        <w:rPr>
          <w:rFonts w:eastAsia="Times New Roman"/>
          <w:i/>
          <w:iCs/>
          <w:lang w:val="en-GB"/>
        </w:rPr>
        <w:t>et al.,</w:t>
      </w:r>
      <w:r w:rsidRPr="00B23D2C">
        <w:rPr>
          <w:rFonts w:eastAsia="Times New Roman"/>
          <w:lang w:val="en-GB"/>
        </w:rPr>
        <w:t xml:space="preserve"> (2021) PCC has been defined as care needed by an individual, which is unique in nature. PCC establishes a relationship between the healthcare providers (HCPs) and service users. Moreover, Chance and Théophile (2025), explained that PCC promotes healthcare based on personal values, requirements and service users' situations, which encourages dignity, respect and collaborative decision-making.</w:t>
      </w:r>
    </w:p>
    <w:p w14:paraId="00000012" w14:textId="77777777" w:rsidR="00C97483" w:rsidRPr="00D25E89" w:rsidRDefault="00000000">
      <w:pPr>
        <w:spacing w:before="200"/>
        <w:rPr>
          <w:rFonts w:eastAsia="Times New Roman"/>
          <w:b/>
          <w:bCs/>
          <w:u w:val="single"/>
          <w:lang w:val="en-GB"/>
        </w:rPr>
      </w:pPr>
      <w:r w:rsidRPr="00D25E89">
        <w:rPr>
          <w:rFonts w:eastAsia="Times New Roman"/>
          <w:b/>
          <w:bCs/>
          <w:u w:val="single"/>
          <w:lang w:val="en-GB"/>
        </w:rPr>
        <w:t>Benefits of Person-Centred Care (PCC)</w:t>
      </w:r>
    </w:p>
    <w:p w14:paraId="00000013" w14:textId="77777777" w:rsidR="00C97483" w:rsidRPr="00B23D2C" w:rsidRDefault="00000000">
      <w:pPr>
        <w:numPr>
          <w:ilvl w:val="0"/>
          <w:numId w:val="1"/>
        </w:numPr>
        <w:spacing w:before="200"/>
        <w:rPr>
          <w:rFonts w:eastAsia="Times New Roman"/>
          <w:lang w:val="en-GB"/>
        </w:rPr>
      </w:pPr>
      <w:r w:rsidRPr="00B23D2C">
        <w:rPr>
          <w:rFonts w:eastAsia="Times New Roman"/>
          <w:b/>
          <w:bCs/>
          <w:lang w:val="en-GB"/>
        </w:rPr>
        <w:t xml:space="preserve">Enhanced patient satisfaction </w:t>
      </w:r>
      <w:r w:rsidRPr="00B23D2C">
        <w:rPr>
          <w:rFonts w:eastAsia="Times New Roman"/>
          <w:lang w:val="en-GB"/>
        </w:rPr>
        <w:t xml:space="preserve">- As explained by Nkhoma </w:t>
      </w:r>
      <w:r w:rsidRPr="00B23D2C">
        <w:rPr>
          <w:rFonts w:eastAsia="Times New Roman"/>
          <w:i/>
          <w:iCs/>
          <w:lang w:val="en-GB"/>
        </w:rPr>
        <w:t>et al.,</w:t>
      </w:r>
      <w:r w:rsidRPr="00B23D2C">
        <w:rPr>
          <w:rFonts w:eastAsia="Times New Roman"/>
          <w:lang w:val="en-GB"/>
        </w:rPr>
        <w:t xml:space="preserve"> (2022) under PCC intervention, individuals feel respect and involvement in treatment.</w:t>
      </w:r>
    </w:p>
    <w:p w14:paraId="00000014" w14:textId="77777777" w:rsidR="00C97483" w:rsidRPr="00B23D2C" w:rsidRDefault="00000000">
      <w:pPr>
        <w:numPr>
          <w:ilvl w:val="0"/>
          <w:numId w:val="1"/>
        </w:numPr>
        <w:rPr>
          <w:rFonts w:eastAsia="Times New Roman"/>
          <w:lang w:val="en-GB"/>
        </w:rPr>
      </w:pPr>
      <w:r w:rsidRPr="00B23D2C">
        <w:rPr>
          <w:rFonts w:eastAsia="Times New Roman"/>
          <w:b/>
          <w:bCs/>
          <w:lang w:val="en-GB"/>
        </w:rPr>
        <w:t>Improved health outcomes</w:t>
      </w:r>
      <w:r w:rsidRPr="00B23D2C">
        <w:rPr>
          <w:rFonts w:eastAsia="Times New Roman"/>
          <w:lang w:val="en-GB"/>
        </w:rPr>
        <w:t xml:space="preserve"> - PCC improves treatment adherence and recovery rates.</w:t>
      </w:r>
    </w:p>
    <w:p w14:paraId="00000015" w14:textId="77777777" w:rsidR="00C97483" w:rsidRPr="00B23D2C" w:rsidRDefault="00000000">
      <w:pPr>
        <w:numPr>
          <w:ilvl w:val="0"/>
          <w:numId w:val="1"/>
        </w:numPr>
        <w:rPr>
          <w:rFonts w:eastAsia="Times New Roman"/>
          <w:lang w:val="en-GB"/>
        </w:rPr>
      </w:pPr>
      <w:r w:rsidRPr="00B23D2C">
        <w:rPr>
          <w:rFonts w:eastAsia="Times New Roman"/>
          <w:b/>
          <w:bCs/>
          <w:lang w:val="en-GB"/>
        </w:rPr>
        <w:t xml:space="preserve">Holistic care </w:t>
      </w:r>
      <w:r w:rsidRPr="00B23D2C">
        <w:rPr>
          <w:rFonts w:eastAsia="Times New Roman"/>
          <w:lang w:val="en-GB"/>
        </w:rPr>
        <w:t xml:space="preserve">- The intervention not only treats clinical symptoms but also meets physical, emotional and social needs (Berntsen </w:t>
      </w:r>
      <w:r w:rsidRPr="00B23D2C">
        <w:rPr>
          <w:rFonts w:eastAsia="Times New Roman"/>
          <w:i/>
          <w:iCs/>
          <w:lang w:val="en-GB"/>
        </w:rPr>
        <w:t>et al.,</w:t>
      </w:r>
      <w:r w:rsidRPr="00B23D2C">
        <w:rPr>
          <w:rFonts w:eastAsia="Times New Roman"/>
          <w:lang w:val="en-GB"/>
        </w:rPr>
        <w:t xml:space="preserve"> 2021).</w:t>
      </w:r>
    </w:p>
    <w:p w14:paraId="00000016" w14:textId="77777777" w:rsidR="00C97483" w:rsidRPr="00D25E89" w:rsidRDefault="00000000">
      <w:pPr>
        <w:spacing w:before="200"/>
        <w:rPr>
          <w:rFonts w:eastAsia="Times New Roman"/>
          <w:b/>
          <w:bCs/>
          <w:u w:val="single"/>
          <w:lang w:val="en-GB"/>
        </w:rPr>
      </w:pPr>
      <w:r w:rsidRPr="00D25E89">
        <w:rPr>
          <w:rFonts w:eastAsia="Times New Roman"/>
          <w:b/>
          <w:bCs/>
          <w:u w:val="single"/>
          <w:lang w:val="en-GB"/>
        </w:rPr>
        <w:t>Limitations of Person-Centred Care (PCC)</w:t>
      </w:r>
    </w:p>
    <w:p w14:paraId="00000017" w14:textId="77777777" w:rsidR="00C97483" w:rsidRPr="00B23D2C" w:rsidRDefault="00000000">
      <w:pPr>
        <w:numPr>
          <w:ilvl w:val="0"/>
          <w:numId w:val="4"/>
        </w:numPr>
        <w:spacing w:before="200"/>
        <w:rPr>
          <w:rFonts w:eastAsia="Times New Roman"/>
          <w:lang w:val="en-GB"/>
        </w:rPr>
      </w:pPr>
      <w:r w:rsidRPr="00B23D2C">
        <w:rPr>
          <w:rFonts w:eastAsia="Times New Roman"/>
          <w:b/>
          <w:bCs/>
          <w:lang w:val="en-GB"/>
        </w:rPr>
        <w:lastRenderedPageBreak/>
        <w:t>Resource limitations</w:t>
      </w:r>
      <w:r w:rsidRPr="00B23D2C">
        <w:rPr>
          <w:rFonts w:eastAsia="Times New Roman"/>
          <w:lang w:val="en-GB"/>
        </w:rPr>
        <w:t xml:space="preserve"> - According to </w:t>
      </w:r>
      <w:proofErr w:type="spellStart"/>
      <w:r w:rsidRPr="00B23D2C">
        <w:rPr>
          <w:rFonts w:eastAsia="Times New Roman"/>
          <w:lang w:val="en-GB"/>
        </w:rPr>
        <w:t>Charosaei</w:t>
      </w:r>
      <w:proofErr w:type="spellEnd"/>
      <w:r w:rsidRPr="00B23D2C">
        <w:rPr>
          <w:rFonts w:eastAsia="Times New Roman"/>
          <w:lang w:val="en-GB"/>
        </w:rPr>
        <w:t xml:space="preserve"> </w:t>
      </w:r>
      <w:r w:rsidRPr="00B23D2C">
        <w:rPr>
          <w:rFonts w:eastAsia="Times New Roman"/>
          <w:i/>
          <w:iCs/>
          <w:lang w:val="en-GB"/>
        </w:rPr>
        <w:t>et al.,</w:t>
      </w:r>
      <w:r w:rsidRPr="00B23D2C">
        <w:rPr>
          <w:rFonts w:eastAsia="Times New Roman"/>
          <w:lang w:val="en-GB"/>
        </w:rPr>
        <w:t xml:space="preserve"> (2022) person-centred care is a time-consuming, labour-intensive and training-specific approach, which often lacks feasibility in practice.</w:t>
      </w:r>
    </w:p>
    <w:p w14:paraId="00000018" w14:textId="77777777" w:rsidR="00C97483" w:rsidRPr="00B23D2C" w:rsidRDefault="00000000">
      <w:pPr>
        <w:numPr>
          <w:ilvl w:val="0"/>
          <w:numId w:val="4"/>
        </w:numPr>
        <w:rPr>
          <w:rFonts w:eastAsia="Times New Roman"/>
          <w:lang w:val="en-GB"/>
        </w:rPr>
      </w:pPr>
      <w:r w:rsidRPr="00B23D2C">
        <w:rPr>
          <w:rFonts w:eastAsia="Times New Roman"/>
          <w:b/>
          <w:bCs/>
          <w:lang w:val="en-GB"/>
        </w:rPr>
        <w:t>Resistance to change</w:t>
      </w:r>
      <w:r w:rsidRPr="00B23D2C">
        <w:rPr>
          <w:rFonts w:eastAsia="Times New Roman"/>
          <w:lang w:val="en-GB"/>
        </w:rPr>
        <w:t xml:space="preserve"> - Evidence by Kozlowska </w:t>
      </w:r>
      <w:r w:rsidRPr="00B23D2C">
        <w:rPr>
          <w:rFonts w:eastAsia="Times New Roman"/>
          <w:i/>
          <w:iCs/>
          <w:lang w:val="en-GB"/>
        </w:rPr>
        <w:t>et al.,</w:t>
      </w:r>
      <w:r w:rsidRPr="00B23D2C">
        <w:rPr>
          <w:rFonts w:eastAsia="Times New Roman"/>
          <w:lang w:val="en-GB"/>
        </w:rPr>
        <w:t xml:space="preserve"> (2020) some professionals (HCPs) and organisations often experience barriers in transitioning from traditional approaches to care.</w:t>
      </w:r>
    </w:p>
    <w:p w14:paraId="00000019" w14:textId="77777777" w:rsidR="00C97483" w:rsidRPr="00B23D2C" w:rsidRDefault="00000000">
      <w:pPr>
        <w:numPr>
          <w:ilvl w:val="0"/>
          <w:numId w:val="4"/>
        </w:numPr>
        <w:rPr>
          <w:rFonts w:eastAsia="Times New Roman"/>
          <w:lang w:val="en-GB"/>
        </w:rPr>
      </w:pPr>
      <w:r w:rsidRPr="00B23D2C">
        <w:rPr>
          <w:rFonts w:eastAsia="Times New Roman"/>
          <w:b/>
          <w:bCs/>
          <w:lang w:val="en-GB"/>
        </w:rPr>
        <w:t>Issues of equity</w:t>
      </w:r>
      <w:r w:rsidRPr="00B23D2C">
        <w:rPr>
          <w:rFonts w:eastAsia="Times New Roman"/>
          <w:lang w:val="en-GB"/>
        </w:rPr>
        <w:t xml:space="preserve"> - PCC in the case of privately run hospitals fails to consider equity in terms of treatment affordability. This deliberately raises ethical concerns.</w:t>
      </w:r>
    </w:p>
    <w:p w14:paraId="0000001A" w14:textId="77777777" w:rsidR="00C97483" w:rsidRPr="00D25E89" w:rsidRDefault="00000000">
      <w:pPr>
        <w:spacing w:before="200"/>
        <w:rPr>
          <w:rFonts w:eastAsia="Times New Roman"/>
          <w:b/>
          <w:bCs/>
          <w:u w:val="single"/>
          <w:lang w:val="en-GB"/>
        </w:rPr>
      </w:pPr>
      <w:r w:rsidRPr="00D25E89">
        <w:rPr>
          <w:rFonts w:eastAsia="Times New Roman"/>
          <w:b/>
          <w:bCs/>
          <w:u w:val="single"/>
          <w:lang w:val="en-GB"/>
        </w:rPr>
        <w:t>Application in the hospital context</w:t>
      </w:r>
    </w:p>
    <w:p w14:paraId="0000001B" w14:textId="77777777" w:rsidR="00C97483" w:rsidRPr="00B23D2C" w:rsidRDefault="00000000">
      <w:pPr>
        <w:spacing w:before="200"/>
        <w:rPr>
          <w:rFonts w:eastAsia="Times New Roman"/>
          <w:lang w:val="en-GB"/>
        </w:rPr>
      </w:pPr>
      <w:r w:rsidRPr="00B23D2C">
        <w:rPr>
          <w:rFonts w:eastAsia="Times New Roman"/>
          <w:lang w:val="en-GB"/>
        </w:rPr>
        <w:t>PCC is highly integrated at The Wellington Hospital to provide individualised treatment solutions, consultant selection, and promote luxurious amenities to ensure patients' comfort. Nevertheless, barriers in terms of high prices and lack of accessibility compared to services within the NHS underscore a rising tension for care excellence through PCC and fair access.</w:t>
      </w:r>
    </w:p>
    <w:p w14:paraId="0000001C" w14:textId="77777777" w:rsidR="00C97483" w:rsidRPr="00B23D2C" w:rsidRDefault="00000000" w:rsidP="00D25E89">
      <w:pPr>
        <w:pStyle w:val="Heading1"/>
        <w:rPr>
          <w:lang w:val="en-GB"/>
        </w:rPr>
      </w:pPr>
      <w:bookmarkStart w:id="2" w:name="_Toc223782933"/>
      <w:r w:rsidRPr="00B23D2C">
        <w:rPr>
          <w:lang w:val="en-GB"/>
        </w:rPr>
        <w:t>Key Theories</w:t>
      </w:r>
      <w:bookmarkEnd w:id="2"/>
    </w:p>
    <w:p w14:paraId="0000001D" w14:textId="77777777" w:rsidR="00C97483" w:rsidRPr="00B23D2C" w:rsidRDefault="00000000">
      <w:pPr>
        <w:spacing w:before="200"/>
        <w:rPr>
          <w:rFonts w:eastAsia="Times New Roman"/>
          <w:b/>
          <w:bCs/>
          <w:u w:val="single"/>
          <w:lang w:val="en-GB"/>
        </w:rPr>
      </w:pPr>
      <w:r w:rsidRPr="00B23D2C">
        <w:rPr>
          <w:rFonts w:eastAsia="Times New Roman"/>
          <w:b/>
          <w:bCs/>
          <w:u w:val="single"/>
          <w:lang w:val="en-GB"/>
        </w:rPr>
        <w:t>Humanistic Theory</w:t>
      </w:r>
    </w:p>
    <w:p w14:paraId="0000001E" w14:textId="77777777" w:rsidR="00C97483" w:rsidRPr="00B23D2C" w:rsidRDefault="00000000">
      <w:pPr>
        <w:spacing w:before="200"/>
        <w:rPr>
          <w:rFonts w:eastAsia="Times New Roman"/>
          <w:lang w:val="en-GB"/>
        </w:rPr>
      </w:pPr>
      <w:r w:rsidRPr="00B23D2C">
        <w:rPr>
          <w:rFonts w:eastAsia="Times New Roman"/>
          <w:lang w:val="en-GB"/>
        </w:rPr>
        <w:t xml:space="preserve">Drawing attention to the </w:t>
      </w:r>
      <w:r w:rsidRPr="00B23D2C">
        <w:rPr>
          <w:rFonts w:eastAsia="Times New Roman"/>
          <w:b/>
          <w:bCs/>
          <w:lang w:val="en-GB"/>
        </w:rPr>
        <w:t>"Humanistic Theory"</w:t>
      </w:r>
      <w:r w:rsidRPr="00B23D2C">
        <w:rPr>
          <w:rFonts w:eastAsia="Times New Roman"/>
          <w:lang w:val="en-GB"/>
        </w:rPr>
        <w:t xml:space="preserve"> of Carl Rogers, the evidence came forth with the ideas that effective care should be based on empathy, unconditional positive regard and respect for individuals' autonomy. The theory, as explained by Joseph (2021), focuses more on the therapeutic relationship in which the patient is regarded as a participant rather than a recipient. The theory emphasises the idea of PCC practice, which empowers patients in informed decision-making and delivering individualised care.</w:t>
      </w:r>
    </w:p>
    <w:p w14:paraId="0000001F" w14:textId="77777777" w:rsidR="00C97483" w:rsidRPr="00B23D2C" w:rsidRDefault="00000000">
      <w:pPr>
        <w:spacing w:before="200"/>
        <w:rPr>
          <w:rFonts w:eastAsia="Times New Roman"/>
          <w:lang w:val="en-GB"/>
        </w:rPr>
      </w:pPr>
      <w:r w:rsidRPr="00B23D2C">
        <w:rPr>
          <w:rFonts w:eastAsia="Times New Roman"/>
          <w:b/>
          <w:bCs/>
          <w:i/>
          <w:iCs/>
          <w:lang w:val="en-GB"/>
        </w:rPr>
        <w:t>Support for PCC Principles:</w:t>
      </w:r>
    </w:p>
    <w:p w14:paraId="00000020" w14:textId="77777777" w:rsidR="00C97483" w:rsidRPr="00B23D2C" w:rsidRDefault="00000000">
      <w:pPr>
        <w:numPr>
          <w:ilvl w:val="0"/>
          <w:numId w:val="6"/>
        </w:numPr>
        <w:spacing w:before="200"/>
        <w:rPr>
          <w:rFonts w:eastAsia="Times New Roman"/>
          <w:lang w:val="en-GB"/>
        </w:rPr>
      </w:pPr>
      <w:r w:rsidRPr="00B23D2C">
        <w:rPr>
          <w:rFonts w:eastAsia="Times New Roman"/>
          <w:lang w:val="en-GB"/>
        </w:rPr>
        <w:t>Fosters the autonomy and respect for patients.</w:t>
      </w:r>
    </w:p>
    <w:p w14:paraId="00000021" w14:textId="77777777" w:rsidR="00C97483" w:rsidRPr="00B23D2C" w:rsidRDefault="00000000">
      <w:pPr>
        <w:numPr>
          <w:ilvl w:val="0"/>
          <w:numId w:val="6"/>
        </w:numPr>
        <w:rPr>
          <w:rFonts w:eastAsia="Times New Roman"/>
          <w:lang w:val="en-GB"/>
        </w:rPr>
      </w:pPr>
      <w:r w:rsidRPr="00B23D2C">
        <w:rPr>
          <w:rFonts w:eastAsia="Times New Roman"/>
          <w:lang w:val="en-GB"/>
        </w:rPr>
        <w:t>Adopt transparent communication to maintain a sense of trust between the patients and the professionals.</w:t>
      </w:r>
    </w:p>
    <w:p w14:paraId="00000022" w14:textId="77777777" w:rsidR="00C97483" w:rsidRPr="00B23D2C" w:rsidRDefault="00000000">
      <w:pPr>
        <w:numPr>
          <w:ilvl w:val="0"/>
          <w:numId w:val="6"/>
        </w:numPr>
        <w:rPr>
          <w:rFonts w:eastAsia="Times New Roman"/>
          <w:lang w:val="en-GB"/>
        </w:rPr>
      </w:pPr>
      <w:r w:rsidRPr="00B23D2C">
        <w:rPr>
          <w:rFonts w:eastAsia="Times New Roman"/>
          <w:lang w:val="en-GB"/>
        </w:rPr>
        <w:t>Improves dignity and individuality in the process of care delivery.</w:t>
      </w:r>
    </w:p>
    <w:p w14:paraId="00000023" w14:textId="77777777" w:rsidR="00C97483" w:rsidRPr="00B23D2C" w:rsidRDefault="00000000">
      <w:pPr>
        <w:spacing w:before="200"/>
        <w:rPr>
          <w:rFonts w:eastAsia="Times New Roman"/>
          <w:b/>
          <w:bCs/>
          <w:i/>
          <w:iCs/>
          <w:lang w:val="en-GB"/>
        </w:rPr>
      </w:pPr>
      <w:r w:rsidRPr="00B23D2C">
        <w:rPr>
          <w:rFonts w:eastAsia="Times New Roman"/>
          <w:b/>
          <w:bCs/>
          <w:i/>
          <w:iCs/>
          <w:lang w:val="en-GB"/>
        </w:rPr>
        <w:t>Implementation within the context of the case hospital:</w:t>
      </w:r>
    </w:p>
    <w:p w14:paraId="00000024" w14:textId="77777777" w:rsidR="00C97483" w:rsidRPr="00B23D2C" w:rsidRDefault="00000000">
      <w:pPr>
        <w:spacing w:before="200"/>
        <w:rPr>
          <w:rFonts w:eastAsia="Times New Roman"/>
          <w:lang w:val="en-GB"/>
        </w:rPr>
      </w:pPr>
      <w:r w:rsidRPr="00B23D2C">
        <w:rPr>
          <w:rFonts w:eastAsia="Times New Roman"/>
          <w:lang w:val="en-GB"/>
        </w:rPr>
        <w:lastRenderedPageBreak/>
        <w:t>The patients receive a consultant selection choice as well as customised treatment, which puts direct emphasis on the theory of autonomy and respect by Rogers. For instance, the rehabilitation programmes are developed with references to individual recovery and empathy, as well as teamwork (</w:t>
      </w:r>
      <w:proofErr w:type="spellStart"/>
      <w:r w:rsidRPr="00B23D2C">
        <w:rPr>
          <w:rFonts w:eastAsia="Times New Roman"/>
          <w:lang w:val="en-GB"/>
        </w:rPr>
        <w:t>Hcahealthcare</w:t>
      </w:r>
      <w:proofErr w:type="spellEnd"/>
      <w:r w:rsidRPr="00B23D2C">
        <w:rPr>
          <w:rFonts w:eastAsia="Times New Roman"/>
          <w:lang w:val="en-GB"/>
        </w:rPr>
        <w:t>, 2025).</w:t>
      </w:r>
    </w:p>
    <w:p w14:paraId="00000025" w14:textId="77777777" w:rsidR="00C97483" w:rsidRPr="00B23D2C" w:rsidRDefault="00000000">
      <w:pPr>
        <w:spacing w:before="200"/>
        <w:rPr>
          <w:rFonts w:eastAsia="Times New Roman"/>
          <w:b/>
          <w:bCs/>
          <w:u w:val="single"/>
          <w:lang w:val="en-GB"/>
        </w:rPr>
      </w:pPr>
      <w:r w:rsidRPr="00B23D2C">
        <w:rPr>
          <w:rFonts w:eastAsia="Times New Roman"/>
          <w:b/>
          <w:bCs/>
          <w:u w:val="single"/>
          <w:lang w:val="en-GB"/>
        </w:rPr>
        <w:t>Dementia Care Model</w:t>
      </w:r>
    </w:p>
    <w:p w14:paraId="00000026" w14:textId="77777777" w:rsidR="00C97483" w:rsidRPr="00B23D2C" w:rsidRDefault="00000000">
      <w:pPr>
        <w:spacing w:before="200"/>
        <w:rPr>
          <w:rFonts w:eastAsia="Times New Roman"/>
          <w:lang w:val="en-GB"/>
        </w:rPr>
      </w:pPr>
      <w:r w:rsidRPr="00B23D2C">
        <w:rPr>
          <w:rFonts w:eastAsia="Times New Roman"/>
          <w:lang w:val="en-GB"/>
        </w:rPr>
        <w:t xml:space="preserve">Next in focus is the </w:t>
      </w:r>
      <w:r w:rsidRPr="00B23D2C">
        <w:rPr>
          <w:rFonts w:eastAsia="Times New Roman"/>
          <w:b/>
          <w:bCs/>
          <w:lang w:val="en-GB"/>
        </w:rPr>
        <w:t>"Dementia Care Model"</w:t>
      </w:r>
      <w:r w:rsidRPr="00B23D2C">
        <w:rPr>
          <w:rFonts w:eastAsia="Times New Roman"/>
          <w:lang w:val="en-GB"/>
        </w:rPr>
        <w:t xml:space="preserve"> by Kitwood, which focuses on the person-centred model of dementia care, prioritising humanity behind the personhood of cognitive decline among affected individuals (Murali </w:t>
      </w:r>
      <w:r w:rsidRPr="00B23D2C">
        <w:rPr>
          <w:rFonts w:eastAsia="Times New Roman"/>
          <w:i/>
          <w:iCs/>
          <w:lang w:val="en-GB"/>
        </w:rPr>
        <w:t>et al.,</w:t>
      </w:r>
      <w:r w:rsidRPr="00B23D2C">
        <w:rPr>
          <w:rFonts w:eastAsia="Times New Roman"/>
          <w:lang w:val="en-GB"/>
        </w:rPr>
        <w:t xml:space="preserve"> 2025).</w:t>
      </w:r>
    </w:p>
    <w:p w14:paraId="00000027" w14:textId="77777777" w:rsidR="00C97483" w:rsidRPr="00B23D2C" w:rsidRDefault="00000000">
      <w:pPr>
        <w:spacing w:before="200"/>
        <w:rPr>
          <w:rFonts w:eastAsia="Times New Roman"/>
          <w:b/>
          <w:bCs/>
          <w:i/>
          <w:iCs/>
          <w:lang w:val="en-GB"/>
        </w:rPr>
      </w:pPr>
      <w:r w:rsidRPr="00B23D2C">
        <w:rPr>
          <w:rFonts w:eastAsia="Times New Roman"/>
          <w:b/>
          <w:bCs/>
          <w:i/>
          <w:iCs/>
          <w:lang w:val="en-GB"/>
        </w:rPr>
        <w:t>Support for PCC Principles:</w:t>
      </w:r>
    </w:p>
    <w:p w14:paraId="00000028" w14:textId="77777777" w:rsidR="00C97483" w:rsidRPr="00B23D2C" w:rsidRDefault="00000000">
      <w:pPr>
        <w:numPr>
          <w:ilvl w:val="0"/>
          <w:numId w:val="3"/>
        </w:numPr>
        <w:spacing w:before="200"/>
        <w:rPr>
          <w:rFonts w:eastAsia="Times New Roman"/>
          <w:lang w:val="en-GB"/>
        </w:rPr>
      </w:pPr>
      <w:r w:rsidRPr="00B23D2C">
        <w:rPr>
          <w:rFonts w:eastAsia="Times New Roman"/>
          <w:lang w:val="en-GB"/>
        </w:rPr>
        <w:t xml:space="preserve">Introduces holistic practices in healthcare, by prioritising physical, emotional and physiological symptoms (Berntsen </w:t>
      </w:r>
      <w:r w:rsidRPr="00B23D2C">
        <w:rPr>
          <w:rFonts w:eastAsia="Times New Roman"/>
          <w:i/>
          <w:iCs/>
          <w:lang w:val="en-GB"/>
        </w:rPr>
        <w:t>et al.,</w:t>
      </w:r>
      <w:r w:rsidRPr="00B23D2C">
        <w:rPr>
          <w:rFonts w:eastAsia="Times New Roman"/>
          <w:lang w:val="en-GB"/>
        </w:rPr>
        <w:t xml:space="preserve"> 2021)</w:t>
      </w:r>
    </w:p>
    <w:p w14:paraId="00000029" w14:textId="6077331C" w:rsidR="00C97483" w:rsidRPr="00B23D2C" w:rsidRDefault="00000000">
      <w:pPr>
        <w:numPr>
          <w:ilvl w:val="0"/>
          <w:numId w:val="3"/>
        </w:numPr>
        <w:rPr>
          <w:rFonts w:eastAsia="Times New Roman"/>
          <w:lang w:val="en-GB"/>
        </w:rPr>
      </w:pPr>
      <w:r w:rsidRPr="00B23D2C">
        <w:rPr>
          <w:rFonts w:eastAsia="Times New Roman"/>
          <w:lang w:val="en-GB"/>
        </w:rPr>
        <w:t xml:space="preserve">Further builds dignity and restores identity, </w:t>
      </w:r>
      <w:r w:rsidR="00FA1E1F" w:rsidRPr="00B23D2C">
        <w:rPr>
          <w:rFonts w:eastAsia="Times New Roman"/>
          <w:lang w:val="en-GB"/>
        </w:rPr>
        <w:t>especially</w:t>
      </w:r>
      <w:r w:rsidRPr="00B23D2C">
        <w:rPr>
          <w:rFonts w:eastAsia="Times New Roman"/>
          <w:lang w:val="en-GB"/>
        </w:rPr>
        <w:t xml:space="preserve"> for vulnerable individuals.</w:t>
      </w:r>
    </w:p>
    <w:p w14:paraId="0000002A" w14:textId="77777777" w:rsidR="00C97483" w:rsidRPr="00B23D2C" w:rsidRDefault="00000000">
      <w:pPr>
        <w:numPr>
          <w:ilvl w:val="0"/>
          <w:numId w:val="3"/>
        </w:numPr>
        <w:rPr>
          <w:rFonts w:eastAsia="Times New Roman"/>
          <w:lang w:val="en-GB"/>
        </w:rPr>
      </w:pPr>
      <w:r w:rsidRPr="00B23D2C">
        <w:rPr>
          <w:rFonts w:eastAsia="Times New Roman"/>
          <w:lang w:val="en-GB"/>
        </w:rPr>
        <w:t>Fosters collaboration between professionals, families and patients.</w:t>
      </w:r>
    </w:p>
    <w:p w14:paraId="0000002B" w14:textId="77777777" w:rsidR="00C97483" w:rsidRPr="00B23D2C" w:rsidRDefault="00000000">
      <w:pPr>
        <w:spacing w:before="200"/>
        <w:rPr>
          <w:rFonts w:eastAsia="Times New Roman"/>
          <w:b/>
          <w:bCs/>
          <w:i/>
          <w:iCs/>
          <w:lang w:val="en-GB"/>
        </w:rPr>
      </w:pPr>
      <w:r w:rsidRPr="00B23D2C">
        <w:rPr>
          <w:rFonts w:eastAsia="Times New Roman"/>
          <w:b/>
          <w:bCs/>
          <w:i/>
          <w:iCs/>
          <w:lang w:val="en-GB"/>
        </w:rPr>
        <w:t>Implementation within the context of the case hospital:</w:t>
      </w:r>
    </w:p>
    <w:p w14:paraId="0000002C" w14:textId="77777777" w:rsidR="00C97483" w:rsidRPr="00B23D2C" w:rsidRDefault="00000000">
      <w:pPr>
        <w:spacing w:before="200"/>
        <w:rPr>
          <w:rFonts w:eastAsia="Times New Roman"/>
          <w:lang w:val="en-GB"/>
        </w:rPr>
      </w:pPr>
      <w:r w:rsidRPr="00B23D2C">
        <w:rPr>
          <w:rFonts w:eastAsia="Times New Roman"/>
          <w:lang w:val="en-GB"/>
        </w:rPr>
        <w:t>The Dementia Care Model principles highlight emotional support, which is combined with clinical care in the speciality neurological and rehabilitation services. As an example, psychological counselling and involvement of family directly influence stroke rehabilitation programmes, thereby ensuring holistic healing.</w:t>
      </w:r>
    </w:p>
    <w:p w14:paraId="0000002D" w14:textId="77777777" w:rsidR="00C97483" w:rsidRPr="00B23D2C" w:rsidRDefault="00000000">
      <w:pPr>
        <w:spacing w:before="200"/>
        <w:rPr>
          <w:rFonts w:eastAsia="Times New Roman"/>
          <w:b/>
          <w:bCs/>
          <w:u w:val="single"/>
          <w:lang w:val="en-GB"/>
        </w:rPr>
      </w:pPr>
      <w:r w:rsidRPr="00B23D2C">
        <w:rPr>
          <w:rFonts w:eastAsia="Times New Roman"/>
          <w:b/>
          <w:bCs/>
          <w:u w:val="single"/>
          <w:lang w:val="en-GB"/>
        </w:rPr>
        <w:t>Critical synthesis of the theories in the case context</w:t>
      </w:r>
    </w:p>
    <w:p w14:paraId="0000002E" w14:textId="77777777" w:rsidR="00C97483" w:rsidRPr="00B23D2C" w:rsidRDefault="00000000">
      <w:pPr>
        <w:spacing w:before="200"/>
        <w:rPr>
          <w:rFonts w:eastAsia="Times New Roman"/>
          <w:lang w:val="en-GB"/>
        </w:rPr>
      </w:pPr>
      <w:r w:rsidRPr="00B23D2C">
        <w:rPr>
          <w:rFonts w:eastAsia="Times New Roman"/>
          <w:lang w:val="en-GB"/>
        </w:rPr>
        <w:t xml:space="preserve">PCC is theoretically grounded by both </w:t>
      </w:r>
      <w:proofErr w:type="spellStart"/>
      <w:r w:rsidRPr="00B23D2C">
        <w:rPr>
          <w:rFonts w:eastAsia="Times New Roman"/>
          <w:lang w:val="en-GB"/>
        </w:rPr>
        <w:t>Kitwood's</w:t>
      </w:r>
      <w:proofErr w:type="spellEnd"/>
      <w:r w:rsidRPr="00B23D2C">
        <w:rPr>
          <w:rFonts w:eastAsia="Times New Roman"/>
          <w:lang w:val="en-GB"/>
        </w:rPr>
        <w:t xml:space="preserve"> and Rogers's models. Rogers developed the theory, which is universal and can be deployed in any healthcare facility. In contrast, the model by Kitwood is focused on a specific area, although it demonstrates PCC within the context of complex cases.</w:t>
      </w:r>
    </w:p>
    <w:p w14:paraId="0000002F" w14:textId="77777777" w:rsidR="00C97483" w:rsidRPr="00B23D2C" w:rsidRDefault="00000000">
      <w:pPr>
        <w:spacing w:before="200"/>
        <w:rPr>
          <w:rFonts w:eastAsia="Times New Roman"/>
          <w:lang w:val="en-GB"/>
        </w:rPr>
      </w:pPr>
      <w:r w:rsidRPr="00B23D2C">
        <w:rPr>
          <w:rFonts w:eastAsia="Times New Roman"/>
          <w:lang w:val="en-GB"/>
        </w:rPr>
        <w:t>The Wellington Hospital has strongly reflected both of these theories in terms of individualised care, GP selection, and teamwork in multidisciplinary environments. However, potential issues are equally identified. As an example, PCC is costly, and in a private setting, this results in affordability and access disparities (</w:t>
      </w:r>
      <w:proofErr w:type="spellStart"/>
      <w:r w:rsidRPr="00B23D2C">
        <w:rPr>
          <w:rFonts w:eastAsia="Times New Roman"/>
          <w:lang w:val="en-GB"/>
        </w:rPr>
        <w:t>Charosaei</w:t>
      </w:r>
      <w:proofErr w:type="spellEnd"/>
      <w:r w:rsidRPr="00B23D2C">
        <w:rPr>
          <w:rFonts w:eastAsia="Times New Roman"/>
          <w:lang w:val="en-GB"/>
        </w:rPr>
        <w:t xml:space="preserve"> </w:t>
      </w:r>
      <w:r w:rsidRPr="00B23D2C">
        <w:rPr>
          <w:rFonts w:eastAsia="Times New Roman"/>
          <w:i/>
          <w:iCs/>
          <w:lang w:val="en-GB"/>
        </w:rPr>
        <w:t>et al.,</w:t>
      </w:r>
      <w:r w:rsidRPr="00B23D2C">
        <w:rPr>
          <w:rFonts w:eastAsia="Times New Roman"/>
          <w:lang w:val="en-GB"/>
        </w:rPr>
        <w:t xml:space="preserve"> 2022). This introduces ethical issues, thus indicating the need for improved measures for PCC integration in the health and social care context.</w:t>
      </w:r>
    </w:p>
    <w:p w14:paraId="00000030" w14:textId="77777777" w:rsidR="00C97483" w:rsidRPr="00B23D2C" w:rsidRDefault="00000000" w:rsidP="00D25E89">
      <w:pPr>
        <w:pStyle w:val="Heading1"/>
        <w:rPr>
          <w:lang w:val="en-GB"/>
        </w:rPr>
      </w:pPr>
      <w:bookmarkStart w:id="3" w:name="_Toc223782934"/>
      <w:r w:rsidRPr="00B23D2C">
        <w:rPr>
          <w:lang w:val="en-GB"/>
        </w:rPr>
        <w:lastRenderedPageBreak/>
        <w:t>Ethical Fundamentals</w:t>
      </w:r>
      <w:bookmarkEnd w:id="3"/>
    </w:p>
    <w:p w14:paraId="00000031" w14:textId="77777777" w:rsidR="00C97483" w:rsidRPr="00B23D2C" w:rsidRDefault="00000000">
      <w:pPr>
        <w:spacing w:before="200"/>
        <w:rPr>
          <w:rFonts w:eastAsia="Times New Roman"/>
          <w:lang w:val="en-GB"/>
        </w:rPr>
      </w:pPr>
      <w:r w:rsidRPr="00B23D2C">
        <w:rPr>
          <w:rFonts w:eastAsia="Times New Roman"/>
          <w:lang w:val="en-GB"/>
        </w:rPr>
        <w:t xml:space="preserve">According to the information by Varkey (2021), ethical principles such as </w:t>
      </w:r>
      <w:r w:rsidRPr="00B23D2C">
        <w:rPr>
          <w:rFonts w:eastAsia="Times New Roman"/>
          <w:b/>
          <w:bCs/>
          <w:lang w:val="en-GB"/>
        </w:rPr>
        <w:t>autonomy</w:t>
      </w:r>
      <w:r w:rsidRPr="00B23D2C">
        <w:rPr>
          <w:rFonts w:eastAsia="Times New Roman"/>
          <w:lang w:val="en-GB"/>
        </w:rPr>
        <w:t xml:space="preserve">, </w:t>
      </w:r>
      <w:r w:rsidRPr="00B23D2C">
        <w:rPr>
          <w:rFonts w:eastAsia="Times New Roman"/>
          <w:b/>
          <w:bCs/>
          <w:lang w:val="en-GB"/>
        </w:rPr>
        <w:t>beneficence</w:t>
      </w:r>
      <w:r w:rsidRPr="00B23D2C">
        <w:rPr>
          <w:rFonts w:eastAsia="Times New Roman"/>
          <w:lang w:val="en-GB"/>
        </w:rPr>
        <w:t xml:space="preserve">, </w:t>
      </w:r>
      <w:r w:rsidRPr="00B23D2C">
        <w:rPr>
          <w:rFonts w:eastAsia="Times New Roman"/>
          <w:b/>
          <w:bCs/>
          <w:lang w:val="en-GB"/>
        </w:rPr>
        <w:t>non-maleficence</w:t>
      </w:r>
      <w:r w:rsidRPr="00B23D2C">
        <w:rPr>
          <w:rFonts w:eastAsia="Times New Roman"/>
          <w:lang w:val="en-GB"/>
        </w:rPr>
        <w:t xml:space="preserve"> and </w:t>
      </w:r>
      <w:r w:rsidRPr="00B23D2C">
        <w:rPr>
          <w:rFonts w:eastAsia="Times New Roman"/>
          <w:b/>
          <w:bCs/>
          <w:lang w:val="en-GB"/>
        </w:rPr>
        <w:t xml:space="preserve">justice </w:t>
      </w:r>
      <w:r w:rsidRPr="00B23D2C">
        <w:rPr>
          <w:rFonts w:eastAsia="Times New Roman"/>
          <w:lang w:val="en-GB"/>
        </w:rPr>
        <w:t>are the guiding principles, typically applied to health and social care practices. In autonomy, a patient has a right to play a role in decision-making that concerns their care. Beneficence, on the other hand, underlines the need to act in the best interest of the patient. Correspondingly, non-maleficence reviews how HCPs avoid malpractices that cause harm to patients. Finally, justice is connected with fairness, equity and just in resource distribution.</w:t>
      </w:r>
    </w:p>
    <w:p w14:paraId="00000032" w14:textId="77777777" w:rsidR="00C97483" w:rsidRPr="00B23D2C" w:rsidRDefault="00000000">
      <w:pPr>
        <w:spacing w:before="200"/>
        <w:rPr>
          <w:rFonts w:eastAsia="Times New Roman"/>
          <w:lang w:val="en-GB"/>
        </w:rPr>
      </w:pPr>
      <w:r w:rsidRPr="00B23D2C">
        <w:rPr>
          <w:rFonts w:eastAsia="Times New Roman"/>
          <w:lang w:val="en-GB"/>
        </w:rPr>
        <w:t xml:space="preserve">These principles are fundamentally connected to </w:t>
      </w:r>
      <w:r w:rsidRPr="00B23D2C">
        <w:rPr>
          <w:rFonts w:eastAsia="Times New Roman"/>
          <w:b/>
          <w:bCs/>
          <w:lang w:val="en-GB"/>
        </w:rPr>
        <w:t>"Person-Centred Care"</w:t>
      </w:r>
      <w:r w:rsidRPr="00B23D2C">
        <w:rPr>
          <w:rFonts w:eastAsia="Times New Roman"/>
          <w:lang w:val="en-GB"/>
        </w:rPr>
        <w:t xml:space="preserve"> (PCC), as well as </w:t>
      </w:r>
      <w:r w:rsidRPr="00B23D2C">
        <w:rPr>
          <w:rFonts w:eastAsia="Times New Roman"/>
          <w:b/>
          <w:bCs/>
          <w:lang w:val="en-GB"/>
        </w:rPr>
        <w:t>"Partnership Working"</w:t>
      </w:r>
      <w:r w:rsidRPr="00B23D2C">
        <w:rPr>
          <w:rFonts w:eastAsia="Times New Roman"/>
          <w:lang w:val="en-GB"/>
        </w:rPr>
        <w:t xml:space="preserve"> (PW). PCC embraces autonomy by engaging patients in the decision-making process and providing care that is tailored to their preferences (Santana </w:t>
      </w:r>
      <w:r w:rsidRPr="00B23D2C">
        <w:rPr>
          <w:rFonts w:eastAsia="Times New Roman"/>
          <w:i/>
          <w:iCs/>
          <w:lang w:val="en-GB"/>
        </w:rPr>
        <w:t>et al.,</w:t>
      </w:r>
      <w:r w:rsidRPr="00B23D2C">
        <w:rPr>
          <w:rFonts w:eastAsia="Times New Roman"/>
          <w:lang w:val="en-GB"/>
        </w:rPr>
        <w:t xml:space="preserve"> 2021). Holistic care involves beneficence and non-maleficence that enhance well-being while mitigating risks. Justice, as explained by Beardon </w:t>
      </w:r>
      <w:r w:rsidRPr="00B23D2C">
        <w:rPr>
          <w:rFonts w:eastAsia="Times New Roman"/>
          <w:i/>
          <w:iCs/>
          <w:lang w:val="en-GB"/>
        </w:rPr>
        <w:t>et al.,</w:t>
      </w:r>
      <w:r w:rsidRPr="00B23D2C">
        <w:rPr>
          <w:rFonts w:eastAsia="Times New Roman"/>
          <w:lang w:val="en-GB"/>
        </w:rPr>
        <w:t xml:space="preserve"> (2021) is directly aligned with partnership working since the organisational partnership is key to ensuring fair access to services, thus helping in reducing health disparities.</w:t>
      </w:r>
    </w:p>
    <w:p w14:paraId="00000033" w14:textId="77777777" w:rsidR="00C97483" w:rsidRPr="00B23D2C" w:rsidRDefault="00000000">
      <w:pPr>
        <w:spacing w:before="200"/>
        <w:rPr>
          <w:rFonts w:eastAsia="Times New Roman"/>
          <w:lang w:val="en-GB"/>
        </w:rPr>
      </w:pPr>
      <w:r w:rsidRPr="00B23D2C">
        <w:rPr>
          <w:rFonts w:eastAsia="Times New Roman"/>
          <w:lang w:val="en-GB"/>
        </w:rPr>
        <w:t>Consultant choice and individualised treatment pathways are seen to be an aspect of autonomy within The Wellington Hospital. However, ethical issues concern the principle of justice (Hcahealthcare.co.uk, 2024). While privatisation of care supports PCC intervention, equal access and affordability to patients are questioned aspects. Further, differing opinions highlight that private hospitals increase patient choice while decreasing the burden on the NHS (Appleby and Dixon, 2024). However, critics emphasise that there is exclusion and inequality. Hence, collaboration is mandatory, where the private hospitals engage with the NHS trusts to share skills and access, and balance autonomy, beneficence, and justice.</w:t>
      </w:r>
    </w:p>
    <w:p w14:paraId="00000034" w14:textId="77777777" w:rsidR="00C97483" w:rsidRPr="00B23D2C" w:rsidRDefault="00000000" w:rsidP="00D25E89">
      <w:pPr>
        <w:pStyle w:val="Heading1"/>
        <w:rPr>
          <w:lang w:val="en-GB"/>
        </w:rPr>
      </w:pPr>
      <w:bookmarkStart w:id="4" w:name="_Toc223782935"/>
      <w:r w:rsidRPr="00B23D2C">
        <w:rPr>
          <w:lang w:val="en-GB"/>
        </w:rPr>
        <w:t>Evaluation of Partnership Working</w:t>
      </w:r>
      <w:bookmarkEnd w:id="4"/>
    </w:p>
    <w:p w14:paraId="00000035" w14:textId="77777777" w:rsidR="00C97483" w:rsidRPr="00B23D2C" w:rsidRDefault="00000000">
      <w:pPr>
        <w:spacing w:before="200"/>
        <w:rPr>
          <w:rFonts w:eastAsia="Times New Roman"/>
          <w:lang w:val="en-GB"/>
        </w:rPr>
      </w:pPr>
      <w:r w:rsidRPr="00B23D2C">
        <w:rPr>
          <w:rFonts w:eastAsia="Times New Roman"/>
          <w:lang w:val="en-GB"/>
        </w:rPr>
        <w:t xml:space="preserve">Partnership Working (PW) is the collaboration between professionals, organisations, and the service users to provide integrated, effective, and holistic care (Sauvage and Ahluwalia, 2026). An example of PW implementation in the UK is the launch of </w:t>
      </w:r>
      <w:r w:rsidRPr="00B23D2C">
        <w:rPr>
          <w:rFonts w:eastAsia="Times New Roman"/>
          <w:b/>
          <w:bCs/>
          <w:lang w:val="en-GB"/>
        </w:rPr>
        <w:t>Integrated Care Systems</w:t>
      </w:r>
      <w:r w:rsidRPr="00B23D2C">
        <w:rPr>
          <w:rFonts w:eastAsia="Times New Roman"/>
          <w:lang w:val="en-GB"/>
        </w:rPr>
        <w:t xml:space="preserve"> (ICS), which is a collaboration of NHS trusts, local authorities, and voluntary organisations to enhance the health of the population and lower disparities (NHS England, 2022).</w:t>
      </w:r>
    </w:p>
    <w:p w14:paraId="00000036" w14:textId="77777777" w:rsidR="00C97483" w:rsidRPr="00B23D2C" w:rsidRDefault="00000000">
      <w:pPr>
        <w:spacing w:before="200"/>
        <w:rPr>
          <w:rFonts w:eastAsia="Times New Roman"/>
          <w:lang w:val="en-GB"/>
        </w:rPr>
      </w:pPr>
      <w:r w:rsidRPr="00B23D2C">
        <w:rPr>
          <w:rFonts w:eastAsia="Times New Roman"/>
          <w:lang w:val="en-GB"/>
        </w:rPr>
        <w:lastRenderedPageBreak/>
        <w:t xml:space="preserve">PW is essential since the needs of patients are very complicated and cannot be fulfilled through a single organisational source. As stated by </w:t>
      </w:r>
      <w:proofErr w:type="spellStart"/>
      <w:r w:rsidRPr="00B23D2C">
        <w:rPr>
          <w:rFonts w:eastAsia="Times New Roman"/>
          <w:lang w:val="en-GB"/>
        </w:rPr>
        <w:t>Korylchuk</w:t>
      </w:r>
      <w:proofErr w:type="spellEnd"/>
      <w:r w:rsidRPr="00B23D2C">
        <w:rPr>
          <w:rFonts w:eastAsia="Times New Roman"/>
          <w:lang w:val="en-GB"/>
        </w:rPr>
        <w:t xml:space="preserve"> </w:t>
      </w:r>
      <w:r w:rsidRPr="00B23D2C">
        <w:rPr>
          <w:rFonts w:eastAsia="Times New Roman"/>
          <w:i/>
          <w:iCs/>
          <w:lang w:val="en-GB"/>
        </w:rPr>
        <w:t>et al.,</w:t>
      </w:r>
      <w:r w:rsidRPr="00B23D2C">
        <w:rPr>
          <w:rFonts w:eastAsia="Times New Roman"/>
          <w:lang w:val="en-GB"/>
        </w:rPr>
        <w:t xml:space="preserve"> (2024) key advantages of PW include </w:t>
      </w:r>
      <w:r w:rsidRPr="00B23D2C">
        <w:rPr>
          <w:rFonts w:eastAsia="Times New Roman"/>
          <w:b/>
          <w:bCs/>
          <w:lang w:val="en-GB"/>
        </w:rPr>
        <w:t xml:space="preserve">better service delivery </w:t>
      </w:r>
      <w:r w:rsidRPr="00B23D2C">
        <w:rPr>
          <w:rFonts w:eastAsia="Times New Roman"/>
          <w:lang w:val="en-GB"/>
        </w:rPr>
        <w:t xml:space="preserve">as </w:t>
      </w:r>
      <w:r w:rsidRPr="00B23D2C">
        <w:rPr>
          <w:rFonts w:eastAsia="Times New Roman"/>
          <w:b/>
          <w:bCs/>
          <w:lang w:val="en-GB"/>
        </w:rPr>
        <w:t>resources and expertise are shared</w:t>
      </w:r>
      <w:r w:rsidRPr="00B23D2C">
        <w:rPr>
          <w:rFonts w:eastAsia="Times New Roman"/>
          <w:lang w:val="en-GB"/>
        </w:rPr>
        <w:t xml:space="preserve">, which leads to better patient outcomes. This is particularly managed by care coordination and responsiveness. Indicatively, multidisciplinary teams ensure a proper consideration of the </w:t>
      </w:r>
      <w:r w:rsidRPr="00B23D2C">
        <w:rPr>
          <w:rFonts w:eastAsia="Times New Roman"/>
          <w:b/>
          <w:bCs/>
          <w:lang w:val="en-GB"/>
        </w:rPr>
        <w:t xml:space="preserve">delivery of physical, psychological, and social needs </w:t>
      </w:r>
      <w:r w:rsidRPr="00B23D2C">
        <w:rPr>
          <w:rFonts w:eastAsia="Times New Roman"/>
          <w:lang w:val="en-GB"/>
        </w:rPr>
        <w:t>to patients.</w:t>
      </w:r>
    </w:p>
    <w:p w14:paraId="00000037" w14:textId="77777777" w:rsidR="00C97483" w:rsidRPr="00B23D2C" w:rsidRDefault="00000000">
      <w:pPr>
        <w:spacing w:before="200"/>
        <w:rPr>
          <w:rFonts w:eastAsia="Times New Roman"/>
          <w:lang w:val="en-GB"/>
        </w:rPr>
      </w:pPr>
      <w:r w:rsidRPr="00B23D2C">
        <w:rPr>
          <w:rFonts w:eastAsia="Times New Roman"/>
          <w:lang w:val="en-GB"/>
        </w:rPr>
        <w:t xml:space="preserve">Nevertheless, partnership working encounters challenges. The </w:t>
      </w:r>
      <w:r w:rsidRPr="00B23D2C">
        <w:rPr>
          <w:rFonts w:eastAsia="Times New Roman"/>
          <w:b/>
          <w:bCs/>
          <w:lang w:val="en-GB"/>
        </w:rPr>
        <w:t>problem of coordination</w:t>
      </w:r>
      <w:r w:rsidRPr="00B23D2C">
        <w:rPr>
          <w:rFonts w:eastAsia="Times New Roman"/>
          <w:lang w:val="en-GB"/>
        </w:rPr>
        <w:t xml:space="preserve"> can be experienced when organisations have contrasting priorities (Calanni </w:t>
      </w:r>
      <w:r w:rsidRPr="00B23D2C">
        <w:rPr>
          <w:rFonts w:eastAsia="Times New Roman"/>
          <w:i/>
          <w:iCs/>
          <w:lang w:val="en-GB"/>
        </w:rPr>
        <w:t>et al.,</w:t>
      </w:r>
      <w:r w:rsidRPr="00B23D2C">
        <w:rPr>
          <w:rFonts w:eastAsia="Times New Roman"/>
          <w:lang w:val="en-GB"/>
        </w:rPr>
        <w:t xml:space="preserve"> 2024). This causes information exchange as well as care continuity to be affected by</w:t>
      </w:r>
      <w:r w:rsidRPr="00B23D2C">
        <w:rPr>
          <w:rFonts w:eastAsia="Times New Roman"/>
          <w:b/>
          <w:bCs/>
          <w:lang w:val="en-GB"/>
        </w:rPr>
        <w:t xml:space="preserve"> communication barriers </w:t>
      </w:r>
      <w:r w:rsidRPr="00B23D2C">
        <w:rPr>
          <w:rFonts w:eastAsia="Times New Roman"/>
          <w:lang w:val="en-GB"/>
        </w:rPr>
        <w:t>(</w:t>
      </w:r>
      <w:proofErr w:type="spellStart"/>
      <w:r w:rsidRPr="00B23D2C">
        <w:rPr>
          <w:rFonts w:eastAsia="Times New Roman"/>
          <w:lang w:val="en-GB"/>
        </w:rPr>
        <w:t>Korylchuk</w:t>
      </w:r>
      <w:proofErr w:type="spellEnd"/>
      <w:r w:rsidRPr="00B23D2C">
        <w:rPr>
          <w:rFonts w:eastAsia="Times New Roman"/>
          <w:lang w:val="en-GB"/>
        </w:rPr>
        <w:t xml:space="preserve"> </w:t>
      </w:r>
      <w:r w:rsidRPr="00B23D2C">
        <w:rPr>
          <w:rFonts w:eastAsia="Times New Roman"/>
          <w:i/>
          <w:iCs/>
          <w:lang w:val="en-GB"/>
        </w:rPr>
        <w:t>et al.,</w:t>
      </w:r>
      <w:r w:rsidRPr="00B23D2C">
        <w:rPr>
          <w:rFonts w:eastAsia="Times New Roman"/>
          <w:lang w:val="en-GB"/>
        </w:rPr>
        <w:t xml:space="preserve"> 2024). The </w:t>
      </w:r>
      <w:r w:rsidRPr="00B23D2C">
        <w:rPr>
          <w:rFonts w:eastAsia="Times New Roman"/>
          <w:b/>
          <w:bCs/>
          <w:lang w:val="en-GB"/>
        </w:rPr>
        <w:t>imbalance of power</w:t>
      </w:r>
      <w:r w:rsidRPr="00B23D2C">
        <w:rPr>
          <w:rFonts w:eastAsia="Times New Roman"/>
          <w:lang w:val="en-GB"/>
        </w:rPr>
        <w:t xml:space="preserve"> between partners or unwillingness to work together significantly decreases effectiveness.</w:t>
      </w:r>
    </w:p>
    <w:p w14:paraId="00000038" w14:textId="77777777" w:rsidR="00C97483" w:rsidRPr="00B23D2C" w:rsidRDefault="00000000">
      <w:pPr>
        <w:spacing w:before="200"/>
        <w:rPr>
          <w:rFonts w:eastAsia="Times New Roman"/>
          <w:lang w:val="en-GB"/>
        </w:rPr>
      </w:pPr>
      <w:r w:rsidRPr="00B23D2C">
        <w:rPr>
          <w:rFonts w:eastAsia="Times New Roman"/>
          <w:lang w:val="en-GB"/>
        </w:rPr>
        <w:t xml:space="preserve">PW is prominent at The Wellington Hospital in terms of specialist referrals with NHS trusts and collaborations with the insurers to increase access. Although these relationships increase patient choice and the quality of services, equity challenges are prevalent. Wray </w:t>
      </w:r>
      <w:r w:rsidRPr="00B23D2C">
        <w:rPr>
          <w:rFonts w:eastAsia="Times New Roman"/>
          <w:i/>
          <w:iCs/>
          <w:lang w:val="en-GB"/>
        </w:rPr>
        <w:t>et al.,</w:t>
      </w:r>
      <w:r w:rsidRPr="00B23D2C">
        <w:rPr>
          <w:rFonts w:eastAsia="Times New Roman"/>
          <w:lang w:val="en-GB"/>
        </w:rPr>
        <w:t xml:space="preserve"> (2021) state that private care typically causes access limitations to patients due to high costs. However, PW allows The Wellington Hospital to encompass skills and knowledge to enhance patient-centred results, although it emphasises the disparity between accessibility and excellence.</w:t>
      </w:r>
    </w:p>
    <w:p w14:paraId="00000039" w14:textId="77777777" w:rsidR="00C97483" w:rsidRPr="00B23D2C" w:rsidRDefault="00000000" w:rsidP="00D25E89">
      <w:pPr>
        <w:pStyle w:val="Heading1"/>
        <w:rPr>
          <w:lang w:val="en-GB"/>
        </w:rPr>
      </w:pPr>
      <w:bookmarkStart w:id="5" w:name="_Toc223782936"/>
      <w:r w:rsidRPr="00B23D2C">
        <w:rPr>
          <w:lang w:val="en-GB"/>
        </w:rPr>
        <w:t>Policy and Legislation</w:t>
      </w:r>
      <w:bookmarkEnd w:id="5"/>
    </w:p>
    <w:p w14:paraId="0000003A" w14:textId="77777777" w:rsidR="00C97483" w:rsidRPr="00B23D2C" w:rsidRDefault="00000000">
      <w:pPr>
        <w:spacing w:before="200"/>
        <w:rPr>
          <w:rFonts w:eastAsia="Times New Roman"/>
          <w:lang w:val="en-GB"/>
        </w:rPr>
      </w:pPr>
      <w:r w:rsidRPr="00B23D2C">
        <w:rPr>
          <w:rFonts w:eastAsia="Times New Roman"/>
          <w:lang w:val="en-GB"/>
        </w:rPr>
        <w:t xml:space="preserve">In the health and social care context, different policies and legislation are introduced. </w:t>
      </w:r>
    </w:p>
    <w:p w14:paraId="0000003B" w14:textId="77777777" w:rsidR="00C97483" w:rsidRPr="00B23D2C" w:rsidRDefault="00000000">
      <w:pPr>
        <w:numPr>
          <w:ilvl w:val="0"/>
          <w:numId w:val="5"/>
        </w:numPr>
        <w:spacing w:before="200"/>
        <w:rPr>
          <w:rFonts w:eastAsia="Times New Roman"/>
          <w:lang w:val="en-GB"/>
        </w:rPr>
      </w:pPr>
      <w:r w:rsidRPr="00B23D2C">
        <w:rPr>
          <w:rFonts w:eastAsia="Times New Roman"/>
          <w:b/>
          <w:bCs/>
          <w:lang w:val="en-GB"/>
        </w:rPr>
        <w:t xml:space="preserve">Health and Care Act (2022) </w:t>
      </w:r>
      <w:r w:rsidRPr="00B23D2C">
        <w:rPr>
          <w:rFonts w:eastAsia="Times New Roman"/>
          <w:lang w:val="en-GB"/>
        </w:rPr>
        <w:t xml:space="preserve">- According to Toh and Haynes (2022), the HCA legislation introduced </w:t>
      </w:r>
      <w:r w:rsidRPr="00B23D2C">
        <w:rPr>
          <w:rFonts w:eastAsia="Times New Roman"/>
          <w:b/>
          <w:bCs/>
          <w:lang w:val="en-GB"/>
        </w:rPr>
        <w:t>"Integrated Care Systems"</w:t>
      </w:r>
      <w:r w:rsidRPr="00B23D2C">
        <w:rPr>
          <w:rFonts w:eastAsia="Times New Roman"/>
          <w:lang w:val="en-GB"/>
        </w:rPr>
        <w:t xml:space="preserve"> (ICS), which reinforced PW to collaborate with NHS trusts, local authorities, and private providers. The act enhances PCC practice through joined services, thus minimising inequalities.</w:t>
      </w:r>
    </w:p>
    <w:p w14:paraId="0000003C" w14:textId="77777777" w:rsidR="00C97483" w:rsidRPr="00B23D2C" w:rsidRDefault="00000000" w:rsidP="00D25E89">
      <w:pPr>
        <w:numPr>
          <w:ilvl w:val="0"/>
          <w:numId w:val="5"/>
        </w:numPr>
        <w:spacing w:before="240"/>
        <w:rPr>
          <w:rFonts w:eastAsia="Times New Roman"/>
          <w:lang w:val="en-GB"/>
        </w:rPr>
      </w:pPr>
      <w:r w:rsidRPr="00B23D2C">
        <w:rPr>
          <w:rFonts w:eastAsia="Times New Roman"/>
          <w:b/>
          <w:bCs/>
          <w:lang w:val="en-GB"/>
        </w:rPr>
        <w:t>Health and Social Care Act (2012)</w:t>
      </w:r>
      <w:r w:rsidRPr="00B23D2C">
        <w:rPr>
          <w:rFonts w:eastAsia="Times New Roman"/>
          <w:lang w:val="en-GB"/>
        </w:rPr>
        <w:t xml:space="preserve"> - The legislation introduces a requirement on providers to engage patients in decision-making and establishes the principles of PCC of autonomy and choice (Legislation.gov.uk 2022). This also focuses on inequality reduction and enhancing the patient voice.</w:t>
      </w:r>
    </w:p>
    <w:p w14:paraId="0000003D" w14:textId="77777777" w:rsidR="00C97483" w:rsidRPr="00B23D2C" w:rsidRDefault="00000000" w:rsidP="00D25E89">
      <w:pPr>
        <w:numPr>
          <w:ilvl w:val="0"/>
          <w:numId w:val="5"/>
        </w:numPr>
        <w:spacing w:before="240"/>
        <w:rPr>
          <w:rFonts w:eastAsia="Times New Roman"/>
          <w:lang w:val="en-GB"/>
        </w:rPr>
      </w:pPr>
      <w:r w:rsidRPr="00B23D2C">
        <w:rPr>
          <w:rFonts w:eastAsia="Times New Roman"/>
          <w:b/>
          <w:bCs/>
          <w:lang w:val="en-GB"/>
        </w:rPr>
        <w:t xml:space="preserve">Care Act (2014) </w:t>
      </w:r>
      <w:r w:rsidRPr="00B23D2C">
        <w:rPr>
          <w:rFonts w:eastAsia="Times New Roman"/>
          <w:lang w:val="en-GB"/>
        </w:rPr>
        <w:t xml:space="preserve">- As evidenced by Gov.uk (2020), this legislation provides the legal framework for adult social care, implying that services should be personalised and </w:t>
      </w:r>
      <w:r w:rsidRPr="00B23D2C">
        <w:rPr>
          <w:rFonts w:eastAsia="Times New Roman"/>
          <w:lang w:val="en-GB"/>
        </w:rPr>
        <w:lastRenderedPageBreak/>
        <w:t>individually-focused. This focus vigorously maintains PCC in practice, through safeguarding and responsibilities.</w:t>
      </w:r>
    </w:p>
    <w:p w14:paraId="0000003E" w14:textId="77777777" w:rsidR="00C97483" w:rsidRPr="00B23D2C" w:rsidRDefault="00000000" w:rsidP="00D25E89">
      <w:pPr>
        <w:numPr>
          <w:ilvl w:val="0"/>
          <w:numId w:val="5"/>
        </w:numPr>
        <w:spacing w:before="240"/>
        <w:rPr>
          <w:rFonts w:eastAsia="Times New Roman"/>
          <w:lang w:val="en-GB"/>
        </w:rPr>
      </w:pPr>
      <w:r w:rsidRPr="00B23D2C">
        <w:rPr>
          <w:rFonts w:eastAsia="Times New Roman"/>
          <w:b/>
          <w:bCs/>
          <w:lang w:val="en-GB"/>
        </w:rPr>
        <w:t>Human Rights Act (1998)</w:t>
      </w:r>
      <w:r w:rsidRPr="00B23D2C">
        <w:rPr>
          <w:rFonts w:eastAsia="Times New Roman"/>
          <w:lang w:val="en-GB"/>
        </w:rPr>
        <w:t xml:space="preserve"> - The legislation is integral to protecting the dignity, privacy, and autonomy of patients. Further, it ensures that PCC considers basic rights (</w:t>
      </w:r>
      <w:proofErr w:type="spellStart"/>
      <w:r w:rsidRPr="00B23D2C">
        <w:rPr>
          <w:rFonts w:eastAsia="Times New Roman"/>
          <w:lang w:val="en-GB"/>
        </w:rPr>
        <w:t>Equalityhumanrights</w:t>
      </w:r>
      <w:proofErr w:type="spellEnd"/>
      <w:r w:rsidRPr="00B23D2C">
        <w:rPr>
          <w:rFonts w:eastAsia="Times New Roman"/>
          <w:lang w:val="en-GB"/>
        </w:rPr>
        <w:t>, 2020).</w:t>
      </w:r>
    </w:p>
    <w:p w14:paraId="0000003F" w14:textId="77777777" w:rsidR="00C97483" w:rsidRPr="00B23D2C" w:rsidRDefault="00000000" w:rsidP="00D25E89">
      <w:pPr>
        <w:numPr>
          <w:ilvl w:val="0"/>
          <w:numId w:val="5"/>
        </w:numPr>
        <w:spacing w:before="240"/>
        <w:rPr>
          <w:rFonts w:eastAsia="Times New Roman"/>
          <w:lang w:val="en-GB"/>
        </w:rPr>
      </w:pPr>
      <w:r w:rsidRPr="00B23D2C">
        <w:rPr>
          <w:rFonts w:eastAsia="Times New Roman"/>
          <w:b/>
          <w:bCs/>
          <w:lang w:val="en-GB"/>
        </w:rPr>
        <w:t xml:space="preserve">Equality Act (2010) </w:t>
      </w:r>
      <w:r w:rsidRPr="00B23D2C">
        <w:rPr>
          <w:rFonts w:eastAsia="Times New Roman"/>
          <w:lang w:val="en-GB"/>
        </w:rPr>
        <w:t>- This legislation prevents discrimination, to ensure that individuals have equal access to care, while PW is backed by inclusive practices within organisations (GOV.UK, 2023).</w:t>
      </w:r>
    </w:p>
    <w:p w14:paraId="00000040" w14:textId="77777777" w:rsidR="00C97483" w:rsidRPr="00B23D2C" w:rsidRDefault="00000000">
      <w:pPr>
        <w:spacing w:before="200"/>
        <w:rPr>
          <w:rFonts w:eastAsia="Times New Roman"/>
          <w:b/>
          <w:bCs/>
          <w:u w:val="single"/>
          <w:lang w:val="en-GB"/>
        </w:rPr>
      </w:pPr>
      <w:r w:rsidRPr="00B23D2C">
        <w:rPr>
          <w:rFonts w:eastAsia="Times New Roman"/>
          <w:b/>
          <w:bCs/>
          <w:u w:val="single"/>
          <w:lang w:val="en-GB"/>
        </w:rPr>
        <w:t>Implications for PCC and PW</w:t>
      </w:r>
    </w:p>
    <w:p w14:paraId="00000041" w14:textId="77777777" w:rsidR="00C97483" w:rsidRPr="00B23D2C" w:rsidRDefault="00000000">
      <w:pPr>
        <w:spacing w:before="200"/>
        <w:rPr>
          <w:rFonts w:eastAsia="Times New Roman"/>
          <w:lang w:val="en-GB"/>
        </w:rPr>
      </w:pPr>
      <w:r w:rsidRPr="00B23D2C">
        <w:rPr>
          <w:rFonts w:eastAsia="Times New Roman"/>
          <w:lang w:val="en-GB"/>
        </w:rPr>
        <w:t>These policies at The Wellington Hospital impact practice in the following ways:</w:t>
      </w:r>
    </w:p>
    <w:p w14:paraId="00000042" w14:textId="77777777" w:rsidR="00C97483" w:rsidRPr="00B23D2C" w:rsidRDefault="00000000">
      <w:pPr>
        <w:numPr>
          <w:ilvl w:val="0"/>
          <w:numId w:val="2"/>
        </w:numPr>
        <w:spacing w:before="200"/>
        <w:rPr>
          <w:rFonts w:eastAsia="Times New Roman"/>
          <w:lang w:val="en-GB"/>
        </w:rPr>
      </w:pPr>
      <w:r w:rsidRPr="00B23D2C">
        <w:rPr>
          <w:rFonts w:eastAsia="Times New Roman"/>
          <w:b/>
          <w:bCs/>
          <w:lang w:val="en-GB"/>
        </w:rPr>
        <w:t>Person-Centred Care</w:t>
      </w:r>
      <w:r w:rsidRPr="00B23D2C">
        <w:rPr>
          <w:rFonts w:eastAsia="Times New Roman"/>
          <w:lang w:val="en-GB"/>
        </w:rPr>
        <w:t xml:space="preserve"> - The approach to personalised treatment pathways, as well as consultant choices at The Wellington Hospital, emphasises the independence, as implied in the Health and Social Care Act 2012.</w:t>
      </w:r>
    </w:p>
    <w:p w14:paraId="00000043" w14:textId="77777777" w:rsidR="00C97483" w:rsidRPr="00B23D2C" w:rsidRDefault="00000000">
      <w:pPr>
        <w:numPr>
          <w:ilvl w:val="0"/>
          <w:numId w:val="2"/>
        </w:numPr>
        <w:spacing w:before="200"/>
        <w:rPr>
          <w:rFonts w:eastAsia="Times New Roman"/>
          <w:lang w:val="en-GB"/>
        </w:rPr>
      </w:pPr>
      <w:r w:rsidRPr="00B23D2C">
        <w:rPr>
          <w:rFonts w:eastAsia="Times New Roman"/>
          <w:b/>
          <w:bCs/>
          <w:lang w:val="en-GB"/>
        </w:rPr>
        <w:t>Partnership Working</w:t>
      </w:r>
      <w:r w:rsidRPr="00B23D2C">
        <w:rPr>
          <w:rFonts w:eastAsia="Times New Roman"/>
          <w:lang w:val="en-GB"/>
        </w:rPr>
        <w:t xml:space="preserve"> - Specialist referrals in collaboration with NHS trusts typically work in line with the ICS framework of the Health and Care Act 2022.</w:t>
      </w:r>
    </w:p>
    <w:p w14:paraId="00000044" w14:textId="77777777" w:rsidR="00C97483" w:rsidRPr="00B23D2C" w:rsidRDefault="00000000">
      <w:pPr>
        <w:numPr>
          <w:ilvl w:val="0"/>
          <w:numId w:val="2"/>
        </w:numPr>
        <w:spacing w:before="200"/>
        <w:rPr>
          <w:rFonts w:eastAsia="Times New Roman"/>
          <w:lang w:val="en-GB"/>
        </w:rPr>
      </w:pPr>
      <w:r w:rsidRPr="00B23D2C">
        <w:rPr>
          <w:rFonts w:eastAsia="Times New Roman"/>
          <w:b/>
          <w:bCs/>
          <w:lang w:val="en-GB"/>
        </w:rPr>
        <w:t>Ethical Protections</w:t>
      </w:r>
      <w:r w:rsidRPr="00B23D2C">
        <w:rPr>
          <w:rFonts w:eastAsia="Times New Roman"/>
          <w:lang w:val="en-GB"/>
        </w:rPr>
        <w:t xml:space="preserve"> - Ethical safeguards, as evidenced by GOV.UK (2023), is provided through the "Equality Act 2010". This prevents discrimination within patient treatment. This also aligns with the Human Rights Act 1998, which provides a guarantee of dignity and privacy.</w:t>
      </w:r>
    </w:p>
    <w:p w14:paraId="00000045" w14:textId="77777777" w:rsidR="00C97483" w:rsidRPr="00B23D2C" w:rsidRDefault="00000000">
      <w:pPr>
        <w:spacing w:before="200"/>
        <w:rPr>
          <w:rFonts w:eastAsia="Times New Roman"/>
          <w:b/>
          <w:bCs/>
          <w:u w:val="single"/>
          <w:lang w:val="en-GB"/>
        </w:rPr>
      </w:pPr>
      <w:r w:rsidRPr="00B23D2C">
        <w:rPr>
          <w:rFonts w:eastAsia="Times New Roman"/>
          <w:b/>
          <w:bCs/>
          <w:u w:val="single"/>
          <w:lang w:val="en-GB"/>
        </w:rPr>
        <w:t>Critical Evaluation</w:t>
      </w:r>
    </w:p>
    <w:p w14:paraId="00000046" w14:textId="77777777" w:rsidR="00C97483" w:rsidRPr="00B23D2C" w:rsidRDefault="00000000">
      <w:pPr>
        <w:spacing w:before="200"/>
        <w:rPr>
          <w:rFonts w:eastAsia="Times New Roman"/>
          <w:lang w:val="en-GB"/>
        </w:rPr>
      </w:pPr>
      <w:r w:rsidRPr="00B23D2C">
        <w:rPr>
          <w:rFonts w:eastAsia="Times New Roman"/>
          <w:lang w:val="en-GB"/>
        </w:rPr>
        <w:t>Although the legislative bodies of PCC and PW are strong, there are still challenges. Equity (justice) in a private hospital is constrained due to the level of affordability. From the previous context, it has been understood that this inequity raises ethical issues, although it may be aligned with the guidelines provided by the Equality Act. Policies promote cooperation, yet the coordination between the private and the public is complicated. Nevertheless, these frameworks are important in ensuring that The Wellington Hospital provides legally compliant services, patient-centred care, and integrated approaches within broad health systems.</w:t>
      </w:r>
    </w:p>
    <w:p w14:paraId="00000047" w14:textId="77777777" w:rsidR="00C97483" w:rsidRPr="00B23D2C" w:rsidRDefault="00000000" w:rsidP="00D25E89">
      <w:pPr>
        <w:pStyle w:val="Heading1"/>
        <w:rPr>
          <w:lang w:val="en-GB"/>
        </w:rPr>
      </w:pPr>
      <w:bookmarkStart w:id="6" w:name="_Toc223782937"/>
      <w:r w:rsidRPr="00B23D2C">
        <w:rPr>
          <w:lang w:val="en-GB"/>
        </w:rPr>
        <w:lastRenderedPageBreak/>
        <w:t>Recommendations</w:t>
      </w:r>
      <w:bookmarkEnd w:id="6"/>
    </w:p>
    <w:p w14:paraId="00000048" w14:textId="77777777" w:rsidR="00C97483" w:rsidRPr="00B23D2C" w:rsidRDefault="00000000">
      <w:pPr>
        <w:spacing w:before="200"/>
        <w:rPr>
          <w:rFonts w:eastAsia="Times New Roman"/>
          <w:lang w:val="en-GB"/>
        </w:rPr>
      </w:pPr>
      <w:r w:rsidRPr="00B23D2C">
        <w:rPr>
          <w:rFonts w:eastAsia="Times New Roman"/>
          <w:lang w:val="en-GB"/>
        </w:rPr>
        <w:t xml:space="preserve">The above evidence suggests that there have been yearly advancements in the care provision through tailored focus, as well as distributed work practices. However, gaps are still prevalent in the delivery of equitable long-term PCC interventions and promoting PW. The necessity to combine </w:t>
      </w:r>
      <w:r w:rsidRPr="00B23D2C">
        <w:rPr>
          <w:rFonts w:eastAsia="Times New Roman"/>
          <w:b/>
          <w:bCs/>
          <w:lang w:val="en-GB"/>
        </w:rPr>
        <w:t>digital health systems</w:t>
      </w:r>
      <w:r w:rsidRPr="00B23D2C">
        <w:rPr>
          <w:rFonts w:eastAsia="Times New Roman"/>
          <w:lang w:val="en-GB"/>
        </w:rPr>
        <w:t xml:space="preserve">, such as electronic health records (EHR), &amp; telemedicine, can facilitate care continuity and communication (Haleem </w:t>
      </w:r>
      <w:r w:rsidRPr="00B23D2C">
        <w:rPr>
          <w:rFonts w:eastAsia="Times New Roman"/>
          <w:i/>
          <w:iCs/>
          <w:lang w:val="en-GB"/>
        </w:rPr>
        <w:t>et al.,</w:t>
      </w:r>
      <w:r w:rsidRPr="00B23D2C">
        <w:rPr>
          <w:rFonts w:eastAsia="Times New Roman"/>
          <w:lang w:val="en-GB"/>
        </w:rPr>
        <w:t xml:space="preserve"> 2021). </w:t>
      </w:r>
    </w:p>
    <w:p w14:paraId="00000049" w14:textId="77777777" w:rsidR="00C97483" w:rsidRPr="00B23D2C" w:rsidRDefault="00000000">
      <w:pPr>
        <w:spacing w:before="200"/>
        <w:rPr>
          <w:rFonts w:eastAsia="Times New Roman"/>
          <w:lang w:val="en-GB"/>
        </w:rPr>
      </w:pPr>
      <w:r w:rsidRPr="00B23D2C">
        <w:rPr>
          <w:rFonts w:eastAsia="Times New Roman"/>
          <w:lang w:val="en-GB"/>
        </w:rPr>
        <w:t xml:space="preserve">Secondly, </w:t>
      </w:r>
      <w:r w:rsidRPr="00B23D2C">
        <w:rPr>
          <w:rFonts w:eastAsia="Times New Roman"/>
          <w:b/>
          <w:bCs/>
          <w:lang w:val="en-GB"/>
        </w:rPr>
        <w:t>staff training</w:t>
      </w:r>
      <w:r w:rsidRPr="00B23D2C">
        <w:rPr>
          <w:rFonts w:eastAsia="Times New Roman"/>
          <w:lang w:val="en-GB"/>
        </w:rPr>
        <w:t xml:space="preserve"> is mandatory to embrace change through adaptability based on PCC principles and collaborative practice to ensure uniformity across settings (Santana</w:t>
      </w:r>
      <w:r w:rsidRPr="00B23D2C">
        <w:rPr>
          <w:rFonts w:eastAsia="Times New Roman"/>
          <w:i/>
          <w:iCs/>
          <w:lang w:val="en-GB"/>
        </w:rPr>
        <w:t xml:space="preserve"> et al.,</w:t>
      </w:r>
      <w:r w:rsidRPr="00B23D2C">
        <w:rPr>
          <w:rFonts w:eastAsia="Times New Roman"/>
          <w:lang w:val="en-GB"/>
        </w:rPr>
        <w:t xml:space="preserve"> 2021). Further, </w:t>
      </w:r>
      <w:r w:rsidRPr="00B23D2C">
        <w:rPr>
          <w:rFonts w:eastAsia="Times New Roman"/>
          <w:b/>
          <w:bCs/>
          <w:lang w:val="en-GB"/>
        </w:rPr>
        <w:t>enhancing the cooperation between private hospitals such as The Wellington Hospital and the NHS trusts</w:t>
      </w:r>
      <w:r w:rsidRPr="00B23D2C">
        <w:rPr>
          <w:rFonts w:eastAsia="Times New Roman"/>
          <w:lang w:val="en-GB"/>
        </w:rPr>
        <w:t xml:space="preserve"> would contribute to increased accessibility and decreased disparity. Additionally, </w:t>
      </w:r>
      <w:r w:rsidRPr="00B23D2C">
        <w:rPr>
          <w:rFonts w:eastAsia="Times New Roman"/>
          <w:b/>
          <w:bCs/>
          <w:lang w:val="en-GB"/>
        </w:rPr>
        <w:t>research and policy development</w:t>
      </w:r>
      <w:r w:rsidRPr="00B23D2C">
        <w:rPr>
          <w:rFonts w:eastAsia="Times New Roman"/>
          <w:lang w:val="en-GB"/>
        </w:rPr>
        <w:t xml:space="preserve"> can provide evidence-based interventions to implement PCC at a national level (Engle </w:t>
      </w:r>
      <w:r w:rsidRPr="00B23D2C">
        <w:rPr>
          <w:rFonts w:eastAsia="Times New Roman"/>
          <w:i/>
          <w:iCs/>
          <w:lang w:val="en-GB"/>
        </w:rPr>
        <w:t>et al.,</w:t>
      </w:r>
      <w:r w:rsidRPr="00B23D2C">
        <w:rPr>
          <w:rFonts w:eastAsia="Times New Roman"/>
          <w:lang w:val="en-GB"/>
        </w:rPr>
        <w:t xml:space="preserve"> 2021).</w:t>
      </w:r>
    </w:p>
    <w:p w14:paraId="0000004A" w14:textId="77777777" w:rsidR="00C97483" w:rsidRPr="00B23D2C" w:rsidRDefault="00000000">
      <w:pPr>
        <w:spacing w:before="200"/>
        <w:rPr>
          <w:rFonts w:eastAsia="Times New Roman"/>
          <w:lang w:val="en-GB"/>
        </w:rPr>
      </w:pPr>
      <w:r w:rsidRPr="00B23D2C">
        <w:rPr>
          <w:rFonts w:eastAsia="Times New Roman"/>
          <w:lang w:val="en-GB"/>
        </w:rPr>
        <w:t>Despite the opportunities, potential barriers can be faced in implementations. These are resource limitations, variation in organisational priorities, and financial inequity in private care. Nonetheless, the Wellington Hospital can offer high-quality PCC and enhance the UK health system through leveraging technology, education, and cross-sector collaboration.</w:t>
      </w:r>
    </w:p>
    <w:p w14:paraId="0000004B" w14:textId="77777777" w:rsidR="00C97483" w:rsidRPr="00B23D2C" w:rsidRDefault="00000000" w:rsidP="00D25E89">
      <w:pPr>
        <w:pStyle w:val="Heading1"/>
        <w:rPr>
          <w:lang w:val="en-GB"/>
        </w:rPr>
      </w:pPr>
      <w:bookmarkStart w:id="7" w:name="_Toc223782938"/>
      <w:r w:rsidRPr="00B23D2C">
        <w:rPr>
          <w:lang w:val="en-GB"/>
        </w:rPr>
        <w:t>Conclusion</w:t>
      </w:r>
      <w:bookmarkEnd w:id="7"/>
    </w:p>
    <w:p w14:paraId="0000004C" w14:textId="77777777" w:rsidR="00C97483" w:rsidRPr="00B23D2C" w:rsidRDefault="00000000">
      <w:pPr>
        <w:spacing w:before="200"/>
        <w:rPr>
          <w:rFonts w:eastAsia="Times New Roman"/>
          <w:lang w:val="en-GB"/>
        </w:rPr>
      </w:pPr>
      <w:r w:rsidRPr="00B23D2C">
        <w:rPr>
          <w:rFonts w:eastAsia="Times New Roman"/>
          <w:lang w:val="en-GB"/>
        </w:rPr>
        <w:t>The report has critically discussed Person-Centred Care (PCC) and Partnership Working (PW) through theoretical perspectives, ethical issues and legislative standards. Compelling evidence regarding PCC and PW has demonstrated enhanced satisfaction among the patients and long-term outcomes. However, both aspects face drawbacks due to resource limitations and equity issues. The Wellington Hospital case study provided an implication of how the principles are integral in the private healthcare setting, and highlighted constraints related to access. Further evidence suggests that technology, training and cross-sector collaboration can improve care outcomes. Hence, it can be affirmed that PCC and PW continue to be vital in providing quality, ethical, and integrated health and social services in the UK.</w:t>
      </w:r>
    </w:p>
    <w:p w14:paraId="68F8D0E1" w14:textId="2C722D45" w:rsidR="00B23D2C" w:rsidRPr="00B23D2C" w:rsidRDefault="00B23D2C">
      <w:pPr>
        <w:rPr>
          <w:rFonts w:ascii="Times New Roman" w:eastAsia="Times New Roman" w:hAnsi="Times New Roman" w:cs="Times New Roman"/>
          <w:sz w:val="24"/>
          <w:szCs w:val="24"/>
          <w:lang w:val="en-GB"/>
        </w:rPr>
      </w:pPr>
      <w:r w:rsidRPr="00B23D2C">
        <w:rPr>
          <w:rFonts w:ascii="Times New Roman" w:eastAsia="Times New Roman" w:hAnsi="Times New Roman" w:cs="Times New Roman"/>
          <w:sz w:val="24"/>
          <w:szCs w:val="24"/>
          <w:lang w:val="en-GB"/>
        </w:rPr>
        <w:br w:type="page"/>
      </w:r>
    </w:p>
    <w:p w14:paraId="74063256" w14:textId="77777777" w:rsidR="00B23D2C" w:rsidRPr="00B23D2C" w:rsidRDefault="00B23D2C" w:rsidP="00B23D2C">
      <w:pPr>
        <w:pStyle w:val="Heading1"/>
        <w:rPr>
          <w:lang w:val="en-GB"/>
        </w:rPr>
      </w:pPr>
      <w:bookmarkStart w:id="8" w:name="_Toc223782939"/>
      <w:r w:rsidRPr="00B23D2C">
        <w:rPr>
          <w:lang w:val="en-GB"/>
        </w:rPr>
        <w:lastRenderedPageBreak/>
        <w:t>Reference list</w:t>
      </w:r>
      <w:bookmarkEnd w:id="8"/>
    </w:p>
    <w:p w14:paraId="6A9B6F86" w14:textId="77777777" w:rsidR="00B23D2C" w:rsidRPr="00A31A58" w:rsidRDefault="00B23D2C" w:rsidP="00B23D2C">
      <w:pPr>
        <w:spacing w:before="240"/>
        <w:rPr>
          <w:lang w:val="en-GB"/>
        </w:rPr>
      </w:pPr>
      <w:r w:rsidRPr="00A31A58">
        <w:rPr>
          <w:lang w:val="en-GB"/>
        </w:rPr>
        <w:t>Appleby, J. and Dixon, J. (20</w:t>
      </w:r>
      <w:r w:rsidRPr="00B23D2C">
        <w:rPr>
          <w:lang w:val="en-GB"/>
        </w:rPr>
        <w:t>2</w:t>
      </w:r>
      <w:r w:rsidRPr="00A31A58">
        <w:rPr>
          <w:lang w:val="en-GB"/>
        </w:rPr>
        <w:t xml:space="preserve">4) </w:t>
      </w:r>
      <w:r w:rsidRPr="00B23D2C">
        <w:rPr>
          <w:lang w:val="en-GB"/>
        </w:rPr>
        <w:t>‘</w:t>
      </w:r>
      <w:r w:rsidRPr="00A31A58">
        <w:rPr>
          <w:lang w:val="en-GB"/>
        </w:rPr>
        <w:t>Patient choice in the NHS.</w:t>
      </w:r>
      <w:r w:rsidRPr="00B23D2C">
        <w:rPr>
          <w:lang w:val="en-GB"/>
        </w:rPr>
        <w:t>’</w:t>
      </w:r>
      <w:r w:rsidRPr="00A31A58">
        <w:rPr>
          <w:lang w:val="en-GB"/>
        </w:rPr>
        <w:t xml:space="preserve"> </w:t>
      </w:r>
      <w:r w:rsidRPr="00A31A58">
        <w:rPr>
          <w:i/>
          <w:iCs/>
          <w:lang w:val="en-GB"/>
        </w:rPr>
        <w:t>BMJ</w:t>
      </w:r>
      <w:r w:rsidRPr="00A31A58">
        <w:rPr>
          <w:lang w:val="en-GB"/>
        </w:rPr>
        <w:t xml:space="preserve">, [online] 329(7457), pp.61–62. </w:t>
      </w:r>
      <w:r w:rsidRPr="00D837A0">
        <w:rPr>
          <w:lang w:val="en-GB"/>
        </w:rPr>
        <w:t xml:space="preserve">Available at: </w:t>
      </w:r>
      <w:hyperlink r:id="rId10" w:history="1">
        <w:r w:rsidRPr="00A31A58">
          <w:rPr>
            <w:rStyle w:val="Hyperlink"/>
            <w:lang w:val="en-GB"/>
          </w:rPr>
          <w:t>https://doi.org/10.1136/bmj.329.7457.61</w:t>
        </w:r>
      </w:hyperlink>
      <w:r w:rsidRPr="00B23D2C">
        <w:rPr>
          <w:lang w:val="en-GB"/>
        </w:rPr>
        <w:t xml:space="preserve"> </w:t>
      </w:r>
    </w:p>
    <w:p w14:paraId="68124723" w14:textId="77777777" w:rsidR="00B23D2C" w:rsidRPr="003053D6" w:rsidRDefault="00B23D2C" w:rsidP="00B23D2C">
      <w:pPr>
        <w:spacing w:before="240"/>
        <w:rPr>
          <w:lang w:val="en-GB"/>
        </w:rPr>
      </w:pPr>
      <w:r w:rsidRPr="003053D6">
        <w:rPr>
          <w:lang w:val="en-GB"/>
        </w:rPr>
        <w:t xml:space="preserve">Beardon, S., Woodhead, C., Cooper, S., Ingram, E., Genn, H. and Raine, R. (2021) </w:t>
      </w:r>
      <w:r w:rsidRPr="00B23D2C">
        <w:rPr>
          <w:lang w:val="en-GB"/>
        </w:rPr>
        <w:t>‘</w:t>
      </w:r>
      <w:r w:rsidRPr="003053D6">
        <w:rPr>
          <w:lang w:val="en-GB"/>
        </w:rPr>
        <w:t>International Evidence on the Impact of Health-Justice Partnerships: A Systematic Scoping Review.</w:t>
      </w:r>
      <w:r w:rsidRPr="00B23D2C">
        <w:rPr>
          <w:lang w:val="en-GB"/>
        </w:rPr>
        <w:t>’</w:t>
      </w:r>
      <w:r w:rsidRPr="003053D6">
        <w:rPr>
          <w:lang w:val="en-GB"/>
        </w:rPr>
        <w:t xml:space="preserve"> </w:t>
      </w:r>
      <w:r w:rsidRPr="003053D6">
        <w:rPr>
          <w:i/>
          <w:iCs/>
          <w:lang w:val="en-GB"/>
        </w:rPr>
        <w:t>Public Health Reviews</w:t>
      </w:r>
      <w:r w:rsidRPr="003053D6">
        <w:rPr>
          <w:lang w:val="en-GB"/>
        </w:rPr>
        <w:t xml:space="preserve">, 42. </w:t>
      </w:r>
      <w:r w:rsidRPr="00D837A0">
        <w:rPr>
          <w:lang w:val="en-GB"/>
        </w:rPr>
        <w:t xml:space="preserve">Available at: </w:t>
      </w:r>
      <w:hyperlink r:id="rId11" w:history="1">
        <w:r w:rsidRPr="003053D6">
          <w:rPr>
            <w:rStyle w:val="Hyperlink"/>
            <w:lang w:val="en-GB"/>
          </w:rPr>
          <w:t>https://doi.org/10.3389/phrs.2021.1603976</w:t>
        </w:r>
      </w:hyperlink>
      <w:r w:rsidRPr="00B23D2C">
        <w:rPr>
          <w:lang w:val="en-GB"/>
        </w:rPr>
        <w:t xml:space="preserve"> </w:t>
      </w:r>
    </w:p>
    <w:p w14:paraId="203FF34B" w14:textId="77777777" w:rsidR="00B23D2C" w:rsidRPr="00B23D2C" w:rsidRDefault="00B23D2C" w:rsidP="00B23D2C">
      <w:pPr>
        <w:spacing w:before="240"/>
        <w:rPr>
          <w:lang w:val="en-GB"/>
        </w:rPr>
      </w:pPr>
      <w:r w:rsidRPr="00B23D2C">
        <w:rPr>
          <w:lang w:val="en-GB"/>
        </w:rPr>
        <w:t>Berntsen, G. R., Yaron, S., Chetty, M., Canfield, C., Ako-Egbe, L., Phan, P., Curran, C., and Castro, I. (2021) ‘Person-</w:t>
      </w:r>
      <w:proofErr w:type="spellStart"/>
      <w:r w:rsidRPr="00B23D2C">
        <w:rPr>
          <w:lang w:val="en-GB"/>
        </w:rPr>
        <w:t>centered</w:t>
      </w:r>
      <w:proofErr w:type="spellEnd"/>
      <w:r w:rsidRPr="00B23D2C">
        <w:rPr>
          <w:lang w:val="en-GB"/>
        </w:rPr>
        <w:t xml:space="preserve"> care (PCC): the people’s perspective.’ </w:t>
      </w:r>
      <w:r w:rsidRPr="00B23D2C">
        <w:rPr>
          <w:i/>
          <w:iCs/>
          <w:lang w:val="en-GB"/>
        </w:rPr>
        <w:t>International Journal for Quality in Health Care</w:t>
      </w:r>
      <w:r w:rsidRPr="00B23D2C">
        <w:rPr>
          <w:lang w:val="en-GB"/>
        </w:rPr>
        <w:t xml:space="preserve">, </w:t>
      </w:r>
      <w:r w:rsidRPr="00B23D2C">
        <w:rPr>
          <w:i/>
          <w:iCs/>
          <w:lang w:val="en-GB"/>
        </w:rPr>
        <w:t>33</w:t>
      </w:r>
      <w:r w:rsidRPr="00B23D2C">
        <w:rPr>
          <w:lang w:val="en-GB"/>
        </w:rPr>
        <w:t xml:space="preserve">(Supplement_2), 23–26. Available at: </w:t>
      </w:r>
      <w:hyperlink r:id="rId12" w:history="1">
        <w:r w:rsidRPr="00B23D2C">
          <w:rPr>
            <w:rStyle w:val="Hyperlink"/>
            <w:lang w:val="en-GB"/>
          </w:rPr>
          <w:t>https://doi.org/10.1093/intqhc/mzab052</w:t>
        </w:r>
      </w:hyperlink>
      <w:r w:rsidRPr="00B23D2C">
        <w:rPr>
          <w:lang w:val="en-GB"/>
        </w:rPr>
        <w:t xml:space="preserve"> </w:t>
      </w:r>
    </w:p>
    <w:p w14:paraId="50653519" w14:textId="77777777" w:rsidR="00B23D2C" w:rsidRPr="00483A01" w:rsidRDefault="00B23D2C" w:rsidP="00B23D2C">
      <w:pPr>
        <w:spacing w:before="240"/>
        <w:rPr>
          <w:lang w:val="en-GB"/>
        </w:rPr>
      </w:pPr>
      <w:r w:rsidRPr="00483A01">
        <w:rPr>
          <w:lang w:val="en-GB"/>
        </w:rPr>
        <w:t xml:space="preserve">Calanni, J.C., </w:t>
      </w:r>
      <w:proofErr w:type="spellStart"/>
      <w:r w:rsidRPr="00483A01">
        <w:rPr>
          <w:lang w:val="en-GB"/>
        </w:rPr>
        <w:t>Siddiki</w:t>
      </w:r>
      <w:proofErr w:type="spellEnd"/>
      <w:r w:rsidRPr="00483A01">
        <w:rPr>
          <w:lang w:val="en-GB"/>
        </w:rPr>
        <w:t xml:space="preserve">, S.N., Weible, C.M. and Leach, W.D. (2024) </w:t>
      </w:r>
      <w:r w:rsidRPr="00B23D2C">
        <w:rPr>
          <w:lang w:val="en-GB"/>
        </w:rPr>
        <w:t>‘</w:t>
      </w:r>
      <w:r w:rsidRPr="00483A01">
        <w:rPr>
          <w:lang w:val="en-GB"/>
        </w:rPr>
        <w:t>Explaining Coordination in Collaborative Partnerships and Clarifying the Scope of the Belief Homophily Hypothesis.</w:t>
      </w:r>
      <w:r w:rsidRPr="00B23D2C">
        <w:rPr>
          <w:lang w:val="en-GB"/>
        </w:rPr>
        <w:t>’</w:t>
      </w:r>
      <w:r w:rsidRPr="00483A01">
        <w:rPr>
          <w:lang w:val="en-GB"/>
        </w:rPr>
        <w:t xml:space="preserve"> </w:t>
      </w:r>
      <w:r w:rsidRPr="00483A01">
        <w:rPr>
          <w:i/>
          <w:iCs/>
          <w:lang w:val="en-GB"/>
        </w:rPr>
        <w:t>Journal of Public Administration Research and Theory</w:t>
      </w:r>
      <w:r w:rsidRPr="00483A01">
        <w:rPr>
          <w:lang w:val="en-GB"/>
        </w:rPr>
        <w:t xml:space="preserve">, 25(3), pp.901–927. </w:t>
      </w:r>
      <w:r w:rsidRPr="00F34C8F">
        <w:rPr>
          <w:lang w:val="en-GB"/>
        </w:rPr>
        <w:t xml:space="preserve">Available at: </w:t>
      </w:r>
      <w:hyperlink r:id="rId13" w:history="1">
        <w:r w:rsidRPr="00483A01">
          <w:rPr>
            <w:rStyle w:val="Hyperlink"/>
            <w:lang w:val="en-GB"/>
          </w:rPr>
          <w:t>https://doi.org/10.1093/jopart/mut080</w:t>
        </w:r>
      </w:hyperlink>
      <w:r w:rsidRPr="00B23D2C">
        <w:rPr>
          <w:lang w:val="en-GB"/>
        </w:rPr>
        <w:t xml:space="preserve"> </w:t>
      </w:r>
    </w:p>
    <w:p w14:paraId="55B2EA67" w14:textId="77777777" w:rsidR="00B23D2C" w:rsidRPr="0069302E" w:rsidRDefault="00B23D2C" w:rsidP="00B23D2C">
      <w:pPr>
        <w:spacing w:before="240"/>
        <w:rPr>
          <w:lang w:val="en-GB"/>
        </w:rPr>
      </w:pPr>
      <w:r w:rsidRPr="0069302E">
        <w:rPr>
          <w:lang w:val="en-GB"/>
        </w:rPr>
        <w:t xml:space="preserve">Chance, E.A. and Théophile, P. (2025) </w:t>
      </w:r>
      <w:r w:rsidRPr="00B23D2C">
        <w:rPr>
          <w:lang w:val="en-GB"/>
        </w:rPr>
        <w:t>‘</w:t>
      </w:r>
      <w:r w:rsidRPr="0069302E">
        <w:rPr>
          <w:lang w:val="en-GB"/>
        </w:rPr>
        <w:t>Facilitating person-</w:t>
      </w:r>
      <w:proofErr w:type="spellStart"/>
      <w:r w:rsidRPr="0069302E">
        <w:rPr>
          <w:lang w:val="en-GB"/>
        </w:rPr>
        <w:t>centered</w:t>
      </w:r>
      <w:proofErr w:type="spellEnd"/>
      <w:r w:rsidRPr="0069302E">
        <w:rPr>
          <w:lang w:val="en-GB"/>
        </w:rPr>
        <w:t xml:space="preserve"> care in Cameroonian hospitals: A qualitative exploration.</w:t>
      </w:r>
      <w:r w:rsidRPr="00B23D2C">
        <w:rPr>
          <w:lang w:val="en-GB"/>
        </w:rPr>
        <w:t>’</w:t>
      </w:r>
      <w:r w:rsidRPr="0069302E">
        <w:rPr>
          <w:lang w:val="en-GB"/>
        </w:rPr>
        <w:t xml:space="preserve"> </w:t>
      </w:r>
      <w:r w:rsidRPr="0069302E">
        <w:rPr>
          <w:i/>
          <w:iCs/>
          <w:lang w:val="en-GB"/>
        </w:rPr>
        <w:t>Clinical Epidemiology and Global Health</w:t>
      </w:r>
      <w:r w:rsidRPr="0069302E">
        <w:rPr>
          <w:lang w:val="en-GB"/>
        </w:rPr>
        <w:t>, [online] 35, p</w:t>
      </w:r>
      <w:r w:rsidRPr="00B23D2C">
        <w:rPr>
          <w:lang w:val="en-GB"/>
        </w:rPr>
        <w:t>p</w:t>
      </w:r>
      <w:r w:rsidRPr="0069302E">
        <w:rPr>
          <w:lang w:val="en-GB"/>
        </w:rPr>
        <w:t>.102166</w:t>
      </w:r>
      <w:r w:rsidRPr="00B23D2C">
        <w:rPr>
          <w:lang w:val="en-GB"/>
        </w:rPr>
        <w:t>-</w:t>
      </w:r>
      <w:r w:rsidRPr="0069302E">
        <w:rPr>
          <w:lang w:val="en-GB"/>
        </w:rPr>
        <w:t>1021</w:t>
      </w:r>
      <w:r w:rsidRPr="00B23D2C">
        <w:rPr>
          <w:lang w:val="en-GB"/>
        </w:rPr>
        <w:t>70</w:t>
      </w:r>
      <w:r w:rsidRPr="0069302E">
        <w:rPr>
          <w:lang w:val="en-GB"/>
        </w:rPr>
        <w:t xml:space="preserve">. </w:t>
      </w:r>
      <w:r w:rsidRPr="00B23D2C">
        <w:rPr>
          <w:lang w:val="en-GB"/>
        </w:rPr>
        <w:t xml:space="preserve">Available at: </w:t>
      </w:r>
      <w:hyperlink r:id="rId14" w:history="1">
        <w:r w:rsidRPr="0069302E">
          <w:rPr>
            <w:rStyle w:val="Hyperlink"/>
            <w:lang w:val="en-GB"/>
          </w:rPr>
          <w:t>https://doi.org/10.1016/j.cegh.2025.102166</w:t>
        </w:r>
      </w:hyperlink>
      <w:r w:rsidRPr="00B23D2C">
        <w:rPr>
          <w:lang w:val="en-GB"/>
        </w:rPr>
        <w:t xml:space="preserve"> </w:t>
      </w:r>
    </w:p>
    <w:p w14:paraId="4BD767F4" w14:textId="77777777" w:rsidR="00B23D2C" w:rsidRPr="00B23D2C" w:rsidRDefault="00B23D2C" w:rsidP="00B23D2C">
      <w:pPr>
        <w:spacing w:before="240"/>
        <w:rPr>
          <w:lang w:val="en-GB"/>
        </w:rPr>
      </w:pPr>
      <w:proofErr w:type="spellStart"/>
      <w:r w:rsidRPr="006937A3">
        <w:rPr>
          <w:lang w:val="en-GB"/>
        </w:rPr>
        <w:t>Charosaei</w:t>
      </w:r>
      <w:proofErr w:type="spellEnd"/>
      <w:r w:rsidRPr="006937A3">
        <w:rPr>
          <w:lang w:val="en-GB"/>
        </w:rPr>
        <w:t xml:space="preserve">, F., Rostami, S., Esmaeili, M., </w:t>
      </w:r>
      <w:proofErr w:type="spellStart"/>
      <w:r w:rsidRPr="006937A3">
        <w:rPr>
          <w:lang w:val="en-GB"/>
        </w:rPr>
        <w:t>Molavynejad</w:t>
      </w:r>
      <w:proofErr w:type="spellEnd"/>
      <w:r w:rsidRPr="006937A3">
        <w:rPr>
          <w:lang w:val="en-GB"/>
        </w:rPr>
        <w:t xml:space="preserve">, S. and </w:t>
      </w:r>
      <w:proofErr w:type="spellStart"/>
      <w:r w:rsidRPr="006937A3">
        <w:rPr>
          <w:lang w:val="en-GB"/>
        </w:rPr>
        <w:t>Vanaki</w:t>
      </w:r>
      <w:proofErr w:type="spellEnd"/>
      <w:r w:rsidRPr="006937A3">
        <w:rPr>
          <w:lang w:val="en-GB"/>
        </w:rPr>
        <w:t xml:space="preserve">, Z. (2022) </w:t>
      </w:r>
      <w:r w:rsidRPr="00B23D2C">
        <w:rPr>
          <w:lang w:val="en-GB"/>
        </w:rPr>
        <w:t>‘</w:t>
      </w:r>
      <w:r w:rsidRPr="006937A3">
        <w:rPr>
          <w:lang w:val="en-GB"/>
        </w:rPr>
        <w:t>Challenges in Implementation of Patient‐centred Care in Cardiac Care unit: a Qualitative Study.</w:t>
      </w:r>
      <w:r w:rsidRPr="00B23D2C">
        <w:rPr>
          <w:lang w:val="en-GB"/>
        </w:rPr>
        <w:t>’</w:t>
      </w:r>
      <w:r w:rsidRPr="006937A3">
        <w:rPr>
          <w:lang w:val="en-GB"/>
        </w:rPr>
        <w:t xml:space="preserve"> </w:t>
      </w:r>
      <w:r w:rsidRPr="006937A3">
        <w:rPr>
          <w:i/>
          <w:iCs/>
          <w:lang w:val="en-GB"/>
        </w:rPr>
        <w:t>Nursing Open</w:t>
      </w:r>
      <w:r w:rsidRPr="006937A3">
        <w:rPr>
          <w:lang w:val="en-GB"/>
        </w:rPr>
        <w:t xml:space="preserve">, 10(2). </w:t>
      </w:r>
      <w:r w:rsidRPr="00B23D2C">
        <w:rPr>
          <w:lang w:val="en-GB"/>
        </w:rPr>
        <w:t xml:space="preserve">Available at: </w:t>
      </w:r>
      <w:hyperlink r:id="rId15" w:history="1">
        <w:r w:rsidRPr="006937A3">
          <w:rPr>
            <w:rStyle w:val="Hyperlink"/>
            <w:lang w:val="en-GB"/>
          </w:rPr>
          <w:t>https://doi.org/10.1002/nop2.1352</w:t>
        </w:r>
      </w:hyperlink>
      <w:r w:rsidRPr="00B23D2C">
        <w:rPr>
          <w:lang w:val="en-GB"/>
        </w:rPr>
        <w:t xml:space="preserve"> </w:t>
      </w:r>
    </w:p>
    <w:p w14:paraId="21BBE31E" w14:textId="77777777" w:rsidR="00B23D2C" w:rsidRPr="00B23D2C" w:rsidRDefault="00B23D2C" w:rsidP="00B23D2C">
      <w:pPr>
        <w:spacing w:before="240"/>
        <w:rPr>
          <w:lang w:val="en-GB"/>
        </w:rPr>
      </w:pPr>
      <w:r w:rsidRPr="003A73B7">
        <w:rPr>
          <w:lang w:val="en-GB"/>
        </w:rPr>
        <w:t xml:space="preserve">Engle, R.L., Mohr, D.C., Holmes, S.K., Seibert, M.N., Afable, M., Leyson, J. and </w:t>
      </w:r>
      <w:proofErr w:type="spellStart"/>
      <w:r w:rsidRPr="003A73B7">
        <w:rPr>
          <w:lang w:val="en-GB"/>
        </w:rPr>
        <w:t>Meterko</w:t>
      </w:r>
      <w:proofErr w:type="spellEnd"/>
      <w:r w:rsidRPr="003A73B7">
        <w:rPr>
          <w:lang w:val="en-GB"/>
        </w:rPr>
        <w:t xml:space="preserve">, M. (2021) </w:t>
      </w:r>
      <w:r w:rsidRPr="00B23D2C">
        <w:rPr>
          <w:lang w:val="en-GB"/>
        </w:rPr>
        <w:t>‘</w:t>
      </w:r>
      <w:r w:rsidRPr="003A73B7">
        <w:rPr>
          <w:lang w:val="en-GB"/>
        </w:rPr>
        <w:t>Evidence-based Practice and patient-</w:t>
      </w:r>
      <w:proofErr w:type="spellStart"/>
      <w:r w:rsidRPr="003A73B7">
        <w:rPr>
          <w:lang w:val="en-GB"/>
        </w:rPr>
        <w:t>centered</w:t>
      </w:r>
      <w:proofErr w:type="spellEnd"/>
      <w:r w:rsidRPr="003A73B7">
        <w:rPr>
          <w:lang w:val="en-GB"/>
        </w:rPr>
        <w:t xml:space="preserve"> care: Doing Both Well.</w:t>
      </w:r>
      <w:r w:rsidRPr="00B23D2C">
        <w:rPr>
          <w:lang w:val="en-GB"/>
        </w:rPr>
        <w:t>’</w:t>
      </w:r>
      <w:r w:rsidRPr="003A73B7">
        <w:rPr>
          <w:lang w:val="en-GB"/>
        </w:rPr>
        <w:t xml:space="preserve"> </w:t>
      </w:r>
      <w:r w:rsidRPr="003A73B7">
        <w:rPr>
          <w:i/>
          <w:iCs/>
          <w:lang w:val="en-GB"/>
        </w:rPr>
        <w:t>Health Care Management Review</w:t>
      </w:r>
      <w:r w:rsidRPr="003A73B7">
        <w:rPr>
          <w:lang w:val="en-GB"/>
        </w:rPr>
        <w:t xml:space="preserve">, [online] 46(3), pp.174–184. </w:t>
      </w:r>
      <w:r w:rsidRPr="00575F39">
        <w:rPr>
          <w:lang w:val="en-GB"/>
        </w:rPr>
        <w:t xml:space="preserve">Available at: </w:t>
      </w:r>
      <w:hyperlink r:id="rId16" w:history="1">
        <w:r w:rsidRPr="003A73B7">
          <w:rPr>
            <w:rStyle w:val="Hyperlink"/>
            <w:lang w:val="en-GB"/>
          </w:rPr>
          <w:t>https://doi.org/10.1097/HMR.0000000000000254</w:t>
        </w:r>
      </w:hyperlink>
      <w:r w:rsidRPr="00B23D2C">
        <w:rPr>
          <w:lang w:val="en-GB"/>
        </w:rPr>
        <w:t xml:space="preserve"> </w:t>
      </w:r>
    </w:p>
    <w:p w14:paraId="4004C9D2" w14:textId="77777777" w:rsidR="00B23D2C" w:rsidRPr="00451B13" w:rsidRDefault="00B23D2C" w:rsidP="00B23D2C">
      <w:pPr>
        <w:spacing w:before="240"/>
        <w:rPr>
          <w:lang w:val="en-GB"/>
        </w:rPr>
      </w:pPr>
      <w:proofErr w:type="spellStart"/>
      <w:r w:rsidRPr="00451B13">
        <w:rPr>
          <w:lang w:val="en-GB"/>
        </w:rPr>
        <w:t>Equalityhumanrights</w:t>
      </w:r>
      <w:proofErr w:type="spellEnd"/>
      <w:r w:rsidRPr="00451B13">
        <w:rPr>
          <w:lang w:val="en-GB"/>
        </w:rPr>
        <w:t xml:space="preserve"> (2020) </w:t>
      </w:r>
      <w:r w:rsidRPr="00451B13">
        <w:rPr>
          <w:i/>
          <w:iCs/>
          <w:lang w:val="en-GB"/>
        </w:rPr>
        <w:t>The Human Rights Act</w:t>
      </w:r>
      <w:r w:rsidRPr="00451B13">
        <w:rPr>
          <w:lang w:val="en-GB"/>
        </w:rPr>
        <w:t xml:space="preserve">. [online] The Human Rights Act. Available at: </w:t>
      </w:r>
      <w:hyperlink r:id="rId17" w:history="1">
        <w:r w:rsidRPr="00451B13">
          <w:rPr>
            <w:rStyle w:val="Hyperlink"/>
            <w:lang w:val="en-GB"/>
          </w:rPr>
          <w:t>https://www.equalityhumanrights.com/human-rights/human-rights-act</w:t>
        </w:r>
      </w:hyperlink>
      <w:r w:rsidRPr="00B23D2C">
        <w:rPr>
          <w:lang w:val="en-GB"/>
        </w:rPr>
        <w:t xml:space="preserve"> </w:t>
      </w:r>
      <w:r w:rsidRPr="00D837A0">
        <w:rPr>
          <w:lang w:val="en-GB"/>
        </w:rPr>
        <w:t>[Accessed 7 Mar</w:t>
      </w:r>
      <w:r w:rsidRPr="00B23D2C">
        <w:rPr>
          <w:lang w:val="en-GB"/>
        </w:rPr>
        <w:t>ch</w:t>
      </w:r>
      <w:r w:rsidRPr="00D837A0">
        <w:rPr>
          <w:lang w:val="en-GB"/>
        </w:rPr>
        <w:t xml:space="preserve"> 2026]</w:t>
      </w:r>
    </w:p>
    <w:p w14:paraId="12BF418D" w14:textId="77777777" w:rsidR="00B23D2C" w:rsidRPr="007F122E" w:rsidRDefault="00B23D2C" w:rsidP="00B23D2C">
      <w:pPr>
        <w:spacing w:before="240"/>
        <w:rPr>
          <w:lang w:val="en-GB"/>
        </w:rPr>
      </w:pPr>
      <w:r w:rsidRPr="007F122E">
        <w:rPr>
          <w:lang w:val="en-GB"/>
        </w:rPr>
        <w:lastRenderedPageBreak/>
        <w:t xml:space="preserve">Gov.uk (2020) </w:t>
      </w:r>
      <w:r w:rsidRPr="007F122E">
        <w:rPr>
          <w:i/>
          <w:iCs/>
          <w:lang w:val="en-GB"/>
        </w:rPr>
        <w:t>Care Act Factsheets</w:t>
      </w:r>
      <w:r w:rsidRPr="007F122E">
        <w:rPr>
          <w:lang w:val="en-GB"/>
        </w:rPr>
        <w:t xml:space="preserve">. [online] GOV.UK. Available at: </w:t>
      </w:r>
      <w:hyperlink r:id="rId18" w:history="1">
        <w:r w:rsidRPr="007F122E">
          <w:rPr>
            <w:rStyle w:val="Hyperlink"/>
            <w:lang w:val="en-GB"/>
          </w:rPr>
          <w:t>https://www.gov.uk/government/publications/care-act-2014-part-1-factsheets/care-act-factsheets</w:t>
        </w:r>
      </w:hyperlink>
      <w:r w:rsidRPr="00B23D2C">
        <w:rPr>
          <w:lang w:val="en-GB"/>
        </w:rPr>
        <w:t xml:space="preserve"> </w:t>
      </w:r>
      <w:r w:rsidRPr="00D837A0">
        <w:rPr>
          <w:lang w:val="en-GB"/>
        </w:rPr>
        <w:t>[Accessed 7 Mar</w:t>
      </w:r>
      <w:r w:rsidRPr="00B23D2C">
        <w:rPr>
          <w:lang w:val="en-GB"/>
        </w:rPr>
        <w:t>ch</w:t>
      </w:r>
      <w:r w:rsidRPr="00D837A0">
        <w:rPr>
          <w:lang w:val="en-GB"/>
        </w:rPr>
        <w:t xml:space="preserve"> 2026]</w:t>
      </w:r>
    </w:p>
    <w:p w14:paraId="4E4283E8" w14:textId="77777777" w:rsidR="00B23D2C" w:rsidRPr="00575F39" w:rsidRDefault="00B23D2C" w:rsidP="00B23D2C">
      <w:pPr>
        <w:spacing w:before="240"/>
        <w:rPr>
          <w:lang w:val="en-GB"/>
        </w:rPr>
      </w:pPr>
      <w:r w:rsidRPr="00575F39">
        <w:rPr>
          <w:lang w:val="en-GB"/>
        </w:rPr>
        <w:t xml:space="preserve">GOV.UK (2023) </w:t>
      </w:r>
      <w:r w:rsidRPr="00575F39">
        <w:rPr>
          <w:i/>
          <w:iCs/>
          <w:lang w:val="en-GB"/>
        </w:rPr>
        <w:t>Equality Act 2010</w:t>
      </w:r>
      <w:r w:rsidRPr="00575F39">
        <w:rPr>
          <w:lang w:val="en-GB"/>
        </w:rPr>
        <w:t xml:space="preserve">. [online] GOV.UK. Available at: </w:t>
      </w:r>
      <w:hyperlink r:id="rId19" w:history="1">
        <w:r w:rsidRPr="00575F39">
          <w:rPr>
            <w:rStyle w:val="Hyperlink"/>
            <w:lang w:val="en-GB"/>
          </w:rPr>
          <w:t>https://www.gov.uk/guidance/equality-act-2010-guidance</w:t>
        </w:r>
      </w:hyperlink>
      <w:r w:rsidRPr="00B23D2C">
        <w:rPr>
          <w:lang w:val="en-GB"/>
        </w:rPr>
        <w:t xml:space="preserve"> </w:t>
      </w:r>
      <w:r w:rsidRPr="00D837A0">
        <w:rPr>
          <w:lang w:val="en-GB"/>
        </w:rPr>
        <w:t>[Accessed 7 Mar</w:t>
      </w:r>
      <w:r w:rsidRPr="00B23D2C">
        <w:rPr>
          <w:lang w:val="en-GB"/>
        </w:rPr>
        <w:t>ch</w:t>
      </w:r>
      <w:r w:rsidRPr="00D837A0">
        <w:rPr>
          <w:lang w:val="en-GB"/>
        </w:rPr>
        <w:t xml:space="preserve"> 2026]</w:t>
      </w:r>
    </w:p>
    <w:p w14:paraId="68CB3245" w14:textId="77777777" w:rsidR="00B23D2C" w:rsidRPr="00034DBB" w:rsidRDefault="00B23D2C" w:rsidP="00B23D2C">
      <w:pPr>
        <w:spacing w:before="240"/>
        <w:rPr>
          <w:lang w:val="en-GB"/>
        </w:rPr>
      </w:pPr>
      <w:r w:rsidRPr="00034DBB">
        <w:rPr>
          <w:lang w:val="en-GB"/>
        </w:rPr>
        <w:t xml:space="preserve">Haleem, A., Javaid, M., Singh, R. and Suman, R. (2021) </w:t>
      </w:r>
      <w:r w:rsidRPr="00B23D2C">
        <w:rPr>
          <w:lang w:val="en-GB"/>
        </w:rPr>
        <w:t>‘</w:t>
      </w:r>
      <w:r w:rsidRPr="00034DBB">
        <w:rPr>
          <w:lang w:val="en-GB"/>
        </w:rPr>
        <w:t>Telemedicine for healthcare: Capabilities, features, barriers, and Applications.</w:t>
      </w:r>
      <w:r w:rsidRPr="00B23D2C">
        <w:rPr>
          <w:lang w:val="en-GB"/>
        </w:rPr>
        <w:t>’</w:t>
      </w:r>
      <w:r w:rsidRPr="00034DBB">
        <w:rPr>
          <w:lang w:val="en-GB"/>
        </w:rPr>
        <w:t xml:space="preserve"> </w:t>
      </w:r>
      <w:r w:rsidRPr="00034DBB">
        <w:rPr>
          <w:i/>
          <w:iCs/>
          <w:lang w:val="en-GB"/>
        </w:rPr>
        <w:t>Sensors International</w:t>
      </w:r>
      <w:r w:rsidRPr="00034DBB">
        <w:rPr>
          <w:lang w:val="en-GB"/>
        </w:rPr>
        <w:t>, 2(2), pp.100–117.</w:t>
      </w:r>
      <w:r w:rsidRPr="00B23D2C">
        <w:rPr>
          <w:lang w:val="en-GB"/>
        </w:rPr>
        <w:t xml:space="preserve"> </w:t>
      </w:r>
      <w:r w:rsidRPr="00575F39">
        <w:rPr>
          <w:lang w:val="en-GB"/>
        </w:rPr>
        <w:t xml:space="preserve">Available at: </w:t>
      </w:r>
      <w:hyperlink r:id="rId20" w:history="1">
        <w:r w:rsidRPr="00B23D2C">
          <w:rPr>
            <w:rStyle w:val="Hyperlink"/>
            <w:lang w:val="en-GB"/>
          </w:rPr>
          <w:t>https://doi.org/10.1016/j.sintl.2021.100117</w:t>
        </w:r>
      </w:hyperlink>
      <w:r w:rsidRPr="00B23D2C">
        <w:rPr>
          <w:lang w:val="en-GB"/>
        </w:rPr>
        <w:t xml:space="preserve"> </w:t>
      </w:r>
    </w:p>
    <w:p w14:paraId="56547CD9" w14:textId="77777777" w:rsidR="00B23D2C" w:rsidRPr="00D837A0" w:rsidRDefault="00B23D2C" w:rsidP="00B23D2C">
      <w:pPr>
        <w:spacing w:before="240"/>
        <w:rPr>
          <w:lang w:val="en-GB"/>
        </w:rPr>
      </w:pPr>
      <w:proofErr w:type="spellStart"/>
      <w:r w:rsidRPr="00D837A0">
        <w:rPr>
          <w:lang w:val="en-GB"/>
        </w:rPr>
        <w:t>Hcahealthcare</w:t>
      </w:r>
      <w:proofErr w:type="spellEnd"/>
      <w:r w:rsidRPr="00D837A0">
        <w:rPr>
          <w:lang w:val="en-GB"/>
        </w:rPr>
        <w:t xml:space="preserve"> (2025) </w:t>
      </w:r>
      <w:r w:rsidRPr="00D837A0">
        <w:rPr>
          <w:i/>
          <w:iCs/>
          <w:lang w:val="en-GB"/>
        </w:rPr>
        <w:t>Rehabilitation after surgery</w:t>
      </w:r>
      <w:r w:rsidRPr="00D837A0">
        <w:rPr>
          <w:lang w:val="en-GB"/>
        </w:rPr>
        <w:t xml:space="preserve">. [online] Hcahealthcare.co.uk. Available at: </w:t>
      </w:r>
      <w:hyperlink r:id="rId21" w:history="1">
        <w:r w:rsidRPr="00D837A0">
          <w:rPr>
            <w:rStyle w:val="Hyperlink"/>
            <w:lang w:val="en-GB"/>
          </w:rPr>
          <w:t>https://www.hcahealthcare.co.uk/services/treatments/enhanced-recovery-programme-rehabilitation</w:t>
        </w:r>
      </w:hyperlink>
      <w:r w:rsidRPr="00B23D2C">
        <w:rPr>
          <w:lang w:val="en-GB"/>
        </w:rPr>
        <w:t xml:space="preserve"> </w:t>
      </w:r>
      <w:r w:rsidRPr="00D837A0">
        <w:rPr>
          <w:lang w:val="en-GB"/>
        </w:rPr>
        <w:t>[Accessed 7 Mar</w:t>
      </w:r>
      <w:r w:rsidRPr="00B23D2C">
        <w:rPr>
          <w:lang w:val="en-GB"/>
        </w:rPr>
        <w:t>ch</w:t>
      </w:r>
      <w:r w:rsidRPr="00D837A0">
        <w:rPr>
          <w:lang w:val="en-GB"/>
        </w:rPr>
        <w:t xml:space="preserve"> 2026]</w:t>
      </w:r>
    </w:p>
    <w:p w14:paraId="02466D5F" w14:textId="77777777" w:rsidR="00B23D2C" w:rsidRPr="00B23D2C" w:rsidRDefault="00B23D2C" w:rsidP="00B23D2C">
      <w:pPr>
        <w:spacing w:before="240"/>
        <w:rPr>
          <w:lang w:val="en-GB"/>
        </w:rPr>
      </w:pPr>
      <w:r w:rsidRPr="00B23D2C">
        <w:rPr>
          <w:lang w:val="en-GB"/>
        </w:rPr>
        <w:t xml:space="preserve">Hcahealthcare.co.uk (2024) </w:t>
      </w:r>
      <w:r w:rsidRPr="00B23D2C">
        <w:rPr>
          <w:i/>
          <w:iCs/>
          <w:lang w:val="en-GB"/>
        </w:rPr>
        <w:t>The Wellington Hospital | Providing Specialist Complex Care</w:t>
      </w:r>
      <w:r w:rsidRPr="00B23D2C">
        <w:rPr>
          <w:lang w:val="en-GB"/>
        </w:rPr>
        <w:t xml:space="preserve">. [online] Hcahealthcare.co.uk. Available at: </w:t>
      </w:r>
      <w:hyperlink r:id="rId22" w:history="1">
        <w:r w:rsidRPr="00B23D2C">
          <w:rPr>
            <w:rStyle w:val="Hyperlink"/>
            <w:lang w:val="en-GB"/>
          </w:rPr>
          <w:t>https://www.hcahealthcare.co.uk/locations/hospitals/the-wellington-hospital</w:t>
        </w:r>
      </w:hyperlink>
      <w:r w:rsidRPr="00B23D2C">
        <w:rPr>
          <w:lang w:val="en-GB"/>
        </w:rPr>
        <w:t xml:space="preserve"> [Accessed 7 March 2026]</w:t>
      </w:r>
    </w:p>
    <w:p w14:paraId="62DE9580" w14:textId="77777777" w:rsidR="00B23D2C" w:rsidRPr="001B7D5E" w:rsidRDefault="00B23D2C" w:rsidP="00B23D2C">
      <w:pPr>
        <w:spacing w:before="240"/>
        <w:rPr>
          <w:lang w:val="en-GB"/>
        </w:rPr>
      </w:pPr>
      <w:r w:rsidRPr="001B7D5E">
        <w:rPr>
          <w:lang w:val="en-GB"/>
        </w:rPr>
        <w:t xml:space="preserve">Joseph, S. (2021) </w:t>
      </w:r>
      <w:r w:rsidRPr="00B23D2C">
        <w:rPr>
          <w:lang w:val="en-GB"/>
        </w:rPr>
        <w:t>‘</w:t>
      </w:r>
      <w:r w:rsidRPr="001B7D5E">
        <w:rPr>
          <w:lang w:val="en-GB"/>
        </w:rPr>
        <w:t>How Humanistic Is Positive Psychology? Lessons in Positive Psychology from Carl Rogers’ Person-</w:t>
      </w:r>
      <w:proofErr w:type="spellStart"/>
      <w:r w:rsidRPr="001B7D5E">
        <w:rPr>
          <w:lang w:val="en-GB"/>
        </w:rPr>
        <w:t>Centered</w:t>
      </w:r>
      <w:proofErr w:type="spellEnd"/>
      <w:r w:rsidRPr="001B7D5E">
        <w:rPr>
          <w:lang w:val="en-GB"/>
        </w:rPr>
        <w:t xml:space="preserve"> Approach—It’s the Social Environment That Must Change.</w:t>
      </w:r>
      <w:r w:rsidRPr="00B23D2C">
        <w:rPr>
          <w:lang w:val="en-GB"/>
        </w:rPr>
        <w:t>’</w:t>
      </w:r>
      <w:r w:rsidRPr="001B7D5E">
        <w:rPr>
          <w:lang w:val="en-GB"/>
        </w:rPr>
        <w:t xml:space="preserve"> </w:t>
      </w:r>
      <w:r w:rsidRPr="001B7D5E">
        <w:rPr>
          <w:i/>
          <w:iCs/>
          <w:lang w:val="en-GB"/>
        </w:rPr>
        <w:t>Frontiers in Psychology</w:t>
      </w:r>
      <w:r w:rsidRPr="001B7D5E">
        <w:rPr>
          <w:lang w:val="en-GB"/>
        </w:rPr>
        <w:t xml:space="preserve">, [online] 12(12), pp.1–10. </w:t>
      </w:r>
      <w:r w:rsidRPr="00B23D2C">
        <w:rPr>
          <w:lang w:val="en-GB"/>
        </w:rPr>
        <w:t xml:space="preserve">Available at: </w:t>
      </w:r>
      <w:hyperlink r:id="rId23" w:history="1">
        <w:r w:rsidRPr="001B7D5E">
          <w:rPr>
            <w:rStyle w:val="Hyperlink"/>
            <w:lang w:val="en-GB"/>
          </w:rPr>
          <w:t>https://doi.org/10.3389/fpsyg.2021.709789</w:t>
        </w:r>
      </w:hyperlink>
      <w:r w:rsidRPr="00B23D2C">
        <w:rPr>
          <w:lang w:val="en-GB"/>
        </w:rPr>
        <w:t xml:space="preserve"> </w:t>
      </w:r>
    </w:p>
    <w:p w14:paraId="101A2DFD" w14:textId="77777777" w:rsidR="00B23D2C" w:rsidRPr="00BD4346" w:rsidRDefault="00B23D2C" w:rsidP="00B23D2C">
      <w:pPr>
        <w:spacing w:before="240"/>
        <w:rPr>
          <w:lang w:val="en-GB"/>
        </w:rPr>
      </w:pPr>
      <w:r w:rsidRPr="00BD4346">
        <w:rPr>
          <w:lang w:val="en-GB"/>
        </w:rPr>
        <w:t xml:space="preserve">Korylchuk, N., </w:t>
      </w:r>
      <w:proofErr w:type="spellStart"/>
      <w:r w:rsidRPr="00BD4346">
        <w:rPr>
          <w:lang w:val="en-GB"/>
        </w:rPr>
        <w:t>Pelykh</w:t>
      </w:r>
      <w:proofErr w:type="spellEnd"/>
      <w:r w:rsidRPr="00BD4346">
        <w:rPr>
          <w:lang w:val="en-GB"/>
        </w:rPr>
        <w:t xml:space="preserve">, V., Nemyrovych, Y., Didyk, N. and </w:t>
      </w:r>
      <w:proofErr w:type="spellStart"/>
      <w:r w:rsidRPr="00BD4346">
        <w:rPr>
          <w:lang w:val="en-GB"/>
        </w:rPr>
        <w:t>Martsyniak</w:t>
      </w:r>
      <w:proofErr w:type="spellEnd"/>
      <w:r w:rsidRPr="00BD4346">
        <w:rPr>
          <w:lang w:val="en-GB"/>
        </w:rPr>
        <w:t xml:space="preserve">, S. (2024) </w:t>
      </w:r>
      <w:r w:rsidRPr="00B23D2C">
        <w:rPr>
          <w:lang w:val="en-GB"/>
        </w:rPr>
        <w:t>‘</w:t>
      </w:r>
      <w:r w:rsidRPr="00BD4346">
        <w:rPr>
          <w:lang w:val="en-GB"/>
        </w:rPr>
        <w:t>Challenges and Benefits of a Multidisciplinary Approach to Treatment in Clinical Medicine.</w:t>
      </w:r>
      <w:r w:rsidRPr="00B23D2C">
        <w:rPr>
          <w:lang w:val="en-GB"/>
        </w:rPr>
        <w:t>’</w:t>
      </w:r>
      <w:r w:rsidRPr="00BD4346">
        <w:rPr>
          <w:lang w:val="en-GB"/>
        </w:rPr>
        <w:t xml:space="preserve"> </w:t>
      </w:r>
      <w:r w:rsidRPr="00BD4346">
        <w:rPr>
          <w:i/>
          <w:iCs/>
          <w:lang w:val="en-GB"/>
        </w:rPr>
        <w:t>Journal of pioneering medical sciences</w:t>
      </w:r>
      <w:r w:rsidRPr="00BD4346">
        <w:rPr>
          <w:lang w:val="en-GB"/>
        </w:rPr>
        <w:t xml:space="preserve">, [online] 13(3), pp.1–9. </w:t>
      </w:r>
      <w:r w:rsidRPr="00F34C8F">
        <w:rPr>
          <w:lang w:val="en-GB"/>
        </w:rPr>
        <w:t xml:space="preserve">Available at: </w:t>
      </w:r>
      <w:hyperlink r:id="rId24" w:history="1">
        <w:r w:rsidRPr="00BD4346">
          <w:rPr>
            <w:rStyle w:val="Hyperlink"/>
            <w:lang w:val="en-GB"/>
          </w:rPr>
          <w:t>https://doi.org/10.61091/jpms202413301</w:t>
        </w:r>
      </w:hyperlink>
      <w:r w:rsidRPr="00B23D2C">
        <w:rPr>
          <w:lang w:val="en-GB"/>
        </w:rPr>
        <w:t xml:space="preserve"> </w:t>
      </w:r>
    </w:p>
    <w:p w14:paraId="57630F43" w14:textId="77777777" w:rsidR="00B23D2C" w:rsidRPr="00E94E65" w:rsidRDefault="00B23D2C" w:rsidP="00B23D2C">
      <w:pPr>
        <w:spacing w:before="240"/>
        <w:rPr>
          <w:lang w:val="en-GB"/>
        </w:rPr>
      </w:pPr>
      <w:r w:rsidRPr="00E94E65">
        <w:rPr>
          <w:lang w:val="en-GB"/>
        </w:rPr>
        <w:t>Kozlowska, O., Lumb, A., Tan, G.D. and Rea, R. (20</w:t>
      </w:r>
      <w:r w:rsidRPr="00B23D2C">
        <w:rPr>
          <w:lang w:val="en-GB"/>
        </w:rPr>
        <w:t>20</w:t>
      </w:r>
      <w:r w:rsidRPr="00E94E65">
        <w:rPr>
          <w:lang w:val="en-GB"/>
        </w:rPr>
        <w:t xml:space="preserve">) </w:t>
      </w:r>
      <w:r w:rsidRPr="00B23D2C">
        <w:rPr>
          <w:lang w:val="en-GB"/>
        </w:rPr>
        <w:t>‘</w:t>
      </w:r>
      <w:r w:rsidRPr="00E94E65">
        <w:rPr>
          <w:lang w:val="en-GB"/>
        </w:rPr>
        <w:t xml:space="preserve">Barriers and Facilitators to Integrating Primary and Specialist Healthcare in the United Kingdom: </w:t>
      </w:r>
      <w:proofErr w:type="gramStart"/>
      <w:r w:rsidRPr="00E94E65">
        <w:rPr>
          <w:lang w:val="en-GB"/>
        </w:rPr>
        <w:t>a</w:t>
      </w:r>
      <w:proofErr w:type="gramEnd"/>
      <w:r w:rsidRPr="00E94E65">
        <w:rPr>
          <w:lang w:val="en-GB"/>
        </w:rPr>
        <w:t xml:space="preserve"> Narrative Literature Review.</w:t>
      </w:r>
      <w:r w:rsidRPr="00B23D2C">
        <w:rPr>
          <w:lang w:val="en-GB"/>
        </w:rPr>
        <w:t>’</w:t>
      </w:r>
      <w:r w:rsidRPr="00E94E65">
        <w:rPr>
          <w:lang w:val="en-GB"/>
        </w:rPr>
        <w:t xml:space="preserve"> </w:t>
      </w:r>
      <w:r w:rsidRPr="00E94E65">
        <w:rPr>
          <w:i/>
          <w:iCs/>
          <w:lang w:val="en-GB"/>
        </w:rPr>
        <w:t>Future Healthcare Journal</w:t>
      </w:r>
      <w:r w:rsidRPr="00E94E65">
        <w:rPr>
          <w:lang w:val="en-GB"/>
        </w:rPr>
        <w:t xml:space="preserve">, [online] 5(1), pp.64–80. </w:t>
      </w:r>
      <w:r w:rsidRPr="00B23D2C">
        <w:rPr>
          <w:lang w:val="en-GB"/>
        </w:rPr>
        <w:t xml:space="preserve">Available at: </w:t>
      </w:r>
      <w:hyperlink r:id="rId25" w:history="1">
        <w:r w:rsidRPr="00E94E65">
          <w:rPr>
            <w:rStyle w:val="Hyperlink"/>
            <w:lang w:val="en-GB"/>
          </w:rPr>
          <w:t>https://doi.org/10.7861/futurehosp.5-1-64</w:t>
        </w:r>
      </w:hyperlink>
      <w:r w:rsidRPr="00B23D2C">
        <w:rPr>
          <w:lang w:val="en-GB"/>
        </w:rPr>
        <w:t xml:space="preserve"> </w:t>
      </w:r>
    </w:p>
    <w:p w14:paraId="0E4D5AB4" w14:textId="77777777" w:rsidR="00B23D2C" w:rsidRPr="00AE4F87" w:rsidRDefault="00B23D2C" w:rsidP="00B23D2C">
      <w:pPr>
        <w:spacing w:before="240"/>
        <w:rPr>
          <w:lang w:val="en-GB"/>
        </w:rPr>
      </w:pPr>
      <w:r w:rsidRPr="00AE4F87">
        <w:rPr>
          <w:lang w:val="en-GB"/>
        </w:rPr>
        <w:t>Legislation.gov.uk (20</w:t>
      </w:r>
      <w:r w:rsidRPr="00B23D2C">
        <w:rPr>
          <w:lang w:val="en-GB"/>
        </w:rPr>
        <w:t>2</w:t>
      </w:r>
      <w:r w:rsidRPr="00AE4F87">
        <w:rPr>
          <w:lang w:val="en-GB"/>
        </w:rPr>
        <w:t xml:space="preserve">2) </w:t>
      </w:r>
      <w:r w:rsidRPr="00AE4F87">
        <w:rPr>
          <w:i/>
          <w:iCs/>
          <w:lang w:val="en-GB"/>
        </w:rPr>
        <w:t>Health and Social Care Act 2012</w:t>
      </w:r>
      <w:r w:rsidRPr="00AE4F87">
        <w:rPr>
          <w:lang w:val="en-GB"/>
        </w:rPr>
        <w:t xml:space="preserve">. [online] legislation.gov.uk. Available at: </w:t>
      </w:r>
      <w:hyperlink r:id="rId26" w:history="1">
        <w:r w:rsidRPr="00AE4F87">
          <w:rPr>
            <w:rStyle w:val="Hyperlink"/>
            <w:lang w:val="en-GB"/>
          </w:rPr>
          <w:t>https://www.legislation.gov.uk/ukpga/2012/7/contents</w:t>
        </w:r>
      </w:hyperlink>
      <w:r w:rsidRPr="00B23D2C">
        <w:rPr>
          <w:lang w:val="en-GB"/>
        </w:rPr>
        <w:t xml:space="preserve"> </w:t>
      </w:r>
      <w:r w:rsidRPr="00D837A0">
        <w:rPr>
          <w:lang w:val="en-GB"/>
        </w:rPr>
        <w:t>[Accessed 7 Mar</w:t>
      </w:r>
      <w:r w:rsidRPr="00B23D2C">
        <w:rPr>
          <w:lang w:val="en-GB"/>
        </w:rPr>
        <w:t>ch</w:t>
      </w:r>
      <w:r w:rsidRPr="00D837A0">
        <w:rPr>
          <w:lang w:val="en-GB"/>
        </w:rPr>
        <w:t xml:space="preserve"> 2026]</w:t>
      </w:r>
    </w:p>
    <w:p w14:paraId="489D6B4E" w14:textId="77777777" w:rsidR="00B23D2C" w:rsidRPr="00A13386" w:rsidRDefault="00B23D2C" w:rsidP="00B23D2C">
      <w:pPr>
        <w:spacing w:before="240"/>
        <w:rPr>
          <w:lang w:val="en-GB"/>
        </w:rPr>
      </w:pPr>
      <w:r w:rsidRPr="00A13386">
        <w:rPr>
          <w:lang w:val="en-GB"/>
        </w:rPr>
        <w:lastRenderedPageBreak/>
        <w:t xml:space="preserve">Murali, K.P., Carpenter, J.G., Kolanowski, A. and </w:t>
      </w:r>
      <w:proofErr w:type="spellStart"/>
      <w:r w:rsidRPr="00A13386">
        <w:rPr>
          <w:lang w:val="en-GB"/>
        </w:rPr>
        <w:t>Bykovskyi</w:t>
      </w:r>
      <w:proofErr w:type="spellEnd"/>
      <w:r w:rsidRPr="00A13386">
        <w:rPr>
          <w:lang w:val="en-GB"/>
        </w:rPr>
        <w:t xml:space="preserve">, A.G. (2025) </w:t>
      </w:r>
      <w:r w:rsidRPr="00B23D2C">
        <w:rPr>
          <w:lang w:val="en-GB"/>
        </w:rPr>
        <w:t>‘</w:t>
      </w:r>
      <w:r w:rsidRPr="00A13386">
        <w:rPr>
          <w:lang w:val="en-GB"/>
        </w:rPr>
        <w:t>Comprehensive Dementia Care Models: State of the Science and Future Directions.</w:t>
      </w:r>
      <w:r w:rsidRPr="00B23D2C">
        <w:rPr>
          <w:lang w:val="en-GB"/>
        </w:rPr>
        <w:t>’</w:t>
      </w:r>
      <w:r w:rsidRPr="00A13386">
        <w:rPr>
          <w:lang w:val="en-GB"/>
        </w:rPr>
        <w:t xml:space="preserve"> </w:t>
      </w:r>
      <w:r w:rsidRPr="00A13386">
        <w:rPr>
          <w:i/>
          <w:iCs/>
          <w:lang w:val="en-GB"/>
        </w:rPr>
        <w:t>Research in Gerontological Nursing</w:t>
      </w:r>
      <w:r w:rsidRPr="00A13386">
        <w:rPr>
          <w:lang w:val="en-GB"/>
        </w:rPr>
        <w:t xml:space="preserve">, 18(1), pp.7–16. </w:t>
      </w:r>
      <w:r w:rsidRPr="00D837A0">
        <w:rPr>
          <w:lang w:val="en-GB"/>
        </w:rPr>
        <w:t xml:space="preserve">Available at: </w:t>
      </w:r>
      <w:hyperlink r:id="rId27" w:history="1">
        <w:r w:rsidRPr="00A13386">
          <w:rPr>
            <w:rStyle w:val="Hyperlink"/>
            <w:lang w:val="en-GB"/>
          </w:rPr>
          <w:t>https://doi.org/10.3928/19404921-20241211-02</w:t>
        </w:r>
      </w:hyperlink>
      <w:r w:rsidRPr="00B23D2C">
        <w:rPr>
          <w:lang w:val="en-GB"/>
        </w:rPr>
        <w:t xml:space="preserve"> </w:t>
      </w:r>
    </w:p>
    <w:p w14:paraId="5A2A66DA" w14:textId="77777777" w:rsidR="00B23D2C" w:rsidRPr="00F34C8F" w:rsidRDefault="00B23D2C" w:rsidP="00B23D2C">
      <w:pPr>
        <w:spacing w:before="240"/>
        <w:rPr>
          <w:lang w:val="en-GB"/>
        </w:rPr>
      </w:pPr>
      <w:r w:rsidRPr="00F34C8F">
        <w:rPr>
          <w:lang w:val="en-GB"/>
        </w:rPr>
        <w:t xml:space="preserve">NHS England (2022) </w:t>
      </w:r>
      <w:r w:rsidRPr="00F34C8F">
        <w:rPr>
          <w:i/>
          <w:iCs/>
          <w:lang w:val="en-GB"/>
        </w:rPr>
        <w:t>What Are Integrated Care systems?</w:t>
      </w:r>
      <w:r w:rsidRPr="00F34C8F">
        <w:rPr>
          <w:lang w:val="en-GB"/>
        </w:rPr>
        <w:t xml:space="preserve"> [online] NHS England. Available at: </w:t>
      </w:r>
      <w:hyperlink r:id="rId28" w:history="1">
        <w:r w:rsidRPr="00F34C8F">
          <w:rPr>
            <w:rStyle w:val="Hyperlink"/>
            <w:lang w:val="en-GB"/>
          </w:rPr>
          <w:t>https://www.england.nhs.uk/integratedcare/what-is-integrated-care/</w:t>
        </w:r>
      </w:hyperlink>
      <w:r w:rsidRPr="00B23D2C">
        <w:rPr>
          <w:lang w:val="en-GB"/>
        </w:rPr>
        <w:t xml:space="preserve"> </w:t>
      </w:r>
      <w:r w:rsidRPr="00D837A0">
        <w:rPr>
          <w:lang w:val="en-GB"/>
        </w:rPr>
        <w:t>[Accessed 7 Mar</w:t>
      </w:r>
      <w:r w:rsidRPr="00B23D2C">
        <w:rPr>
          <w:lang w:val="en-GB"/>
        </w:rPr>
        <w:t>ch</w:t>
      </w:r>
      <w:r w:rsidRPr="00D837A0">
        <w:rPr>
          <w:lang w:val="en-GB"/>
        </w:rPr>
        <w:t xml:space="preserve"> 2026]</w:t>
      </w:r>
    </w:p>
    <w:p w14:paraId="27B89908" w14:textId="77777777" w:rsidR="00B23D2C" w:rsidRPr="00BB5373" w:rsidRDefault="00B23D2C" w:rsidP="00B23D2C">
      <w:pPr>
        <w:spacing w:before="240"/>
        <w:rPr>
          <w:lang w:val="en-GB"/>
        </w:rPr>
      </w:pPr>
      <w:r w:rsidRPr="00BB5373">
        <w:rPr>
          <w:lang w:val="en-GB"/>
        </w:rPr>
        <w:t xml:space="preserve">Nkhoma, K.B., Cook, A., Giusti, A., Farrant, L., Petrus, R., Petersen, I., Gwyther, L., </w:t>
      </w:r>
      <w:proofErr w:type="spellStart"/>
      <w:r w:rsidRPr="00BB5373">
        <w:rPr>
          <w:lang w:val="en-GB"/>
        </w:rPr>
        <w:t>Venkatapuram</w:t>
      </w:r>
      <w:proofErr w:type="spellEnd"/>
      <w:r w:rsidRPr="00BB5373">
        <w:rPr>
          <w:lang w:val="en-GB"/>
        </w:rPr>
        <w:t xml:space="preserve">, S. and Harding, R. (2022) </w:t>
      </w:r>
      <w:r w:rsidRPr="00B23D2C">
        <w:rPr>
          <w:lang w:val="en-GB"/>
        </w:rPr>
        <w:t>‘</w:t>
      </w:r>
      <w:r w:rsidRPr="00BB5373">
        <w:rPr>
          <w:lang w:val="en-GB"/>
        </w:rPr>
        <w:t>A systematic review of impact of person-centred interventions for serious physical illness in terms of outcomes and costs.</w:t>
      </w:r>
      <w:r w:rsidRPr="00B23D2C">
        <w:rPr>
          <w:lang w:val="en-GB"/>
        </w:rPr>
        <w:t>’</w:t>
      </w:r>
      <w:r w:rsidRPr="00BB5373">
        <w:rPr>
          <w:lang w:val="en-GB"/>
        </w:rPr>
        <w:t xml:space="preserve"> </w:t>
      </w:r>
      <w:r w:rsidRPr="00BB5373">
        <w:rPr>
          <w:i/>
          <w:iCs/>
          <w:lang w:val="en-GB"/>
        </w:rPr>
        <w:t>BMJ Open</w:t>
      </w:r>
      <w:r w:rsidRPr="00BB5373">
        <w:rPr>
          <w:lang w:val="en-GB"/>
        </w:rPr>
        <w:t xml:space="preserve">, [online] 12(7), </w:t>
      </w:r>
      <w:proofErr w:type="gramStart"/>
      <w:r w:rsidRPr="00B23D2C">
        <w:rPr>
          <w:lang w:val="en-GB"/>
        </w:rPr>
        <w:t>p</w:t>
      </w:r>
      <w:r w:rsidRPr="00BB5373">
        <w:rPr>
          <w:lang w:val="en-GB"/>
        </w:rPr>
        <w:t>p.e</w:t>
      </w:r>
      <w:proofErr w:type="gramEnd"/>
      <w:r w:rsidRPr="00BB5373">
        <w:rPr>
          <w:lang w:val="en-GB"/>
        </w:rPr>
        <w:t>054386</w:t>
      </w:r>
      <w:r w:rsidRPr="00B23D2C">
        <w:rPr>
          <w:lang w:val="en-GB"/>
        </w:rPr>
        <w:t xml:space="preserve">- </w:t>
      </w:r>
      <w:r w:rsidRPr="00BB5373">
        <w:rPr>
          <w:lang w:val="en-GB"/>
        </w:rPr>
        <w:t>e05438</w:t>
      </w:r>
      <w:r w:rsidRPr="00B23D2C">
        <w:rPr>
          <w:lang w:val="en-GB"/>
        </w:rPr>
        <w:t>7</w:t>
      </w:r>
      <w:r w:rsidRPr="00BB5373">
        <w:rPr>
          <w:lang w:val="en-GB"/>
        </w:rPr>
        <w:t xml:space="preserve">. </w:t>
      </w:r>
      <w:r w:rsidRPr="00B23D2C">
        <w:rPr>
          <w:lang w:val="en-GB"/>
        </w:rPr>
        <w:t xml:space="preserve">Available at: </w:t>
      </w:r>
      <w:hyperlink r:id="rId29" w:history="1">
        <w:r w:rsidRPr="00BB5373">
          <w:rPr>
            <w:rStyle w:val="Hyperlink"/>
            <w:lang w:val="en-GB"/>
          </w:rPr>
          <w:t>https://doi.org/10.1136/bmjopen-2021-054386</w:t>
        </w:r>
      </w:hyperlink>
      <w:r w:rsidRPr="00B23D2C">
        <w:rPr>
          <w:lang w:val="en-GB"/>
        </w:rPr>
        <w:t xml:space="preserve"> </w:t>
      </w:r>
    </w:p>
    <w:p w14:paraId="6FD38798" w14:textId="77777777" w:rsidR="00B23D2C" w:rsidRPr="00024A08" w:rsidRDefault="00B23D2C" w:rsidP="00B23D2C">
      <w:pPr>
        <w:spacing w:before="240"/>
        <w:rPr>
          <w:lang w:val="en-GB"/>
        </w:rPr>
      </w:pPr>
      <w:r w:rsidRPr="00024A08">
        <w:rPr>
          <w:lang w:val="en-GB"/>
        </w:rPr>
        <w:t xml:space="preserve">Santana, M.J., Manalili, K., Jolley, R.J., Zelinsky, S., Quan, H. and Lu, M. (2021) </w:t>
      </w:r>
      <w:r w:rsidRPr="00B23D2C">
        <w:rPr>
          <w:lang w:val="en-GB"/>
        </w:rPr>
        <w:t>‘</w:t>
      </w:r>
      <w:r w:rsidRPr="00024A08">
        <w:rPr>
          <w:lang w:val="en-GB"/>
        </w:rPr>
        <w:t>How to practice person-centred care: A conceptual framework.</w:t>
      </w:r>
      <w:r w:rsidRPr="00B23D2C">
        <w:rPr>
          <w:lang w:val="en-GB"/>
        </w:rPr>
        <w:t>’</w:t>
      </w:r>
      <w:r w:rsidRPr="00024A08">
        <w:rPr>
          <w:lang w:val="en-GB"/>
        </w:rPr>
        <w:t xml:space="preserve"> </w:t>
      </w:r>
      <w:r w:rsidRPr="00024A08">
        <w:rPr>
          <w:i/>
          <w:iCs/>
          <w:lang w:val="en-GB"/>
        </w:rPr>
        <w:t>Health Expectations</w:t>
      </w:r>
      <w:r w:rsidRPr="00024A08">
        <w:rPr>
          <w:lang w:val="en-GB"/>
        </w:rPr>
        <w:t xml:space="preserve">, [online] 21(2), pp.429–440. </w:t>
      </w:r>
      <w:r w:rsidRPr="00D837A0">
        <w:rPr>
          <w:lang w:val="en-GB"/>
        </w:rPr>
        <w:t xml:space="preserve">Available at: </w:t>
      </w:r>
      <w:hyperlink r:id="rId30" w:history="1">
        <w:r w:rsidRPr="00024A08">
          <w:rPr>
            <w:rStyle w:val="Hyperlink"/>
            <w:lang w:val="en-GB"/>
          </w:rPr>
          <w:t>https://doi.org/10.1111/hex.12640</w:t>
        </w:r>
      </w:hyperlink>
      <w:r w:rsidRPr="00B23D2C">
        <w:rPr>
          <w:lang w:val="en-GB"/>
        </w:rPr>
        <w:t xml:space="preserve"> </w:t>
      </w:r>
    </w:p>
    <w:p w14:paraId="2105BB32" w14:textId="77777777" w:rsidR="00B23D2C" w:rsidRPr="00B23D2C" w:rsidRDefault="00B23D2C" w:rsidP="00B23D2C">
      <w:pPr>
        <w:spacing w:before="240"/>
        <w:rPr>
          <w:lang w:val="en-GB"/>
        </w:rPr>
      </w:pPr>
      <w:r w:rsidRPr="00B23D2C">
        <w:rPr>
          <w:lang w:val="en-GB"/>
        </w:rPr>
        <w:t xml:space="preserve">Sauvage, J., and Ahluwalia, S. (2026) ‘Health and Care Professionals Committed to Partnership working: Right Wall of the House of Care Framework.’ </w:t>
      </w:r>
      <w:r w:rsidRPr="00B23D2C">
        <w:rPr>
          <w:i/>
          <w:iCs/>
          <w:lang w:val="en-GB"/>
        </w:rPr>
        <w:t>The British Journal of General Practice</w:t>
      </w:r>
      <w:r w:rsidRPr="00B23D2C">
        <w:rPr>
          <w:lang w:val="en-GB"/>
        </w:rPr>
        <w:t xml:space="preserve">, </w:t>
      </w:r>
      <w:r w:rsidRPr="00B23D2C">
        <w:rPr>
          <w:i/>
          <w:iCs/>
          <w:lang w:val="en-GB"/>
        </w:rPr>
        <w:t>66</w:t>
      </w:r>
      <w:r w:rsidRPr="00B23D2C">
        <w:rPr>
          <w:lang w:val="en-GB"/>
        </w:rPr>
        <w:t xml:space="preserve">(642), 52–53. Available at: </w:t>
      </w:r>
      <w:hyperlink r:id="rId31" w:history="1">
        <w:r w:rsidRPr="00B23D2C">
          <w:rPr>
            <w:rStyle w:val="Hyperlink"/>
            <w:lang w:val="en-GB"/>
          </w:rPr>
          <w:t>https://doi.org/10.3399/bjgp16X683389</w:t>
        </w:r>
      </w:hyperlink>
      <w:r w:rsidRPr="00B23D2C">
        <w:rPr>
          <w:lang w:val="en-GB"/>
        </w:rPr>
        <w:t xml:space="preserve"> </w:t>
      </w:r>
    </w:p>
    <w:p w14:paraId="73EB3312" w14:textId="77777777" w:rsidR="00B23D2C" w:rsidRPr="00965474" w:rsidRDefault="00B23D2C" w:rsidP="00B23D2C">
      <w:pPr>
        <w:spacing w:before="240"/>
        <w:rPr>
          <w:lang w:val="en-GB"/>
        </w:rPr>
      </w:pPr>
      <w:r w:rsidRPr="00965474">
        <w:rPr>
          <w:lang w:val="en-GB"/>
        </w:rPr>
        <w:t xml:space="preserve">Toh, C.H. and Haynes, R. (2022) </w:t>
      </w:r>
      <w:r w:rsidRPr="00B23D2C">
        <w:rPr>
          <w:lang w:val="en-GB"/>
        </w:rPr>
        <w:t>‘</w:t>
      </w:r>
      <w:r w:rsidRPr="00965474">
        <w:rPr>
          <w:lang w:val="en-GB"/>
        </w:rPr>
        <w:t>The Health and Care Act 2022: challenges and priorities for embedding research in the NHS.</w:t>
      </w:r>
      <w:r w:rsidRPr="00B23D2C">
        <w:rPr>
          <w:lang w:val="en-GB"/>
        </w:rPr>
        <w:t>’</w:t>
      </w:r>
      <w:r w:rsidRPr="00965474">
        <w:rPr>
          <w:lang w:val="en-GB"/>
        </w:rPr>
        <w:t xml:space="preserve"> </w:t>
      </w:r>
      <w:r w:rsidRPr="00965474">
        <w:rPr>
          <w:i/>
          <w:iCs/>
          <w:lang w:val="en-GB"/>
        </w:rPr>
        <w:t>The Lancet</w:t>
      </w:r>
      <w:r w:rsidRPr="00965474">
        <w:rPr>
          <w:lang w:val="en-GB"/>
        </w:rPr>
        <w:t xml:space="preserve">, [online] 0(0). Available at: </w:t>
      </w:r>
      <w:hyperlink r:id="rId32" w:history="1">
        <w:r w:rsidRPr="00965474">
          <w:rPr>
            <w:rStyle w:val="Hyperlink"/>
            <w:lang w:val="en-GB"/>
          </w:rPr>
          <w:t>https://www.thelancet.com/journals/lancet/article/PIIS0140-6736(22)01195-3/fulltext</w:t>
        </w:r>
      </w:hyperlink>
      <w:r w:rsidRPr="00B23D2C">
        <w:rPr>
          <w:lang w:val="en-GB"/>
        </w:rPr>
        <w:t xml:space="preserve"> </w:t>
      </w:r>
      <w:r w:rsidRPr="00D837A0">
        <w:rPr>
          <w:lang w:val="en-GB"/>
        </w:rPr>
        <w:t>[Accessed 7 Mar</w:t>
      </w:r>
      <w:r w:rsidRPr="00B23D2C">
        <w:rPr>
          <w:lang w:val="en-GB"/>
        </w:rPr>
        <w:t>ch</w:t>
      </w:r>
      <w:r w:rsidRPr="00D837A0">
        <w:rPr>
          <w:lang w:val="en-GB"/>
        </w:rPr>
        <w:t xml:space="preserve"> 2026]</w:t>
      </w:r>
    </w:p>
    <w:p w14:paraId="21132570" w14:textId="77777777" w:rsidR="00B23D2C" w:rsidRPr="00097A0A" w:rsidRDefault="00B23D2C" w:rsidP="00B23D2C">
      <w:pPr>
        <w:spacing w:before="240"/>
        <w:rPr>
          <w:lang w:val="en-GB"/>
        </w:rPr>
      </w:pPr>
      <w:r w:rsidRPr="00097A0A">
        <w:rPr>
          <w:lang w:val="en-GB"/>
        </w:rPr>
        <w:t xml:space="preserve">Varkey, B. (2021) </w:t>
      </w:r>
      <w:r w:rsidRPr="00B23D2C">
        <w:rPr>
          <w:lang w:val="en-GB"/>
        </w:rPr>
        <w:t>‘</w:t>
      </w:r>
      <w:r w:rsidRPr="00097A0A">
        <w:rPr>
          <w:lang w:val="en-GB"/>
        </w:rPr>
        <w:t>Principles of Clinical Ethics and Their Application to Practice.</w:t>
      </w:r>
      <w:r w:rsidRPr="00B23D2C">
        <w:rPr>
          <w:lang w:val="en-GB"/>
        </w:rPr>
        <w:t>’</w:t>
      </w:r>
      <w:r w:rsidRPr="00097A0A">
        <w:rPr>
          <w:lang w:val="en-GB"/>
        </w:rPr>
        <w:t xml:space="preserve"> </w:t>
      </w:r>
      <w:r w:rsidRPr="00097A0A">
        <w:rPr>
          <w:i/>
          <w:iCs/>
          <w:lang w:val="en-GB"/>
        </w:rPr>
        <w:t>Medical Principles and Practice</w:t>
      </w:r>
      <w:r w:rsidRPr="00097A0A">
        <w:rPr>
          <w:lang w:val="en-GB"/>
        </w:rPr>
        <w:t xml:space="preserve">, [online] 30(1), pp.17–28. </w:t>
      </w:r>
      <w:r w:rsidRPr="00D837A0">
        <w:rPr>
          <w:lang w:val="en-GB"/>
        </w:rPr>
        <w:t xml:space="preserve">Available at: </w:t>
      </w:r>
      <w:hyperlink r:id="rId33" w:history="1">
        <w:r w:rsidRPr="00097A0A">
          <w:rPr>
            <w:rStyle w:val="Hyperlink"/>
            <w:lang w:val="en-GB"/>
          </w:rPr>
          <w:t>https://doi.org/10.1159/000509119</w:t>
        </w:r>
      </w:hyperlink>
      <w:r w:rsidRPr="00B23D2C">
        <w:rPr>
          <w:lang w:val="en-GB"/>
        </w:rPr>
        <w:t xml:space="preserve"> </w:t>
      </w:r>
    </w:p>
    <w:p w14:paraId="769002BD" w14:textId="77777777" w:rsidR="00B23D2C" w:rsidRPr="0032476D" w:rsidRDefault="00B23D2C" w:rsidP="00B23D2C">
      <w:pPr>
        <w:spacing w:before="240"/>
        <w:rPr>
          <w:lang w:val="en-GB"/>
        </w:rPr>
      </w:pPr>
      <w:r w:rsidRPr="0032476D">
        <w:rPr>
          <w:lang w:val="en-GB"/>
        </w:rPr>
        <w:t xml:space="preserve">Wray, C.M., Khare, M. and </w:t>
      </w:r>
      <w:proofErr w:type="spellStart"/>
      <w:r w:rsidRPr="0032476D">
        <w:rPr>
          <w:lang w:val="en-GB"/>
        </w:rPr>
        <w:t>Keyhani</w:t>
      </w:r>
      <w:proofErr w:type="spellEnd"/>
      <w:r w:rsidRPr="0032476D">
        <w:rPr>
          <w:lang w:val="en-GB"/>
        </w:rPr>
        <w:t xml:space="preserve">, S. (2021) </w:t>
      </w:r>
      <w:r w:rsidRPr="00B23D2C">
        <w:rPr>
          <w:lang w:val="en-GB"/>
        </w:rPr>
        <w:t>‘</w:t>
      </w:r>
      <w:r w:rsidRPr="0032476D">
        <w:rPr>
          <w:lang w:val="en-GB"/>
        </w:rPr>
        <w:t xml:space="preserve">Access to Care, Cost of Care, and Satisfaction </w:t>
      </w:r>
      <w:proofErr w:type="gramStart"/>
      <w:r w:rsidRPr="0032476D">
        <w:rPr>
          <w:lang w:val="en-GB"/>
        </w:rPr>
        <w:t>With</w:t>
      </w:r>
      <w:proofErr w:type="gramEnd"/>
      <w:r w:rsidRPr="0032476D">
        <w:rPr>
          <w:lang w:val="en-GB"/>
        </w:rPr>
        <w:t xml:space="preserve"> Care Among Adults </w:t>
      </w:r>
      <w:proofErr w:type="gramStart"/>
      <w:r w:rsidRPr="0032476D">
        <w:rPr>
          <w:lang w:val="en-GB"/>
        </w:rPr>
        <w:t>With</w:t>
      </w:r>
      <w:proofErr w:type="gramEnd"/>
      <w:r w:rsidRPr="0032476D">
        <w:rPr>
          <w:lang w:val="en-GB"/>
        </w:rPr>
        <w:t xml:space="preserve"> Private and Public Health Insurance in the US.</w:t>
      </w:r>
      <w:r w:rsidRPr="00B23D2C">
        <w:rPr>
          <w:lang w:val="en-GB"/>
        </w:rPr>
        <w:t>’</w:t>
      </w:r>
      <w:r w:rsidRPr="0032476D">
        <w:rPr>
          <w:lang w:val="en-GB"/>
        </w:rPr>
        <w:t xml:space="preserve"> </w:t>
      </w:r>
      <w:r w:rsidRPr="0032476D">
        <w:rPr>
          <w:i/>
          <w:iCs/>
          <w:lang w:val="en-GB"/>
        </w:rPr>
        <w:t>JAMA Network Open</w:t>
      </w:r>
      <w:r w:rsidRPr="0032476D">
        <w:rPr>
          <w:lang w:val="en-GB"/>
        </w:rPr>
        <w:t xml:space="preserve">, [online] 4(6), </w:t>
      </w:r>
      <w:proofErr w:type="gramStart"/>
      <w:r w:rsidRPr="00B23D2C">
        <w:rPr>
          <w:lang w:val="en-GB"/>
        </w:rPr>
        <w:t>p</w:t>
      </w:r>
      <w:r w:rsidRPr="0032476D">
        <w:rPr>
          <w:lang w:val="en-GB"/>
        </w:rPr>
        <w:t>p.e</w:t>
      </w:r>
      <w:proofErr w:type="gramEnd"/>
      <w:r w:rsidRPr="0032476D">
        <w:rPr>
          <w:lang w:val="en-GB"/>
        </w:rPr>
        <w:t>2110275</w:t>
      </w:r>
      <w:r w:rsidRPr="00B23D2C">
        <w:rPr>
          <w:lang w:val="en-GB"/>
        </w:rPr>
        <w:t xml:space="preserve">- </w:t>
      </w:r>
      <w:r w:rsidRPr="0032476D">
        <w:rPr>
          <w:lang w:val="en-GB"/>
        </w:rPr>
        <w:t>e211027</w:t>
      </w:r>
      <w:r w:rsidRPr="00B23D2C">
        <w:rPr>
          <w:lang w:val="en-GB"/>
        </w:rPr>
        <w:t>9</w:t>
      </w:r>
      <w:r w:rsidRPr="0032476D">
        <w:rPr>
          <w:lang w:val="en-GB"/>
        </w:rPr>
        <w:t xml:space="preserve">. </w:t>
      </w:r>
      <w:r w:rsidRPr="00F34C8F">
        <w:rPr>
          <w:lang w:val="en-GB"/>
        </w:rPr>
        <w:t xml:space="preserve">Available at: </w:t>
      </w:r>
      <w:hyperlink r:id="rId34" w:history="1">
        <w:r w:rsidRPr="0032476D">
          <w:rPr>
            <w:rStyle w:val="Hyperlink"/>
            <w:lang w:val="en-GB"/>
          </w:rPr>
          <w:t>https://doi.org/10.1001/jamanetworkopen.2021.10275</w:t>
        </w:r>
      </w:hyperlink>
      <w:r w:rsidRPr="00B23D2C">
        <w:rPr>
          <w:lang w:val="en-GB"/>
        </w:rPr>
        <w:t xml:space="preserve"> </w:t>
      </w:r>
    </w:p>
    <w:sectPr w:rsidR="00B23D2C" w:rsidRPr="0032476D" w:rsidSect="00D25E89">
      <w:footerReference w:type="default" r:id="rId35"/>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0CE944" w14:textId="77777777" w:rsidR="00454061" w:rsidRDefault="00454061" w:rsidP="00D25E89">
      <w:pPr>
        <w:spacing w:line="240" w:lineRule="auto"/>
      </w:pPr>
      <w:r>
        <w:separator/>
      </w:r>
    </w:p>
  </w:endnote>
  <w:endnote w:type="continuationSeparator" w:id="0">
    <w:p w14:paraId="190DBCBC" w14:textId="77777777" w:rsidR="00454061" w:rsidRDefault="00454061" w:rsidP="00D25E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396A41F-BD62-4363-821C-99D137F8472B}"/>
  </w:font>
  <w:font w:name="Cambria">
    <w:panose1 w:val="02040503050406030204"/>
    <w:charset w:val="00"/>
    <w:family w:val="roman"/>
    <w:pitch w:val="variable"/>
    <w:sig w:usb0="E00006FF" w:usb1="420024FF" w:usb2="02000000" w:usb3="00000000" w:csb0="0000019F" w:csb1="00000000"/>
    <w:embedRegular r:id="rId2" w:fontKey="{F04D32C5-EF45-4DFE-8670-EB5D0F1EA68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2004306"/>
      <w:docPartObj>
        <w:docPartGallery w:val="Page Numbers (Bottom of Page)"/>
        <w:docPartUnique/>
      </w:docPartObj>
    </w:sdtPr>
    <w:sdtContent>
      <w:p w14:paraId="2B28C32A" w14:textId="53CB6A7A" w:rsidR="00D25E89" w:rsidRDefault="00D25E8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6E6EE93" w14:textId="77777777" w:rsidR="00D25E89" w:rsidRDefault="00D25E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2E17C" w14:textId="77777777" w:rsidR="00454061" w:rsidRDefault="00454061" w:rsidP="00D25E89">
      <w:pPr>
        <w:spacing w:line="240" w:lineRule="auto"/>
      </w:pPr>
      <w:r>
        <w:separator/>
      </w:r>
    </w:p>
  </w:footnote>
  <w:footnote w:type="continuationSeparator" w:id="0">
    <w:p w14:paraId="5E4D8BD7" w14:textId="77777777" w:rsidR="00454061" w:rsidRDefault="00454061" w:rsidP="00D25E8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E4D0A"/>
    <w:multiLevelType w:val="multilevel"/>
    <w:tmpl w:val="86F4B7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1E5A8A"/>
    <w:multiLevelType w:val="multilevel"/>
    <w:tmpl w:val="5F4422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6447B96"/>
    <w:multiLevelType w:val="multilevel"/>
    <w:tmpl w:val="F72A86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FA0D37"/>
    <w:multiLevelType w:val="multilevel"/>
    <w:tmpl w:val="3CB088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AF5754A"/>
    <w:multiLevelType w:val="multilevel"/>
    <w:tmpl w:val="B2A2A3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B8C7DCA"/>
    <w:multiLevelType w:val="multilevel"/>
    <w:tmpl w:val="20BAC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06896505">
    <w:abstractNumId w:val="3"/>
  </w:num>
  <w:num w:numId="2" w16cid:durableId="1267998434">
    <w:abstractNumId w:val="4"/>
  </w:num>
  <w:num w:numId="3" w16cid:durableId="520776116">
    <w:abstractNumId w:val="5"/>
  </w:num>
  <w:num w:numId="4" w16cid:durableId="824853938">
    <w:abstractNumId w:val="0"/>
  </w:num>
  <w:num w:numId="5" w16cid:durableId="1471706231">
    <w:abstractNumId w:val="1"/>
  </w:num>
  <w:num w:numId="6" w16cid:durableId="5537369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7483"/>
    <w:rsid w:val="001F1D03"/>
    <w:rsid w:val="00297979"/>
    <w:rsid w:val="00407A9A"/>
    <w:rsid w:val="00454061"/>
    <w:rsid w:val="004F2E5F"/>
    <w:rsid w:val="005F14B7"/>
    <w:rsid w:val="007B193D"/>
    <w:rsid w:val="008E73FA"/>
    <w:rsid w:val="00B23D2C"/>
    <w:rsid w:val="00C97483"/>
    <w:rsid w:val="00D21792"/>
    <w:rsid w:val="00D25E89"/>
    <w:rsid w:val="00EB0BAF"/>
    <w:rsid w:val="00EF38B8"/>
    <w:rsid w:val="00FA1E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98C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D2C"/>
    <w:pPr>
      <w:spacing w:line="360" w:lineRule="auto"/>
      <w:jc w:val="both"/>
    </w:pPr>
  </w:style>
  <w:style w:type="paragraph" w:styleId="Heading1">
    <w:name w:val="heading 1"/>
    <w:basedOn w:val="Normal"/>
    <w:next w:val="Normal"/>
    <w:uiPriority w:val="9"/>
    <w:qFormat/>
    <w:rsid w:val="00B23D2C"/>
    <w:pPr>
      <w:keepNext/>
      <w:keepLines/>
      <w:spacing w:before="400" w:after="120"/>
      <w:outlineLvl w:val="0"/>
    </w:pPr>
    <w:rPr>
      <w:b/>
      <w:sz w:val="28"/>
      <w:szCs w:val="40"/>
    </w:rPr>
  </w:style>
  <w:style w:type="paragraph" w:styleId="Heading2">
    <w:name w:val="heading 2"/>
    <w:basedOn w:val="Normal"/>
    <w:next w:val="Normal"/>
    <w:uiPriority w:val="9"/>
    <w:semiHidden/>
    <w:unhideWhenUsed/>
    <w:qFormat/>
    <w:rsid w:val="00B23D2C"/>
    <w:pPr>
      <w:keepNext/>
      <w:keepLines/>
      <w:spacing w:before="360" w:after="120"/>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B23D2C"/>
    <w:rPr>
      <w:color w:val="0000FF" w:themeColor="hyperlink"/>
      <w:u w:val="single"/>
    </w:rPr>
  </w:style>
  <w:style w:type="paragraph" w:styleId="TOCHeading">
    <w:name w:val="TOC Heading"/>
    <w:basedOn w:val="Heading1"/>
    <w:next w:val="Normal"/>
    <w:uiPriority w:val="39"/>
    <w:unhideWhenUsed/>
    <w:qFormat/>
    <w:rsid w:val="00D25E8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25E89"/>
    <w:pPr>
      <w:spacing w:after="100"/>
    </w:pPr>
  </w:style>
  <w:style w:type="paragraph" w:styleId="Header">
    <w:name w:val="header"/>
    <w:basedOn w:val="Normal"/>
    <w:link w:val="HeaderChar"/>
    <w:uiPriority w:val="99"/>
    <w:unhideWhenUsed/>
    <w:rsid w:val="00D25E89"/>
    <w:pPr>
      <w:tabs>
        <w:tab w:val="center" w:pos="4513"/>
        <w:tab w:val="right" w:pos="9026"/>
      </w:tabs>
      <w:spacing w:line="240" w:lineRule="auto"/>
    </w:pPr>
  </w:style>
  <w:style w:type="character" w:customStyle="1" w:styleId="HeaderChar">
    <w:name w:val="Header Char"/>
    <w:basedOn w:val="DefaultParagraphFont"/>
    <w:link w:val="Header"/>
    <w:uiPriority w:val="99"/>
    <w:rsid w:val="00D25E89"/>
  </w:style>
  <w:style w:type="paragraph" w:styleId="Footer">
    <w:name w:val="footer"/>
    <w:basedOn w:val="Normal"/>
    <w:link w:val="FooterChar"/>
    <w:uiPriority w:val="99"/>
    <w:unhideWhenUsed/>
    <w:rsid w:val="00D25E89"/>
    <w:pPr>
      <w:tabs>
        <w:tab w:val="center" w:pos="4513"/>
        <w:tab w:val="right" w:pos="9026"/>
      </w:tabs>
      <w:spacing w:line="240" w:lineRule="auto"/>
    </w:pPr>
  </w:style>
  <w:style w:type="character" w:customStyle="1" w:styleId="FooterChar">
    <w:name w:val="Footer Char"/>
    <w:basedOn w:val="DefaultParagraphFont"/>
    <w:link w:val="Footer"/>
    <w:uiPriority w:val="99"/>
    <w:rsid w:val="00D25E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93/jopart/mut080" TargetMode="External"/><Relationship Id="rId18" Type="http://schemas.openxmlformats.org/officeDocument/2006/relationships/hyperlink" Target="https://www.gov.uk/government/publications/care-act-2014-part-1-factsheets/care-act-factsheets" TargetMode="External"/><Relationship Id="rId26" Type="http://schemas.openxmlformats.org/officeDocument/2006/relationships/hyperlink" Target="https://www.legislation.gov.uk/ukpga/2012/7/contents" TargetMode="External"/><Relationship Id="rId21" Type="http://schemas.openxmlformats.org/officeDocument/2006/relationships/hyperlink" Target="https://www.hcahealthcare.co.uk/services/treatments/enhanced-recovery-programme-rehabilitation" TargetMode="External"/><Relationship Id="rId34" Type="http://schemas.openxmlformats.org/officeDocument/2006/relationships/hyperlink" Target="https://doi.org/10.1001/jamanetworkopen.2021.10275" TargetMode="External"/><Relationship Id="rId7" Type="http://schemas.openxmlformats.org/officeDocument/2006/relationships/endnotes" Target="endnotes.xml"/><Relationship Id="rId12" Type="http://schemas.openxmlformats.org/officeDocument/2006/relationships/hyperlink" Target="https://doi.org/10.1093/intqhc/mzab052" TargetMode="External"/><Relationship Id="rId17" Type="http://schemas.openxmlformats.org/officeDocument/2006/relationships/hyperlink" Target="https://www.equalityhumanrights.com/human-rights/human-rights-act" TargetMode="External"/><Relationship Id="rId25" Type="http://schemas.openxmlformats.org/officeDocument/2006/relationships/hyperlink" Target="https://doi.org/10.7861/futurehosp.5-1-64" TargetMode="External"/><Relationship Id="rId33" Type="http://schemas.openxmlformats.org/officeDocument/2006/relationships/hyperlink" Target="https://doi.org/10.1159/000509119" TargetMode="External"/><Relationship Id="rId2" Type="http://schemas.openxmlformats.org/officeDocument/2006/relationships/numbering" Target="numbering.xml"/><Relationship Id="rId16" Type="http://schemas.openxmlformats.org/officeDocument/2006/relationships/hyperlink" Target="https://doi.org/10.1097/HMR.0000000000000254" TargetMode="External"/><Relationship Id="rId20" Type="http://schemas.openxmlformats.org/officeDocument/2006/relationships/hyperlink" Target="https://doi.org/10.1016/j.sintl.2021.100117" TargetMode="External"/><Relationship Id="rId29" Type="http://schemas.openxmlformats.org/officeDocument/2006/relationships/hyperlink" Target="https://doi.org/10.1136/bmjopen-2021-05438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phrs.2021.1603976" TargetMode="External"/><Relationship Id="rId24" Type="http://schemas.openxmlformats.org/officeDocument/2006/relationships/hyperlink" Target="https://doi.org/10.61091/jpms202413301" TargetMode="External"/><Relationship Id="rId32" Type="http://schemas.openxmlformats.org/officeDocument/2006/relationships/hyperlink" Target="https://www.thelancet.com/journals/lancet/article/PIIS0140-6736(22)01195-3/fulltext"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02/nop2.1352" TargetMode="External"/><Relationship Id="rId23" Type="http://schemas.openxmlformats.org/officeDocument/2006/relationships/hyperlink" Target="https://doi.org/10.3389/fpsyg.2021.709789" TargetMode="External"/><Relationship Id="rId28" Type="http://schemas.openxmlformats.org/officeDocument/2006/relationships/hyperlink" Target="https://www.england.nhs.uk/integratedcare/what-is-integrated-care/" TargetMode="External"/><Relationship Id="rId36" Type="http://schemas.openxmlformats.org/officeDocument/2006/relationships/fontTable" Target="fontTable.xml"/><Relationship Id="rId10" Type="http://schemas.openxmlformats.org/officeDocument/2006/relationships/hyperlink" Target="https://doi.org/10.1136/bmj.329.7457.61" TargetMode="External"/><Relationship Id="rId19" Type="http://schemas.openxmlformats.org/officeDocument/2006/relationships/hyperlink" Target="https://www.gov.uk/guidance/equality-act-2010-guidance" TargetMode="External"/><Relationship Id="rId31" Type="http://schemas.openxmlformats.org/officeDocument/2006/relationships/hyperlink" Target="https://doi.org/10.3399/bjgp16X683389"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16/j.cegh.2025.102166" TargetMode="External"/><Relationship Id="rId22" Type="http://schemas.openxmlformats.org/officeDocument/2006/relationships/hyperlink" Target="https://www.hcahealthcare.co.uk/locations/hospitals/the-wellington-hospital" TargetMode="External"/><Relationship Id="rId27" Type="http://schemas.openxmlformats.org/officeDocument/2006/relationships/hyperlink" Target="https://doi.org/10.3928/19404921-20241211-02" TargetMode="External"/><Relationship Id="rId30" Type="http://schemas.openxmlformats.org/officeDocument/2006/relationships/hyperlink" Target="https://doi.org/10.1111/hex.12640"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7182F9-7F5A-4A9B-AD5C-F5A19630B9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3557</Words>
  <Characters>20281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2026-03-26T05:33:00Z</dcterms:created>
  <dcterms:modified xsi:type="dcterms:W3CDTF">2026-03-26T11:58:00Z</dcterms:modified>
</cp:coreProperties>
</file>