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FD6C1" w14:textId="77777777" w:rsidR="005F68A2" w:rsidRDefault="005F68A2">
      <w:pPr>
        <w:spacing w:after="160" w:line="360" w:lineRule="auto"/>
        <w:jc w:val="center"/>
        <w:rPr>
          <w:rFonts w:ascii="Times New Roman" w:eastAsia="Times New Roman" w:hAnsi="Times New Roman" w:cs="Times New Roman"/>
          <w:b/>
          <w:bCs/>
          <w:sz w:val="40"/>
          <w:szCs w:val="40"/>
        </w:rPr>
      </w:pPr>
    </w:p>
    <w:p w14:paraId="5DDE8141" w14:textId="77777777" w:rsidR="005F68A2" w:rsidRDefault="005F68A2">
      <w:pPr>
        <w:spacing w:after="160" w:line="360" w:lineRule="auto"/>
        <w:jc w:val="center"/>
        <w:rPr>
          <w:rFonts w:ascii="Times New Roman" w:eastAsia="Times New Roman" w:hAnsi="Times New Roman" w:cs="Times New Roman"/>
          <w:b/>
          <w:bCs/>
          <w:sz w:val="40"/>
          <w:szCs w:val="40"/>
        </w:rPr>
      </w:pPr>
    </w:p>
    <w:p w14:paraId="3C117DF8" w14:textId="77777777" w:rsidR="005F68A2" w:rsidRDefault="005F68A2">
      <w:pPr>
        <w:spacing w:after="160" w:line="360" w:lineRule="auto"/>
        <w:jc w:val="center"/>
        <w:rPr>
          <w:rFonts w:ascii="Times New Roman" w:eastAsia="Times New Roman" w:hAnsi="Times New Roman" w:cs="Times New Roman"/>
          <w:b/>
          <w:bCs/>
          <w:sz w:val="40"/>
          <w:szCs w:val="40"/>
        </w:rPr>
      </w:pPr>
    </w:p>
    <w:p w14:paraId="061A6764" w14:textId="77777777" w:rsidR="005F68A2" w:rsidRPr="001F12E4" w:rsidRDefault="00000000">
      <w:pPr>
        <w:spacing w:after="160" w:line="360" w:lineRule="auto"/>
        <w:jc w:val="center"/>
        <w:rPr>
          <w:rFonts w:ascii="Times New Roman" w:eastAsia="Times New Roman" w:hAnsi="Times New Roman" w:cs="Times New Roman"/>
          <w:b/>
          <w:bCs/>
          <w:sz w:val="32"/>
          <w:szCs w:val="32"/>
        </w:rPr>
      </w:pPr>
      <w:r w:rsidRPr="001F12E4">
        <w:rPr>
          <w:rFonts w:ascii="Times New Roman" w:eastAsia="Times New Roman" w:hAnsi="Times New Roman" w:cs="Times New Roman"/>
          <w:b/>
          <w:bCs/>
          <w:sz w:val="32"/>
          <w:szCs w:val="32"/>
        </w:rPr>
        <w:t>PROGRAMME: MASTER OF BUSINESS ADMINISTRATION</w:t>
      </w:r>
    </w:p>
    <w:p w14:paraId="09EA01B8" w14:textId="216D0D57" w:rsidR="0019534E" w:rsidRPr="001F12E4" w:rsidRDefault="0019534E">
      <w:pPr>
        <w:spacing w:after="160" w:line="360" w:lineRule="auto"/>
        <w:jc w:val="center"/>
        <w:rPr>
          <w:rFonts w:ascii="Times New Roman" w:eastAsia="Times New Roman" w:hAnsi="Times New Roman" w:cs="Times New Roman"/>
          <w:b/>
          <w:bCs/>
          <w:sz w:val="32"/>
          <w:szCs w:val="32"/>
        </w:rPr>
      </w:pPr>
      <w:r w:rsidRPr="001F12E4">
        <w:rPr>
          <w:rFonts w:ascii="Times New Roman" w:eastAsia="Times New Roman" w:hAnsi="Times New Roman" w:cs="Times New Roman"/>
          <w:b/>
          <w:bCs/>
          <w:sz w:val="32"/>
          <w:szCs w:val="32"/>
        </w:rPr>
        <w:t>STUDENT NAME: PRAGATI ASHOKBHAI PATEL (2534404)</w:t>
      </w:r>
    </w:p>
    <w:p w14:paraId="3DFD2811" w14:textId="77777777" w:rsidR="005F68A2" w:rsidRPr="001F12E4" w:rsidRDefault="00000000">
      <w:pPr>
        <w:spacing w:after="160" w:line="360" w:lineRule="auto"/>
        <w:jc w:val="center"/>
        <w:rPr>
          <w:rFonts w:ascii="Times New Roman" w:eastAsia="Times New Roman" w:hAnsi="Times New Roman" w:cs="Times New Roman"/>
          <w:b/>
          <w:bCs/>
          <w:sz w:val="32"/>
          <w:szCs w:val="32"/>
        </w:rPr>
      </w:pPr>
      <w:r w:rsidRPr="001F12E4">
        <w:rPr>
          <w:rFonts w:ascii="Times New Roman" w:eastAsia="Times New Roman" w:hAnsi="Times New Roman" w:cs="Times New Roman"/>
          <w:b/>
          <w:bCs/>
          <w:sz w:val="32"/>
          <w:szCs w:val="32"/>
        </w:rPr>
        <w:t>MODULE: HUMAN CAPITAL MANAGEMENT</w:t>
      </w:r>
    </w:p>
    <w:p w14:paraId="42130A65" w14:textId="77777777" w:rsidR="001F12E4" w:rsidRDefault="00000000">
      <w:pPr>
        <w:spacing w:after="160" w:line="360" w:lineRule="auto"/>
        <w:jc w:val="center"/>
        <w:rPr>
          <w:rFonts w:ascii="Times New Roman" w:eastAsia="Times New Roman" w:hAnsi="Times New Roman" w:cs="Times New Roman"/>
          <w:b/>
          <w:bCs/>
          <w:sz w:val="32"/>
          <w:szCs w:val="32"/>
        </w:rPr>
      </w:pPr>
      <w:r w:rsidRPr="001F12E4">
        <w:rPr>
          <w:rFonts w:ascii="Times New Roman" w:eastAsia="Times New Roman" w:hAnsi="Times New Roman" w:cs="Times New Roman"/>
          <w:b/>
          <w:bCs/>
          <w:sz w:val="32"/>
          <w:szCs w:val="32"/>
        </w:rPr>
        <w:t>MODULE CODE: LCMB7023</w:t>
      </w:r>
    </w:p>
    <w:p w14:paraId="46F91332" w14:textId="6245A43E" w:rsidR="000C4BED" w:rsidRPr="001F12E4" w:rsidRDefault="000C4BED">
      <w:pPr>
        <w:spacing w:after="16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 Eno Maycock (Birmingham)</w:t>
      </w:r>
    </w:p>
    <w:p w14:paraId="0EDDA747" w14:textId="77777777" w:rsidR="001F12E4" w:rsidRPr="001F12E4" w:rsidRDefault="001F12E4">
      <w:pPr>
        <w:spacing w:after="160" w:line="360" w:lineRule="auto"/>
        <w:jc w:val="center"/>
        <w:rPr>
          <w:sz w:val="18"/>
          <w:szCs w:val="18"/>
        </w:rPr>
      </w:pPr>
      <w:r w:rsidRPr="001F12E4">
        <w:rPr>
          <w:rFonts w:ascii="Times New Roman" w:eastAsia="Times New Roman" w:hAnsi="Times New Roman" w:cs="Times New Roman"/>
          <w:b/>
          <w:bCs/>
          <w:sz w:val="24"/>
          <w:szCs w:val="24"/>
        </w:rPr>
        <w:t>Assignment Title: Assessment Component 1: Individual Report</w:t>
      </w:r>
    </w:p>
    <w:p w14:paraId="233EDCC4" w14:textId="77777777" w:rsidR="001F12E4" w:rsidRPr="001F12E4" w:rsidRDefault="001F12E4">
      <w:pPr>
        <w:spacing w:after="160" w:line="360" w:lineRule="auto"/>
        <w:jc w:val="center"/>
        <w:rPr>
          <w:rFonts w:ascii="Times New Roman" w:eastAsia="Times New Roman" w:hAnsi="Times New Roman" w:cs="Times New Roman"/>
          <w:b/>
          <w:bCs/>
          <w:sz w:val="24"/>
          <w:szCs w:val="24"/>
        </w:rPr>
      </w:pPr>
      <w:r w:rsidRPr="001F12E4">
        <w:rPr>
          <w:rFonts w:ascii="Times New Roman" w:eastAsia="Times New Roman" w:hAnsi="Times New Roman" w:cs="Times New Roman"/>
          <w:b/>
          <w:bCs/>
          <w:sz w:val="24"/>
          <w:szCs w:val="24"/>
        </w:rPr>
        <w:t xml:space="preserve">Topic -Designing a Human Capital Architecture for Strategic Renewal at Helios </w:t>
      </w:r>
    </w:p>
    <w:p w14:paraId="33F6EB9E" w14:textId="3F81A571" w:rsidR="005F68A2" w:rsidRDefault="001F12E4">
      <w:pPr>
        <w:spacing w:after="160" w:line="360" w:lineRule="auto"/>
        <w:jc w:val="center"/>
        <w:rPr>
          <w:rFonts w:ascii="Times New Roman" w:eastAsia="Times New Roman" w:hAnsi="Times New Roman" w:cs="Times New Roman"/>
          <w:sz w:val="24"/>
          <w:szCs w:val="24"/>
        </w:rPr>
      </w:pPr>
      <w:r w:rsidRPr="001F12E4">
        <w:rPr>
          <w:rFonts w:ascii="Times New Roman" w:eastAsia="Times New Roman" w:hAnsi="Times New Roman" w:cs="Times New Roman"/>
          <w:b/>
          <w:bCs/>
          <w:sz w:val="24"/>
          <w:szCs w:val="24"/>
        </w:rPr>
        <w:t>Urban Mobility</w:t>
      </w:r>
      <w:r>
        <w:br w:type="page"/>
      </w:r>
    </w:p>
    <w:p w14:paraId="22B9E544" w14:textId="77777777" w:rsidR="005F68A2"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Abstract</w:t>
      </w:r>
    </w:p>
    <w:p w14:paraId="509D258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analysed strategic human capital solutions for overcoming organisational issues. Socialisation frameworks had a highly effective relationship in terms of engagement, retention and organisational commitment. The innovative job design increased motivation, capacity building and innovation. Reflective evaluation involved an assessment of how AI is applied in decision-making. Capability building through a professional development plan improved future employability. Recommendations indicated sustainable organisational performance, effectiveness of the workforce and strategic renewal. </w:t>
      </w:r>
    </w:p>
    <w:p w14:paraId="37B4FB31" w14:textId="77777777" w:rsidR="005F68A2" w:rsidRDefault="00000000">
      <w:pPr>
        <w:spacing w:line="360" w:lineRule="auto"/>
        <w:jc w:val="both"/>
        <w:rPr>
          <w:rFonts w:ascii="Times New Roman" w:eastAsia="Times New Roman" w:hAnsi="Times New Roman" w:cs="Times New Roman"/>
          <w:b/>
          <w:bCs/>
          <w:sz w:val="24"/>
          <w:szCs w:val="24"/>
        </w:rPr>
      </w:pPr>
      <w:r>
        <w:br w:type="page"/>
      </w:r>
    </w:p>
    <w:sdt>
      <w:sdtPr>
        <w:rPr>
          <w:rFonts w:ascii="Arial" w:eastAsia="Arial" w:hAnsi="Arial" w:cs="Arial"/>
          <w:color w:val="auto"/>
          <w:sz w:val="22"/>
          <w:szCs w:val="22"/>
          <w:lang w:val="en-GB" w:eastAsia="en-IN"/>
        </w:rPr>
        <w:id w:val="1966305896"/>
        <w:docPartObj>
          <w:docPartGallery w:val="Table of Contents"/>
          <w:docPartUnique/>
        </w:docPartObj>
      </w:sdtPr>
      <w:sdtEndPr>
        <w:rPr>
          <w:b/>
          <w:bCs/>
          <w:noProof/>
        </w:rPr>
      </w:sdtEndPr>
      <w:sdtContent>
        <w:p w14:paraId="0685CD18" w14:textId="77041EC3" w:rsidR="006E3539" w:rsidRPr="006E3539" w:rsidRDefault="006E3539" w:rsidP="006E3539">
          <w:pPr>
            <w:pStyle w:val="TOCHeading"/>
            <w:spacing w:line="360" w:lineRule="auto"/>
            <w:jc w:val="center"/>
            <w:rPr>
              <w:rFonts w:ascii="Times New Roman" w:hAnsi="Times New Roman" w:cs="Times New Roman"/>
              <w:b/>
              <w:bCs/>
              <w:color w:val="000000" w:themeColor="text1"/>
            </w:rPr>
          </w:pPr>
          <w:r w:rsidRPr="006E3539">
            <w:rPr>
              <w:rFonts w:ascii="Times New Roman" w:hAnsi="Times New Roman" w:cs="Times New Roman"/>
              <w:b/>
              <w:bCs/>
              <w:color w:val="000000" w:themeColor="text1"/>
            </w:rPr>
            <w:t>Table of Contents</w:t>
          </w:r>
        </w:p>
        <w:p w14:paraId="75F3A0D2" w14:textId="1230153B" w:rsidR="006E3539" w:rsidRPr="006E3539" w:rsidRDefault="006E3539" w:rsidP="006E3539">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32259600" w:history="1">
            <w:r w:rsidRPr="006E3539">
              <w:rPr>
                <w:rStyle w:val="Hyperlink"/>
                <w:rFonts w:ascii="Times New Roman" w:hAnsi="Times New Roman" w:cs="Times New Roman"/>
                <w:noProof/>
                <w:sz w:val="24"/>
                <w:szCs w:val="24"/>
              </w:rPr>
              <w:t>Introduction</w:t>
            </w:r>
            <w:r w:rsidRPr="006E3539">
              <w:rPr>
                <w:rFonts w:ascii="Times New Roman" w:hAnsi="Times New Roman" w:cs="Times New Roman"/>
                <w:noProof/>
                <w:webHidden/>
                <w:sz w:val="24"/>
                <w:szCs w:val="24"/>
              </w:rPr>
              <w:tab/>
            </w:r>
            <w:r w:rsidRPr="006E3539">
              <w:rPr>
                <w:rFonts w:ascii="Times New Roman" w:hAnsi="Times New Roman" w:cs="Times New Roman"/>
                <w:noProof/>
                <w:webHidden/>
                <w:sz w:val="24"/>
                <w:szCs w:val="24"/>
              </w:rPr>
              <w:fldChar w:fldCharType="begin"/>
            </w:r>
            <w:r w:rsidRPr="006E3539">
              <w:rPr>
                <w:rFonts w:ascii="Times New Roman" w:hAnsi="Times New Roman" w:cs="Times New Roman"/>
                <w:noProof/>
                <w:webHidden/>
                <w:sz w:val="24"/>
                <w:szCs w:val="24"/>
              </w:rPr>
              <w:instrText xml:space="preserve"> PAGEREF _Toc232259600 \h </w:instrText>
            </w:r>
            <w:r w:rsidRPr="006E3539">
              <w:rPr>
                <w:rFonts w:ascii="Times New Roman" w:hAnsi="Times New Roman" w:cs="Times New Roman"/>
                <w:noProof/>
                <w:webHidden/>
                <w:sz w:val="24"/>
                <w:szCs w:val="24"/>
              </w:rPr>
            </w:r>
            <w:r w:rsidRPr="006E3539">
              <w:rPr>
                <w:rFonts w:ascii="Times New Roman" w:hAnsi="Times New Roman" w:cs="Times New Roman"/>
                <w:noProof/>
                <w:webHidden/>
                <w:sz w:val="24"/>
                <w:szCs w:val="24"/>
              </w:rPr>
              <w:fldChar w:fldCharType="separate"/>
            </w:r>
            <w:r w:rsidRPr="006E3539">
              <w:rPr>
                <w:rFonts w:ascii="Times New Roman" w:hAnsi="Times New Roman" w:cs="Times New Roman"/>
                <w:noProof/>
                <w:webHidden/>
                <w:sz w:val="24"/>
                <w:szCs w:val="24"/>
              </w:rPr>
              <w:t>4</w:t>
            </w:r>
            <w:r w:rsidRPr="006E3539">
              <w:rPr>
                <w:rFonts w:ascii="Times New Roman" w:hAnsi="Times New Roman" w:cs="Times New Roman"/>
                <w:noProof/>
                <w:webHidden/>
                <w:sz w:val="24"/>
                <w:szCs w:val="24"/>
              </w:rPr>
              <w:fldChar w:fldCharType="end"/>
            </w:r>
          </w:hyperlink>
        </w:p>
        <w:p w14:paraId="1E6D9233" w14:textId="166FDEF1" w:rsidR="006E3539" w:rsidRPr="006E3539" w:rsidRDefault="00000000" w:rsidP="006E3539">
          <w:pPr>
            <w:pStyle w:val="TOC1"/>
            <w:tabs>
              <w:tab w:val="right" w:leader="dot" w:pos="9019"/>
            </w:tabs>
            <w:spacing w:line="360" w:lineRule="auto"/>
            <w:jc w:val="both"/>
            <w:rPr>
              <w:rFonts w:ascii="Times New Roman" w:hAnsi="Times New Roman" w:cs="Times New Roman"/>
              <w:noProof/>
              <w:sz w:val="24"/>
              <w:szCs w:val="24"/>
            </w:rPr>
          </w:pPr>
          <w:hyperlink w:anchor="_Toc232259601" w:history="1">
            <w:r w:rsidR="006E3539" w:rsidRPr="006E3539">
              <w:rPr>
                <w:rStyle w:val="Hyperlink"/>
                <w:rFonts w:ascii="Times New Roman" w:hAnsi="Times New Roman" w:cs="Times New Roman"/>
                <w:noProof/>
                <w:sz w:val="24"/>
                <w:szCs w:val="24"/>
              </w:rPr>
              <w:t>TASK A: Socialisation, Identity &amp; Business Activism</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_Toc232259601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4</w:t>
            </w:r>
            <w:r w:rsidR="006E3539" w:rsidRPr="006E3539">
              <w:rPr>
                <w:rFonts w:ascii="Times New Roman" w:hAnsi="Times New Roman" w:cs="Times New Roman"/>
                <w:noProof/>
                <w:webHidden/>
                <w:sz w:val="24"/>
                <w:szCs w:val="24"/>
              </w:rPr>
              <w:fldChar w:fldCharType="end"/>
            </w:r>
          </w:hyperlink>
        </w:p>
        <w:p w14:paraId="6C8E7662" w14:textId="1185597A"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2" w:history="1">
            <w:r w:rsidR="006E3539" w:rsidRPr="006E3539">
              <w:rPr>
                <w:rStyle w:val="Hyperlink"/>
                <w:rFonts w:ascii="Times New Roman" w:hAnsi="Times New Roman" w:cs="Times New Roman"/>
                <w:noProof/>
                <w:sz w:val="24"/>
                <w:szCs w:val="24"/>
              </w:rPr>
              <w:t>A1: Traditional Onboarding versus Strategic Organisational Socialisation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_Toc232259602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4</w:t>
            </w:r>
            <w:r w:rsidR="006E3539" w:rsidRPr="006E3539">
              <w:rPr>
                <w:rFonts w:ascii="Times New Roman" w:hAnsi="Times New Roman" w:cs="Times New Roman"/>
                <w:noProof/>
                <w:webHidden/>
                <w:sz w:val="24"/>
                <w:szCs w:val="24"/>
              </w:rPr>
              <w:fldChar w:fldCharType="end"/>
            </w:r>
          </w:hyperlink>
        </w:p>
        <w:p w14:paraId="30606EDC" w14:textId="2B416655"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3" w:history="1">
            <w:r w:rsidR="006E3539" w:rsidRPr="006E3539">
              <w:rPr>
                <w:rStyle w:val="Hyperlink"/>
                <w:rFonts w:ascii="Times New Roman" w:hAnsi="Times New Roman" w:cs="Times New Roman"/>
                <w:noProof/>
                <w:sz w:val="24"/>
                <w:szCs w:val="24"/>
              </w:rPr>
              <w:t>A2: Structured Socialisation Framework for Helios Urban Mobility</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_Toc232259603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7</w:t>
            </w:r>
            <w:r w:rsidR="006E3539" w:rsidRPr="006E3539">
              <w:rPr>
                <w:rFonts w:ascii="Times New Roman" w:hAnsi="Times New Roman" w:cs="Times New Roman"/>
                <w:noProof/>
                <w:webHidden/>
                <w:sz w:val="24"/>
                <w:szCs w:val="24"/>
              </w:rPr>
              <w:fldChar w:fldCharType="end"/>
            </w:r>
          </w:hyperlink>
        </w:p>
        <w:p w14:paraId="7E89BF11" w14:textId="1750C4AD" w:rsidR="006E3539" w:rsidRPr="006E3539" w:rsidRDefault="00000000" w:rsidP="006E3539">
          <w:pPr>
            <w:pStyle w:val="TOC1"/>
            <w:tabs>
              <w:tab w:val="right" w:leader="dot" w:pos="9019"/>
            </w:tabs>
            <w:spacing w:line="360" w:lineRule="auto"/>
            <w:jc w:val="both"/>
            <w:rPr>
              <w:rFonts w:ascii="Times New Roman" w:hAnsi="Times New Roman" w:cs="Times New Roman"/>
              <w:noProof/>
              <w:sz w:val="24"/>
              <w:szCs w:val="24"/>
            </w:rPr>
          </w:pPr>
          <w:hyperlink w:anchor="_Toc232259604" w:history="1">
            <w:r w:rsidR="006E3539" w:rsidRPr="006E3539">
              <w:rPr>
                <w:rStyle w:val="Hyperlink"/>
                <w:rFonts w:ascii="Times New Roman" w:hAnsi="Times New Roman" w:cs="Times New Roman"/>
                <w:noProof/>
                <w:sz w:val="24"/>
                <w:szCs w:val="24"/>
              </w:rPr>
              <w:t>TASK B: Job Design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_Toc232259604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10</w:t>
            </w:r>
            <w:r w:rsidR="006E3539" w:rsidRPr="006E3539">
              <w:rPr>
                <w:rFonts w:ascii="Times New Roman" w:hAnsi="Times New Roman" w:cs="Times New Roman"/>
                <w:noProof/>
                <w:webHidden/>
                <w:sz w:val="24"/>
                <w:szCs w:val="24"/>
              </w:rPr>
              <w:fldChar w:fldCharType="end"/>
            </w:r>
          </w:hyperlink>
        </w:p>
        <w:p w14:paraId="0573E484" w14:textId="5F7DC022"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5" w:history="1">
            <w:r w:rsidR="006E3539" w:rsidRPr="006E3539">
              <w:rPr>
                <w:rStyle w:val="Hyperlink"/>
                <w:rFonts w:ascii="Times New Roman" w:hAnsi="Times New Roman" w:cs="Times New Roman"/>
                <w:noProof/>
                <w:sz w:val="24"/>
                <w:szCs w:val="24"/>
              </w:rPr>
              <w:t>B1: Innovative Job Design Strategy</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_Toc232259605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10</w:t>
            </w:r>
            <w:r w:rsidR="006E3539" w:rsidRPr="006E3539">
              <w:rPr>
                <w:rFonts w:ascii="Times New Roman" w:hAnsi="Times New Roman" w:cs="Times New Roman"/>
                <w:noProof/>
                <w:webHidden/>
                <w:sz w:val="24"/>
                <w:szCs w:val="24"/>
              </w:rPr>
              <w:fldChar w:fldCharType="end"/>
            </w:r>
          </w:hyperlink>
        </w:p>
        <w:p w14:paraId="4A1260D0" w14:textId="2C820225"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6" w:history="1">
            <w:r w:rsidR="006E3539" w:rsidRPr="006E3539">
              <w:rPr>
                <w:rStyle w:val="Hyperlink"/>
                <w:rFonts w:ascii="Times New Roman" w:hAnsi="Times New Roman" w:cs="Times New Roman"/>
                <w:noProof/>
                <w:sz w:val="24"/>
                <w:szCs w:val="24"/>
              </w:rPr>
              <w:t>B2: How the Design Stimulated Intrinsic Motivation and Supported Innovation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_Toc232259606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14</w:t>
            </w:r>
            <w:r w:rsidR="006E3539" w:rsidRPr="006E3539">
              <w:rPr>
                <w:rFonts w:ascii="Times New Roman" w:hAnsi="Times New Roman" w:cs="Times New Roman"/>
                <w:noProof/>
                <w:webHidden/>
                <w:sz w:val="24"/>
                <w:szCs w:val="24"/>
              </w:rPr>
              <w:fldChar w:fldCharType="end"/>
            </w:r>
          </w:hyperlink>
        </w:p>
        <w:p w14:paraId="3E18E2A1" w14:textId="14FBF9BB" w:rsidR="006E3539" w:rsidRPr="006E3539" w:rsidRDefault="00000000" w:rsidP="006E3539">
          <w:pPr>
            <w:pStyle w:val="TOC1"/>
            <w:tabs>
              <w:tab w:val="right" w:leader="dot" w:pos="9019"/>
            </w:tabs>
            <w:spacing w:line="360" w:lineRule="auto"/>
            <w:jc w:val="both"/>
            <w:rPr>
              <w:rFonts w:ascii="Times New Roman" w:hAnsi="Times New Roman" w:cs="Times New Roman"/>
              <w:noProof/>
              <w:sz w:val="24"/>
              <w:szCs w:val="24"/>
            </w:rPr>
          </w:pPr>
          <w:hyperlink w:anchor="_Toc232259607" w:history="1">
            <w:r w:rsidR="006E3539" w:rsidRPr="006E3539">
              <w:rPr>
                <w:rStyle w:val="Hyperlink"/>
                <w:rFonts w:ascii="Times New Roman" w:hAnsi="Times New Roman" w:cs="Times New Roman"/>
                <w:noProof/>
                <w:sz w:val="24"/>
                <w:szCs w:val="24"/>
              </w:rPr>
              <w:t>TASK C: Reflective report</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_Toc232259607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16</w:t>
            </w:r>
            <w:r w:rsidR="006E3539" w:rsidRPr="006E3539">
              <w:rPr>
                <w:rFonts w:ascii="Times New Roman" w:hAnsi="Times New Roman" w:cs="Times New Roman"/>
                <w:noProof/>
                <w:webHidden/>
                <w:sz w:val="24"/>
                <w:szCs w:val="24"/>
              </w:rPr>
              <w:fldChar w:fldCharType="end"/>
            </w:r>
          </w:hyperlink>
        </w:p>
        <w:p w14:paraId="5BBB16E0" w14:textId="4DF1EDD5"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8" w:history="1">
            <w:r w:rsidR="006E3539" w:rsidRPr="006E3539">
              <w:rPr>
                <w:rStyle w:val="Hyperlink"/>
                <w:rFonts w:ascii="Times New Roman" w:hAnsi="Times New Roman" w:cs="Times New Roman"/>
                <w:noProof/>
                <w:sz w:val="24"/>
                <w:szCs w:val="24"/>
              </w:rPr>
              <w:t>C1: AI as a Decision-Support Tool Without Eroding Critical Human Judgement</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_Toc232259608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16</w:t>
            </w:r>
            <w:r w:rsidR="006E3539" w:rsidRPr="006E3539">
              <w:rPr>
                <w:rFonts w:ascii="Times New Roman" w:hAnsi="Times New Roman" w:cs="Times New Roman"/>
                <w:noProof/>
                <w:webHidden/>
                <w:sz w:val="24"/>
                <w:szCs w:val="24"/>
              </w:rPr>
              <w:fldChar w:fldCharType="end"/>
            </w:r>
          </w:hyperlink>
        </w:p>
        <w:p w14:paraId="336967CB" w14:textId="3FF06E1F" w:rsidR="006E3539" w:rsidRPr="006E3539" w:rsidRDefault="00000000" w:rsidP="006E3539">
          <w:pPr>
            <w:pStyle w:val="TOC2"/>
            <w:tabs>
              <w:tab w:val="right" w:leader="dot" w:pos="9019"/>
            </w:tabs>
            <w:spacing w:line="360" w:lineRule="auto"/>
            <w:jc w:val="both"/>
            <w:rPr>
              <w:rFonts w:ascii="Times New Roman" w:hAnsi="Times New Roman" w:cs="Times New Roman"/>
              <w:noProof/>
              <w:sz w:val="24"/>
              <w:szCs w:val="24"/>
            </w:rPr>
          </w:pPr>
          <w:hyperlink w:anchor="_Toc232259609" w:history="1">
            <w:r w:rsidR="006E3539" w:rsidRPr="006E3539">
              <w:rPr>
                <w:rStyle w:val="Hyperlink"/>
                <w:rFonts w:ascii="Times New Roman" w:hAnsi="Times New Roman" w:cs="Times New Roman"/>
                <w:noProof/>
                <w:sz w:val="24"/>
                <w:szCs w:val="24"/>
              </w:rPr>
              <w:t>Task C2: Personal Capability Development Plan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_Toc232259609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17</w:t>
            </w:r>
            <w:r w:rsidR="006E3539" w:rsidRPr="006E3539">
              <w:rPr>
                <w:rFonts w:ascii="Times New Roman" w:hAnsi="Times New Roman" w:cs="Times New Roman"/>
                <w:noProof/>
                <w:webHidden/>
                <w:sz w:val="24"/>
                <w:szCs w:val="24"/>
              </w:rPr>
              <w:fldChar w:fldCharType="end"/>
            </w:r>
          </w:hyperlink>
        </w:p>
        <w:p w14:paraId="6DBF971B" w14:textId="506A764E" w:rsidR="006E3539" w:rsidRPr="006E3539" w:rsidRDefault="00000000" w:rsidP="006E3539">
          <w:pPr>
            <w:pStyle w:val="TOC1"/>
            <w:tabs>
              <w:tab w:val="right" w:leader="dot" w:pos="9019"/>
            </w:tabs>
            <w:spacing w:line="360" w:lineRule="auto"/>
            <w:jc w:val="both"/>
            <w:rPr>
              <w:rFonts w:ascii="Times New Roman" w:hAnsi="Times New Roman" w:cs="Times New Roman"/>
              <w:noProof/>
              <w:sz w:val="24"/>
              <w:szCs w:val="24"/>
            </w:rPr>
          </w:pPr>
          <w:hyperlink w:anchor="_Toc232259610" w:history="1">
            <w:r w:rsidR="006E3539" w:rsidRPr="006E3539">
              <w:rPr>
                <w:rStyle w:val="Hyperlink"/>
                <w:rFonts w:ascii="Times New Roman" w:hAnsi="Times New Roman" w:cs="Times New Roman"/>
                <w:noProof/>
                <w:sz w:val="24"/>
                <w:szCs w:val="24"/>
              </w:rPr>
              <w:t>Conclusion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_Toc232259610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18</w:t>
            </w:r>
            <w:r w:rsidR="006E3539" w:rsidRPr="006E3539">
              <w:rPr>
                <w:rFonts w:ascii="Times New Roman" w:hAnsi="Times New Roman" w:cs="Times New Roman"/>
                <w:noProof/>
                <w:webHidden/>
                <w:sz w:val="24"/>
                <w:szCs w:val="24"/>
              </w:rPr>
              <w:fldChar w:fldCharType="end"/>
            </w:r>
          </w:hyperlink>
        </w:p>
        <w:p w14:paraId="6A14E822" w14:textId="60F737F2" w:rsidR="006E3539" w:rsidRDefault="00000000" w:rsidP="006E3539">
          <w:pPr>
            <w:pStyle w:val="TOC1"/>
            <w:tabs>
              <w:tab w:val="right" w:leader="dot" w:pos="9019"/>
            </w:tabs>
            <w:spacing w:line="360" w:lineRule="auto"/>
            <w:jc w:val="both"/>
            <w:rPr>
              <w:noProof/>
            </w:rPr>
          </w:pPr>
          <w:hyperlink w:anchor="_Toc232259611" w:history="1">
            <w:r w:rsidR="006E3539" w:rsidRPr="006E3539">
              <w:rPr>
                <w:rStyle w:val="Hyperlink"/>
                <w:rFonts w:ascii="Times New Roman" w:hAnsi="Times New Roman" w:cs="Times New Roman"/>
                <w:noProof/>
                <w:sz w:val="24"/>
                <w:szCs w:val="24"/>
              </w:rPr>
              <w:t>References</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_Toc232259611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19</w:t>
            </w:r>
            <w:r w:rsidR="006E3539" w:rsidRPr="006E3539">
              <w:rPr>
                <w:rFonts w:ascii="Times New Roman" w:hAnsi="Times New Roman" w:cs="Times New Roman"/>
                <w:noProof/>
                <w:webHidden/>
                <w:sz w:val="24"/>
                <w:szCs w:val="24"/>
              </w:rPr>
              <w:fldChar w:fldCharType="end"/>
            </w:r>
          </w:hyperlink>
        </w:p>
        <w:p w14:paraId="5619BE86" w14:textId="072A2618" w:rsidR="006E3539" w:rsidRDefault="006E3539">
          <w:r>
            <w:rPr>
              <w:b/>
              <w:bCs/>
              <w:noProof/>
            </w:rPr>
            <w:fldChar w:fldCharType="end"/>
          </w:r>
        </w:p>
      </w:sdtContent>
    </w:sdt>
    <w:p w14:paraId="52487786" w14:textId="77777777" w:rsidR="006E3539" w:rsidRDefault="006E3539">
      <w:r>
        <w:br w:type="page"/>
      </w:r>
    </w:p>
    <w:p w14:paraId="13917E07" w14:textId="77777777" w:rsidR="006E3539" w:rsidRPr="006E3539" w:rsidRDefault="006E3539" w:rsidP="006E3539">
      <w:pPr>
        <w:spacing w:line="360" w:lineRule="auto"/>
        <w:jc w:val="center"/>
        <w:rPr>
          <w:rFonts w:ascii="Times New Roman" w:hAnsi="Times New Roman" w:cs="Times New Roman"/>
          <w:b/>
          <w:bCs/>
          <w:sz w:val="24"/>
          <w:szCs w:val="24"/>
        </w:rPr>
      </w:pPr>
      <w:r w:rsidRPr="006E3539">
        <w:rPr>
          <w:rFonts w:ascii="Times New Roman" w:hAnsi="Times New Roman" w:cs="Times New Roman"/>
          <w:b/>
          <w:bCs/>
          <w:sz w:val="24"/>
          <w:szCs w:val="24"/>
        </w:rPr>
        <w:lastRenderedPageBreak/>
        <w:t>List of Figures</w:t>
      </w:r>
    </w:p>
    <w:p w14:paraId="00D2DA85" w14:textId="72F844A1" w:rsidR="006E3539" w:rsidRPr="006E3539" w:rsidRDefault="006E3539" w:rsidP="006E3539">
      <w:pPr>
        <w:pStyle w:val="TableofFigures"/>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\h \z \t "Heading 4" \c </w:instrText>
      </w:r>
      <w:r>
        <w:fldChar w:fldCharType="separate"/>
      </w:r>
      <w:hyperlink w:anchor="_Toc232259637" w:history="1">
        <w:r w:rsidRPr="006E3539">
          <w:rPr>
            <w:rStyle w:val="Hyperlink"/>
            <w:rFonts w:ascii="Times New Roman" w:hAnsi="Times New Roman" w:cs="Times New Roman"/>
            <w:noProof/>
            <w:sz w:val="24"/>
            <w:szCs w:val="24"/>
          </w:rPr>
          <w:t>Figure 1: Changes in unemployment and labour shortages, EU (2005-2025)</w:t>
        </w:r>
        <w:r w:rsidRPr="006E3539">
          <w:rPr>
            <w:rFonts w:ascii="Times New Roman" w:hAnsi="Times New Roman" w:cs="Times New Roman"/>
            <w:noProof/>
            <w:webHidden/>
            <w:sz w:val="24"/>
            <w:szCs w:val="24"/>
          </w:rPr>
          <w:tab/>
        </w:r>
        <w:r w:rsidRPr="006E3539">
          <w:rPr>
            <w:rFonts w:ascii="Times New Roman" w:hAnsi="Times New Roman" w:cs="Times New Roman"/>
            <w:noProof/>
            <w:webHidden/>
            <w:sz w:val="24"/>
            <w:szCs w:val="24"/>
          </w:rPr>
          <w:fldChar w:fldCharType="begin"/>
        </w:r>
        <w:r w:rsidRPr="006E3539">
          <w:rPr>
            <w:rFonts w:ascii="Times New Roman" w:hAnsi="Times New Roman" w:cs="Times New Roman"/>
            <w:noProof/>
            <w:webHidden/>
            <w:sz w:val="24"/>
            <w:szCs w:val="24"/>
          </w:rPr>
          <w:instrText xml:space="preserve"> PAGEREF _Toc232259637 \h </w:instrText>
        </w:r>
        <w:r w:rsidRPr="006E3539">
          <w:rPr>
            <w:rFonts w:ascii="Times New Roman" w:hAnsi="Times New Roman" w:cs="Times New Roman"/>
            <w:noProof/>
            <w:webHidden/>
            <w:sz w:val="24"/>
            <w:szCs w:val="24"/>
          </w:rPr>
        </w:r>
        <w:r w:rsidRPr="006E3539">
          <w:rPr>
            <w:rFonts w:ascii="Times New Roman" w:hAnsi="Times New Roman" w:cs="Times New Roman"/>
            <w:noProof/>
            <w:webHidden/>
            <w:sz w:val="24"/>
            <w:szCs w:val="24"/>
          </w:rPr>
          <w:fldChar w:fldCharType="separate"/>
        </w:r>
        <w:r w:rsidRPr="006E3539">
          <w:rPr>
            <w:rFonts w:ascii="Times New Roman" w:hAnsi="Times New Roman" w:cs="Times New Roman"/>
            <w:noProof/>
            <w:webHidden/>
            <w:sz w:val="24"/>
            <w:szCs w:val="24"/>
          </w:rPr>
          <w:t>6</w:t>
        </w:r>
        <w:r w:rsidRPr="006E3539">
          <w:rPr>
            <w:rFonts w:ascii="Times New Roman" w:hAnsi="Times New Roman" w:cs="Times New Roman"/>
            <w:noProof/>
            <w:webHidden/>
            <w:sz w:val="24"/>
            <w:szCs w:val="24"/>
          </w:rPr>
          <w:fldChar w:fldCharType="end"/>
        </w:r>
      </w:hyperlink>
    </w:p>
    <w:p w14:paraId="3415CC86" w14:textId="4218A391"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38" w:history="1">
        <w:r w:rsidR="006E3539" w:rsidRPr="006E3539">
          <w:rPr>
            <w:rStyle w:val="Hyperlink"/>
            <w:rFonts w:ascii="Times New Roman" w:hAnsi="Times New Roman" w:cs="Times New Roman"/>
            <w:noProof/>
            <w:sz w:val="24"/>
            <w:szCs w:val="24"/>
          </w:rPr>
          <w:t>Figure 2: Job Market Optimism Among European Employees Remains High</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_Toc232259638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7</w:t>
        </w:r>
        <w:r w:rsidR="006E3539" w:rsidRPr="006E3539">
          <w:rPr>
            <w:rFonts w:ascii="Times New Roman" w:hAnsi="Times New Roman" w:cs="Times New Roman"/>
            <w:noProof/>
            <w:webHidden/>
            <w:sz w:val="24"/>
            <w:szCs w:val="24"/>
          </w:rPr>
          <w:fldChar w:fldCharType="end"/>
        </w:r>
      </w:hyperlink>
    </w:p>
    <w:p w14:paraId="435410F7" w14:textId="4C00F0FF"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39" w:history="1">
        <w:r w:rsidR="006E3539" w:rsidRPr="006E3539">
          <w:rPr>
            <w:rStyle w:val="Hyperlink"/>
            <w:rFonts w:ascii="Times New Roman" w:hAnsi="Times New Roman" w:cs="Times New Roman"/>
            <w:noProof/>
            <w:sz w:val="24"/>
            <w:szCs w:val="24"/>
          </w:rPr>
          <w:t>Figure 3: Job Market Optimism Among European Employees Has Risen More Than in Any Other Region</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_Toc232259639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9</w:t>
        </w:r>
        <w:r w:rsidR="006E3539" w:rsidRPr="006E3539">
          <w:rPr>
            <w:rFonts w:ascii="Times New Roman" w:hAnsi="Times New Roman" w:cs="Times New Roman"/>
            <w:noProof/>
            <w:webHidden/>
            <w:sz w:val="24"/>
            <w:szCs w:val="24"/>
          </w:rPr>
          <w:fldChar w:fldCharType="end"/>
        </w:r>
      </w:hyperlink>
    </w:p>
    <w:p w14:paraId="0B1BA25F" w14:textId="7CF5D123"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0" w:history="1">
        <w:r w:rsidR="006E3539" w:rsidRPr="006E3539">
          <w:rPr>
            <w:rStyle w:val="Hyperlink"/>
            <w:rFonts w:ascii="Times New Roman" w:hAnsi="Times New Roman" w:cs="Times New Roman"/>
            <w:noProof/>
            <w:sz w:val="24"/>
            <w:szCs w:val="24"/>
          </w:rPr>
          <w:t>Figure 4: 10 Biggest Global Increases in Employee Job Market Optimism Are from Europe</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_Toc232259640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10</w:t>
        </w:r>
        <w:r w:rsidR="006E3539" w:rsidRPr="006E3539">
          <w:rPr>
            <w:rFonts w:ascii="Times New Roman" w:hAnsi="Times New Roman" w:cs="Times New Roman"/>
            <w:noProof/>
            <w:webHidden/>
            <w:sz w:val="24"/>
            <w:szCs w:val="24"/>
          </w:rPr>
          <w:fldChar w:fldCharType="end"/>
        </w:r>
      </w:hyperlink>
    </w:p>
    <w:p w14:paraId="3E30CF02" w14:textId="2E91B9D7"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1" w:history="1">
        <w:r w:rsidR="006E3539" w:rsidRPr="006E3539">
          <w:rPr>
            <w:rStyle w:val="Hyperlink"/>
            <w:rFonts w:ascii="Times New Roman" w:hAnsi="Times New Roman" w:cs="Times New Roman"/>
            <w:noProof/>
            <w:sz w:val="24"/>
            <w:szCs w:val="24"/>
          </w:rPr>
          <w:t>Figure 5: Annualised growth rates for GDP, employment and productivity in periods of positive GDP growth</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_Toc232259641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12</w:t>
        </w:r>
        <w:r w:rsidR="006E3539" w:rsidRPr="006E3539">
          <w:rPr>
            <w:rFonts w:ascii="Times New Roman" w:hAnsi="Times New Roman" w:cs="Times New Roman"/>
            <w:noProof/>
            <w:webHidden/>
            <w:sz w:val="24"/>
            <w:szCs w:val="24"/>
          </w:rPr>
          <w:fldChar w:fldCharType="end"/>
        </w:r>
      </w:hyperlink>
    </w:p>
    <w:p w14:paraId="718257EA" w14:textId="54CE2959"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2" w:history="1">
        <w:r w:rsidR="006E3539" w:rsidRPr="006E3539">
          <w:rPr>
            <w:rStyle w:val="Hyperlink"/>
            <w:rFonts w:ascii="Times New Roman" w:hAnsi="Times New Roman" w:cs="Times New Roman"/>
            <w:noProof/>
            <w:sz w:val="24"/>
            <w:szCs w:val="24"/>
          </w:rPr>
          <w:t>Figure 6: Number of employees in the European Union 2025, by sector</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_Toc232259642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13</w:t>
        </w:r>
        <w:r w:rsidR="006E3539" w:rsidRPr="006E3539">
          <w:rPr>
            <w:rFonts w:ascii="Times New Roman" w:hAnsi="Times New Roman" w:cs="Times New Roman"/>
            <w:noProof/>
            <w:webHidden/>
            <w:sz w:val="24"/>
            <w:szCs w:val="24"/>
          </w:rPr>
          <w:fldChar w:fldCharType="end"/>
        </w:r>
      </w:hyperlink>
    </w:p>
    <w:p w14:paraId="3073A432" w14:textId="39E5331F"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3" w:history="1">
        <w:r w:rsidR="006E3539" w:rsidRPr="006E3539">
          <w:rPr>
            <w:rStyle w:val="Hyperlink"/>
            <w:rFonts w:ascii="Times New Roman" w:hAnsi="Times New Roman" w:cs="Times New Roman"/>
            <w:noProof/>
            <w:sz w:val="24"/>
            <w:szCs w:val="24"/>
          </w:rPr>
          <w:t>Figure 7: Labour Market Slack and Employment Rate in the EU, Q1 2013 to Q1 2026</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_Toc232259643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14</w:t>
        </w:r>
        <w:r w:rsidR="006E3539" w:rsidRPr="006E3539">
          <w:rPr>
            <w:rFonts w:ascii="Times New Roman" w:hAnsi="Times New Roman" w:cs="Times New Roman"/>
            <w:noProof/>
            <w:webHidden/>
            <w:sz w:val="24"/>
            <w:szCs w:val="24"/>
          </w:rPr>
          <w:fldChar w:fldCharType="end"/>
        </w:r>
      </w:hyperlink>
    </w:p>
    <w:p w14:paraId="5F6ED320" w14:textId="3EA60A5D" w:rsidR="006E3539" w:rsidRPr="006E3539" w:rsidRDefault="00000000" w:rsidP="006E3539">
      <w:pPr>
        <w:pStyle w:val="TableofFigures"/>
        <w:tabs>
          <w:tab w:val="right" w:leader="dot" w:pos="9019"/>
        </w:tabs>
        <w:spacing w:line="360" w:lineRule="auto"/>
        <w:jc w:val="both"/>
        <w:rPr>
          <w:rFonts w:ascii="Times New Roman" w:hAnsi="Times New Roman" w:cs="Times New Roman"/>
          <w:noProof/>
          <w:sz w:val="24"/>
          <w:szCs w:val="24"/>
        </w:rPr>
      </w:pPr>
      <w:hyperlink w:anchor="_Toc232259644" w:history="1">
        <w:r w:rsidR="006E3539" w:rsidRPr="006E3539">
          <w:rPr>
            <w:rStyle w:val="Hyperlink"/>
            <w:rFonts w:ascii="Times New Roman" w:hAnsi="Times New Roman" w:cs="Times New Roman"/>
            <w:noProof/>
            <w:sz w:val="24"/>
            <w:szCs w:val="24"/>
          </w:rPr>
          <w:t>Figure 8: Change in Employment Rate, Q1 2026 compared with Q4 2025</w:t>
        </w:r>
        <w:r w:rsidR="006E3539" w:rsidRPr="006E3539">
          <w:rPr>
            <w:rFonts w:ascii="Times New Roman" w:hAnsi="Times New Roman" w:cs="Times New Roman"/>
            <w:noProof/>
            <w:webHidden/>
            <w:sz w:val="24"/>
            <w:szCs w:val="24"/>
          </w:rPr>
          <w:tab/>
        </w:r>
        <w:r w:rsidR="006E3539" w:rsidRPr="006E3539">
          <w:rPr>
            <w:rFonts w:ascii="Times New Roman" w:hAnsi="Times New Roman" w:cs="Times New Roman"/>
            <w:noProof/>
            <w:webHidden/>
            <w:sz w:val="24"/>
            <w:szCs w:val="24"/>
          </w:rPr>
          <w:fldChar w:fldCharType="begin"/>
        </w:r>
        <w:r w:rsidR="006E3539" w:rsidRPr="006E3539">
          <w:rPr>
            <w:rFonts w:ascii="Times New Roman" w:hAnsi="Times New Roman" w:cs="Times New Roman"/>
            <w:noProof/>
            <w:webHidden/>
            <w:sz w:val="24"/>
            <w:szCs w:val="24"/>
          </w:rPr>
          <w:instrText xml:space="preserve"> PAGEREF _Toc232259644 \h </w:instrText>
        </w:r>
        <w:r w:rsidR="006E3539" w:rsidRPr="006E3539">
          <w:rPr>
            <w:rFonts w:ascii="Times New Roman" w:hAnsi="Times New Roman" w:cs="Times New Roman"/>
            <w:noProof/>
            <w:webHidden/>
            <w:sz w:val="24"/>
            <w:szCs w:val="24"/>
          </w:rPr>
        </w:r>
        <w:r w:rsidR="006E3539" w:rsidRPr="006E3539">
          <w:rPr>
            <w:rFonts w:ascii="Times New Roman" w:hAnsi="Times New Roman" w:cs="Times New Roman"/>
            <w:noProof/>
            <w:webHidden/>
            <w:sz w:val="24"/>
            <w:szCs w:val="24"/>
          </w:rPr>
          <w:fldChar w:fldCharType="separate"/>
        </w:r>
        <w:r w:rsidR="006E3539" w:rsidRPr="006E3539">
          <w:rPr>
            <w:rFonts w:ascii="Times New Roman" w:hAnsi="Times New Roman" w:cs="Times New Roman"/>
            <w:noProof/>
            <w:webHidden/>
            <w:sz w:val="24"/>
            <w:szCs w:val="24"/>
          </w:rPr>
          <w:t>15</w:t>
        </w:r>
        <w:r w:rsidR="006E3539" w:rsidRPr="006E3539">
          <w:rPr>
            <w:rFonts w:ascii="Times New Roman" w:hAnsi="Times New Roman" w:cs="Times New Roman"/>
            <w:noProof/>
            <w:webHidden/>
            <w:sz w:val="24"/>
            <w:szCs w:val="24"/>
          </w:rPr>
          <w:fldChar w:fldCharType="end"/>
        </w:r>
      </w:hyperlink>
    </w:p>
    <w:p w14:paraId="29086FB7" w14:textId="77777777" w:rsidR="006E3539" w:rsidRDefault="006E3539">
      <w:pPr>
        <w:spacing w:line="360" w:lineRule="auto"/>
        <w:jc w:val="both"/>
      </w:pPr>
      <w:r>
        <w:fldChar w:fldCharType="end"/>
      </w:r>
    </w:p>
    <w:p w14:paraId="30588506" w14:textId="77777777" w:rsidR="006E3539" w:rsidRDefault="006E3539">
      <w:r>
        <w:br w:type="page"/>
      </w:r>
    </w:p>
    <w:p w14:paraId="4557A69E" w14:textId="77777777" w:rsidR="006E3539" w:rsidRPr="006E3539" w:rsidRDefault="006E3539" w:rsidP="006E3539">
      <w:pPr>
        <w:spacing w:line="360" w:lineRule="auto"/>
        <w:jc w:val="center"/>
        <w:rPr>
          <w:rFonts w:ascii="Times New Roman" w:hAnsi="Times New Roman" w:cs="Times New Roman"/>
          <w:b/>
          <w:bCs/>
          <w:sz w:val="24"/>
          <w:szCs w:val="24"/>
        </w:rPr>
      </w:pPr>
      <w:r w:rsidRPr="006E3539">
        <w:rPr>
          <w:rFonts w:ascii="Times New Roman" w:hAnsi="Times New Roman" w:cs="Times New Roman"/>
          <w:b/>
          <w:bCs/>
          <w:sz w:val="24"/>
          <w:szCs w:val="24"/>
        </w:rPr>
        <w:lastRenderedPageBreak/>
        <w:t>List of Tables</w:t>
      </w:r>
    </w:p>
    <w:p w14:paraId="7A75C480" w14:textId="6B528C00" w:rsidR="006E3539" w:rsidRPr="006E3539" w:rsidRDefault="006E3539" w:rsidP="006E3539">
      <w:pPr>
        <w:pStyle w:val="TableofFigures"/>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r w:rsidRPr="006E3539">
        <w:rPr>
          <w:rFonts w:ascii="Times New Roman" w:hAnsi="Times New Roman" w:cs="Times New Roman"/>
          <w:sz w:val="24"/>
          <w:szCs w:val="24"/>
        </w:rPr>
        <w:fldChar w:fldCharType="begin"/>
      </w:r>
      <w:r w:rsidRPr="006E3539">
        <w:rPr>
          <w:rFonts w:ascii="Times New Roman" w:hAnsi="Times New Roman" w:cs="Times New Roman"/>
          <w:sz w:val="24"/>
          <w:szCs w:val="24"/>
        </w:rPr>
        <w:instrText xml:space="preserve"> TOC \h \z \t "Heading 5" \c </w:instrText>
      </w:r>
      <w:r w:rsidRPr="006E3539">
        <w:rPr>
          <w:rFonts w:ascii="Times New Roman" w:hAnsi="Times New Roman" w:cs="Times New Roman"/>
          <w:sz w:val="24"/>
          <w:szCs w:val="24"/>
        </w:rPr>
        <w:fldChar w:fldCharType="separate"/>
      </w:r>
      <w:hyperlink w:anchor="_Toc232259654" w:history="1">
        <w:r w:rsidRPr="006E3539">
          <w:rPr>
            <w:rStyle w:val="Hyperlink"/>
            <w:rFonts w:ascii="Times New Roman" w:hAnsi="Times New Roman" w:cs="Times New Roman"/>
            <w:noProof/>
            <w:sz w:val="24"/>
            <w:szCs w:val="24"/>
          </w:rPr>
          <w:t>Table 1: Personal Development Table</w:t>
        </w:r>
        <w:r w:rsidRPr="006E3539">
          <w:rPr>
            <w:rFonts w:ascii="Times New Roman" w:hAnsi="Times New Roman" w:cs="Times New Roman"/>
            <w:noProof/>
            <w:webHidden/>
            <w:sz w:val="24"/>
            <w:szCs w:val="24"/>
          </w:rPr>
          <w:tab/>
        </w:r>
        <w:r w:rsidRPr="006E3539">
          <w:rPr>
            <w:rFonts w:ascii="Times New Roman" w:hAnsi="Times New Roman" w:cs="Times New Roman"/>
            <w:noProof/>
            <w:webHidden/>
            <w:sz w:val="24"/>
            <w:szCs w:val="24"/>
          </w:rPr>
          <w:fldChar w:fldCharType="begin"/>
        </w:r>
        <w:r w:rsidRPr="006E3539">
          <w:rPr>
            <w:rFonts w:ascii="Times New Roman" w:hAnsi="Times New Roman" w:cs="Times New Roman"/>
            <w:noProof/>
            <w:webHidden/>
            <w:sz w:val="24"/>
            <w:szCs w:val="24"/>
          </w:rPr>
          <w:instrText xml:space="preserve"> PAGEREF _Toc232259654 \h </w:instrText>
        </w:r>
        <w:r w:rsidRPr="006E3539">
          <w:rPr>
            <w:rFonts w:ascii="Times New Roman" w:hAnsi="Times New Roman" w:cs="Times New Roman"/>
            <w:noProof/>
            <w:webHidden/>
            <w:sz w:val="24"/>
            <w:szCs w:val="24"/>
          </w:rPr>
        </w:r>
        <w:r w:rsidRPr="006E3539">
          <w:rPr>
            <w:rFonts w:ascii="Times New Roman" w:hAnsi="Times New Roman" w:cs="Times New Roman"/>
            <w:noProof/>
            <w:webHidden/>
            <w:sz w:val="24"/>
            <w:szCs w:val="24"/>
          </w:rPr>
          <w:fldChar w:fldCharType="separate"/>
        </w:r>
        <w:r w:rsidRPr="006E3539">
          <w:rPr>
            <w:rFonts w:ascii="Times New Roman" w:hAnsi="Times New Roman" w:cs="Times New Roman"/>
            <w:noProof/>
            <w:webHidden/>
            <w:sz w:val="24"/>
            <w:szCs w:val="24"/>
          </w:rPr>
          <w:t>19</w:t>
        </w:r>
        <w:r w:rsidRPr="006E3539">
          <w:rPr>
            <w:rFonts w:ascii="Times New Roman" w:hAnsi="Times New Roman" w:cs="Times New Roman"/>
            <w:noProof/>
            <w:webHidden/>
            <w:sz w:val="24"/>
            <w:szCs w:val="24"/>
          </w:rPr>
          <w:fldChar w:fldCharType="end"/>
        </w:r>
      </w:hyperlink>
    </w:p>
    <w:p w14:paraId="35155028" w14:textId="13005F55" w:rsidR="005F68A2" w:rsidRDefault="006E3539" w:rsidP="006E3539">
      <w:pPr>
        <w:spacing w:line="360" w:lineRule="auto"/>
        <w:jc w:val="both"/>
        <w:rPr>
          <w:rFonts w:ascii="Times New Roman" w:eastAsia="Times New Roman" w:hAnsi="Times New Roman" w:cs="Times New Roman"/>
          <w:b/>
          <w:bCs/>
          <w:sz w:val="24"/>
          <w:szCs w:val="24"/>
        </w:rPr>
      </w:pPr>
      <w:r w:rsidRPr="006E3539">
        <w:rPr>
          <w:rFonts w:ascii="Times New Roman" w:hAnsi="Times New Roman" w:cs="Times New Roman"/>
          <w:sz w:val="24"/>
          <w:szCs w:val="24"/>
        </w:rPr>
        <w:fldChar w:fldCharType="end"/>
      </w:r>
      <w:r>
        <w:br w:type="page"/>
      </w:r>
    </w:p>
    <w:p w14:paraId="0DB0E1B4" w14:textId="77777777" w:rsidR="005F68A2" w:rsidRDefault="00000000" w:rsidP="000E4682">
      <w:pPr>
        <w:pStyle w:val="Heading1"/>
      </w:pPr>
      <w:bookmarkStart w:id="0" w:name="_Toc232259600"/>
      <w:r>
        <w:lastRenderedPageBreak/>
        <w:t>Introduction</w:t>
      </w:r>
      <w:bookmarkEnd w:id="0"/>
    </w:p>
    <w:p w14:paraId="55CF81B1"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highlighted strategic human capital interventions to organisational issues. Socialisation, job design, development of employability and sustainment of performance of the workforce in international business operations were the focus of recommendations.  </w:t>
      </w:r>
    </w:p>
    <w:p w14:paraId="14AF5233" w14:textId="7DBBF5A1" w:rsidR="005F68A2" w:rsidRDefault="00000000" w:rsidP="000E4682">
      <w:pPr>
        <w:pStyle w:val="Heading1"/>
      </w:pPr>
      <w:bookmarkStart w:id="1" w:name="_Toc232259601"/>
      <w:r>
        <w:t>TASK A: Socialisation, Identity &amp; Business Activism</w:t>
      </w:r>
      <w:bookmarkEnd w:id="1"/>
    </w:p>
    <w:p w14:paraId="24F11B69" w14:textId="77777777" w:rsidR="005F68A2" w:rsidRDefault="00000000" w:rsidP="000E4682">
      <w:pPr>
        <w:pStyle w:val="Heading2"/>
        <w:rPr>
          <w:i/>
          <w:iCs/>
        </w:rPr>
      </w:pPr>
      <w:bookmarkStart w:id="2" w:name="_Toc232259602"/>
      <w:r>
        <w:t>A1: Traditional Onboarding versus Strategic Organisational Socialisation</w:t>
      </w:r>
      <w:bookmarkEnd w:id="2"/>
      <w:r>
        <w:rPr>
          <w:i/>
          <w:iCs/>
        </w:rPr>
        <w:t xml:space="preserve"> </w:t>
      </w:r>
    </w:p>
    <w:p w14:paraId="50B55D6A" w14:textId="77777777" w:rsidR="005F68A2"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(i) Van Maanen and Schein's Organisational Socialisation Theory </w:t>
      </w:r>
    </w:p>
    <w:p w14:paraId="58CD9648" w14:textId="4100BEAC"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traditional onboarding process primarily conveyed knowledge of the </w:t>
      </w:r>
      <w:r w:rsidR="000E4682">
        <w:rPr>
          <w:rFonts w:ascii="Times New Roman" w:eastAsia="Times New Roman" w:hAnsi="Times New Roman" w:cs="Times New Roman"/>
          <w:sz w:val="24"/>
          <w:szCs w:val="24"/>
        </w:rPr>
        <w:t>procedures and</w:t>
      </w:r>
      <w:r>
        <w:rPr>
          <w:rFonts w:ascii="Times New Roman" w:eastAsia="Times New Roman" w:hAnsi="Times New Roman" w:cs="Times New Roman"/>
          <w:sz w:val="24"/>
          <w:szCs w:val="24"/>
        </w:rPr>
        <w:t xml:space="preserve"> was not enough to solve Helios' long-term eight-month ramp-up problem. Focusing on the notion of socialisation, Van Maanen and Schein proposed that well-structured experiences helped employees to adjust and integrate into an organisation (Islam et al. 2025). Collective and sequential tactics would have ensured uniform learning experiences in both London and Berlin operations and in Singapore. Labour market employment in the EU went on to create jobs in recent years, although the number of jobs created started to slow down towards the end of the two years due to slowdowns in economic activity. </w:t>
      </w:r>
    </w:p>
    <w:p w14:paraId="620B1BC6"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207AA91" wp14:editId="5B2762CD">
            <wp:extent cx="5731200" cy="487680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4876800"/>
                    </a:xfrm>
                    <a:prstGeom prst="rect">
                      <a:avLst/>
                    </a:prstGeom>
                    <a:ln w="12700">
                      <a:solidFill>
                        <a:srgbClr val="000000"/>
                      </a:solidFill>
                      <a:prstDash val="solid"/>
                    </a:ln>
                  </pic:spPr>
                </pic:pic>
              </a:graphicData>
            </a:graphic>
          </wp:inline>
        </w:drawing>
      </w:r>
    </w:p>
    <w:p w14:paraId="5F35700B" w14:textId="77777777" w:rsidR="005F68A2" w:rsidRDefault="00000000" w:rsidP="000E4682">
      <w:pPr>
        <w:pStyle w:val="Heading4"/>
      </w:pPr>
      <w:bookmarkStart w:id="3" w:name="_Toc232259637"/>
      <w:r>
        <w:t>Figure 1: Changes in unemployment and labour shortages, EU (2005-2025)</w:t>
      </w:r>
      <w:bookmarkEnd w:id="3"/>
      <w:r>
        <w:t xml:space="preserve"> </w:t>
      </w:r>
    </w:p>
    <w:p w14:paraId="20182C2A"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Economy-Finance, 2026)</w:t>
      </w:r>
    </w:p>
    <w:p w14:paraId="5A631CC0" w14:textId="77777777"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At the end of 2025, labour shortages were no longer at levels reached in late 2022 and were once again at pre-pandemic levels. In the face of this normalisation, however, the EU average unemployment rate has remained at a low level of approximately </w:t>
      </w:r>
      <w:r>
        <w:rPr>
          <w:rFonts w:ascii="Times New Roman" w:eastAsia="Times New Roman" w:hAnsi="Times New Roman" w:cs="Times New Roman"/>
          <w:b/>
          <w:bCs/>
          <w:i/>
          <w:iCs/>
          <w:sz w:val="24"/>
          <w:szCs w:val="24"/>
        </w:rPr>
        <w:t>6%</w:t>
      </w:r>
      <w:r>
        <w:rPr>
          <w:rFonts w:ascii="Times New Roman" w:eastAsia="Times New Roman" w:hAnsi="Times New Roman" w:cs="Times New Roman"/>
          <w:sz w:val="24"/>
          <w:szCs w:val="24"/>
        </w:rPr>
        <w:t xml:space="preserve">, the lowest it has been in the past (Economy-Finance, 2026). Helios needed more than just individual onboarding events to enable structured socialisation. </w:t>
      </w:r>
    </w:p>
    <w:p w14:paraId="2752D542" w14:textId="77777777" w:rsidR="005F68A2"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(ii) Psychological Contract Theory </w:t>
      </w:r>
    </w:p>
    <w:p w14:paraId="2FCC00D8" w14:textId="7040EA82"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Onboarding often focuses on paperwork and the legal and compliance </w:t>
      </w:r>
      <w:r w:rsidR="000E4682">
        <w:rPr>
          <w:rFonts w:ascii="Times New Roman" w:eastAsia="Times New Roman" w:hAnsi="Times New Roman" w:cs="Times New Roman"/>
          <w:sz w:val="24"/>
          <w:szCs w:val="24"/>
        </w:rPr>
        <w:t>duties and</w:t>
      </w:r>
      <w:r>
        <w:rPr>
          <w:rFonts w:ascii="Times New Roman" w:eastAsia="Times New Roman" w:hAnsi="Times New Roman" w:cs="Times New Roman"/>
          <w:sz w:val="24"/>
          <w:szCs w:val="24"/>
        </w:rPr>
        <w:t xml:space="preserve"> fails to address many of the unspoken expectations that employees have. Relational psychological contracts would have been reinforced with ongoing support mechanisms if there were strategic organisational socialisation. Youth unemployment fell from </w:t>
      </w:r>
      <w:r>
        <w:rPr>
          <w:rFonts w:ascii="Times New Roman" w:eastAsia="Times New Roman" w:hAnsi="Times New Roman" w:cs="Times New Roman"/>
          <w:b/>
          <w:bCs/>
          <w:i/>
          <w:iCs/>
          <w:sz w:val="24"/>
          <w:szCs w:val="24"/>
        </w:rPr>
        <w:t>16.7%</w:t>
      </w:r>
      <w:r>
        <w:rPr>
          <w:rFonts w:ascii="Times New Roman" w:eastAsia="Times New Roman" w:hAnsi="Times New Roman" w:cs="Times New Roman"/>
          <w:sz w:val="24"/>
          <w:szCs w:val="24"/>
        </w:rPr>
        <w:t xml:space="preserve"> in 2021 to </w:t>
      </w:r>
      <w:r>
        <w:rPr>
          <w:rFonts w:ascii="Times New Roman" w:eastAsia="Times New Roman" w:hAnsi="Times New Roman" w:cs="Times New Roman"/>
          <w:b/>
          <w:bCs/>
          <w:i/>
          <w:iCs/>
          <w:sz w:val="24"/>
          <w:szCs w:val="24"/>
        </w:rPr>
        <w:t>14.5%</w:t>
      </w:r>
      <w:r>
        <w:rPr>
          <w:rFonts w:ascii="Times New Roman" w:eastAsia="Times New Roman" w:hAnsi="Times New Roman" w:cs="Times New Roman"/>
          <w:sz w:val="24"/>
          <w:szCs w:val="24"/>
        </w:rPr>
        <w:t xml:space="preserve"> in 2022, but remains a major challenge (Europa, 2023). There was a declining engagement rate </w:t>
      </w:r>
      <w:r>
        <w:rPr>
          <w:rFonts w:ascii="Times New Roman" w:eastAsia="Times New Roman" w:hAnsi="Times New Roman" w:cs="Times New Roman"/>
          <w:sz w:val="24"/>
          <w:szCs w:val="24"/>
        </w:rPr>
        <w:lastRenderedPageBreak/>
        <w:t xml:space="preserve">associated with Helios, as employees may have had expectations that they were not being met regarding career and/or </w:t>
      </w:r>
      <w:r w:rsidR="000E4682">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xml:space="preserve"> </w:t>
      </w:r>
    </w:p>
    <w:p w14:paraId="40493D54" w14:textId="77777777" w:rsidR="005F68A2"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(iii) Identity Construction Theory </w:t>
      </w:r>
    </w:p>
    <w:p w14:paraId="54C297B5" w14:textId="3EC9609E"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theory of identity construction proposed that commitment was related to the meaningful internalisation of organisational values. Helios was embedded in groundbreaking smart-transport markets calling for a high level of collective purpose and collaboration. Only </w:t>
      </w:r>
      <w:r>
        <w:rPr>
          <w:rFonts w:ascii="Times New Roman" w:eastAsia="Times New Roman" w:hAnsi="Times New Roman" w:cs="Times New Roman"/>
          <w:b/>
          <w:bCs/>
          <w:i/>
          <w:iCs/>
          <w:sz w:val="24"/>
          <w:szCs w:val="24"/>
        </w:rPr>
        <w:t>12%</w:t>
      </w:r>
      <w:r>
        <w:rPr>
          <w:rFonts w:ascii="Times New Roman" w:eastAsia="Times New Roman" w:hAnsi="Times New Roman" w:cs="Times New Roman"/>
          <w:sz w:val="24"/>
          <w:szCs w:val="24"/>
        </w:rPr>
        <w:t xml:space="preserve"> of European workers feel highly engaged in their work in 2025, which has remained </w:t>
      </w:r>
      <w:r w:rsidR="000E4682">
        <w:rPr>
          <w:rFonts w:ascii="Times New Roman" w:eastAsia="Times New Roman" w:hAnsi="Times New Roman" w:cs="Times New Roman"/>
          <w:sz w:val="24"/>
          <w:szCs w:val="24"/>
        </w:rPr>
        <w:t>consistent</w:t>
      </w:r>
      <w:r>
        <w:rPr>
          <w:rFonts w:ascii="Times New Roman" w:eastAsia="Times New Roman" w:hAnsi="Times New Roman" w:cs="Times New Roman"/>
          <w:sz w:val="24"/>
          <w:szCs w:val="24"/>
        </w:rPr>
        <w:t xml:space="preserve"> since 2012 and is much lower than the average of </w:t>
      </w:r>
      <w:r>
        <w:rPr>
          <w:rFonts w:ascii="Times New Roman" w:eastAsia="Times New Roman" w:hAnsi="Times New Roman" w:cs="Times New Roman"/>
          <w:b/>
          <w:bCs/>
          <w:i/>
          <w:iCs/>
          <w:sz w:val="24"/>
          <w:szCs w:val="24"/>
        </w:rPr>
        <w:t>20%</w:t>
      </w:r>
      <w:r>
        <w:rPr>
          <w:rFonts w:ascii="Times New Roman" w:eastAsia="Times New Roman" w:hAnsi="Times New Roman" w:cs="Times New Roman"/>
          <w:sz w:val="24"/>
          <w:szCs w:val="24"/>
        </w:rPr>
        <w:t xml:space="preserve"> (Gallup, 2026) observed on a global level. </w:t>
      </w:r>
    </w:p>
    <w:p w14:paraId="4842CC93"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106426B" wp14:editId="382EC496">
            <wp:extent cx="5731200" cy="4000500"/>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4000500"/>
                    </a:xfrm>
                    <a:prstGeom prst="rect">
                      <a:avLst/>
                    </a:prstGeom>
                    <a:ln w="12700">
                      <a:solidFill>
                        <a:srgbClr val="000000"/>
                      </a:solidFill>
                      <a:prstDash val="solid"/>
                    </a:ln>
                  </pic:spPr>
                </pic:pic>
              </a:graphicData>
            </a:graphic>
          </wp:inline>
        </w:drawing>
      </w:r>
    </w:p>
    <w:p w14:paraId="45AF0ABA" w14:textId="77777777" w:rsidR="005F68A2" w:rsidRDefault="00000000" w:rsidP="000E4682">
      <w:pPr>
        <w:pStyle w:val="Heading4"/>
      </w:pPr>
      <w:bookmarkStart w:id="4" w:name="_Toc232259638"/>
      <w:r>
        <w:t>Figure 2: Job Market Optimism Among European Employees Remains High</w:t>
      </w:r>
      <w:bookmarkEnd w:id="4"/>
    </w:p>
    <w:p w14:paraId="673B6DEA"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Gallup, 2026)</w:t>
      </w:r>
    </w:p>
    <w:p w14:paraId="6DF49CDF"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other region has as low an employee engagement as that acts as a proxy for cultural ambition. The traditional onboarding approach was not working because knowledge-sharing didn't lead to an emotional connection with the organisation (Cheikh-Ammar et al. 2024). The employees would have been consistently linked to Helios' sustainable mobility mission with strategic socialisation. The organisation would be united by purpose-driven storytelling, leadership interactions and innovation communities. </w:t>
      </w:r>
    </w:p>
    <w:p w14:paraId="5C33024F" w14:textId="77777777" w:rsidR="005F68A2" w:rsidRDefault="00000000" w:rsidP="000E4682">
      <w:pPr>
        <w:pStyle w:val="Heading2"/>
      </w:pPr>
      <w:bookmarkStart w:id="5" w:name="_Toc232259603"/>
      <w:r>
        <w:lastRenderedPageBreak/>
        <w:t>A2: Structured Socialisation Framework for Helios Urban Mobility</w:t>
      </w:r>
      <w:bookmarkEnd w:id="5"/>
      <w:r>
        <w:t xml:space="preserve"> </w:t>
      </w:r>
    </w:p>
    <w:p w14:paraId="2BEC6EBC" w14:textId="62BD76F8"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needed an integrated socialisation framework that </w:t>
      </w:r>
      <w:r w:rsidR="000E4682">
        <w:rPr>
          <w:rFonts w:ascii="Times New Roman" w:eastAsia="Times New Roman" w:hAnsi="Times New Roman" w:cs="Times New Roman"/>
          <w:sz w:val="24"/>
          <w:szCs w:val="24"/>
        </w:rPr>
        <w:t>considers</w:t>
      </w:r>
      <w:r>
        <w:rPr>
          <w:rFonts w:ascii="Times New Roman" w:eastAsia="Times New Roman" w:hAnsi="Times New Roman" w:cs="Times New Roman"/>
          <w:sz w:val="24"/>
          <w:szCs w:val="24"/>
        </w:rPr>
        <w:t xml:space="preserve"> the length of time that has to be spent to get people up and running, the high rate of disengagement and graduate attrition. The proposed framework </w:t>
      </w:r>
      <w:r w:rsidR="000E4682">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strategically integrate socialisation theory, psychological contracts, and identity development principles. </w:t>
      </w:r>
    </w:p>
    <w:p w14:paraId="2860FA90" w14:textId="77777777" w:rsidR="005F68A2" w:rsidRDefault="00000000">
      <w:pPr>
        <w:numPr>
          <w:ilvl w:val="0"/>
          <w:numId w:val="5"/>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Pre-Boarding Stage</w:t>
      </w:r>
    </w:p>
    <w:p w14:paraId="2B793F1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Pre-boarding began as soon as the candidate was accepted for recruitment and ran up until organisational entry. Digital toolkits were distributed to staff to help them understand Helios' innovation mission and commitments to stakeholders. AI-powered onboarding platforms provided customisable training materials and content based on the needs of the organisation (Jasiak-Kaczmarek, 2025). Early mentoring relationships were formed by assigned mentors, minimising uncertainty before the start of work. This stage validated, confirmed psychological contract formation and sped up future organisational integration processes. </w:t>
      </w:r>
    </w:p>
    <w:p w14:paraId="6576ABA6" w14:textId="77777777" w:rsidR="005F68A2" w:rsidRDefault="00000000">
      <w:pPr>
        <w:numPr>
          <w:ilvl w:val="0"/>
          <w:numId w:val="2"/>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First Ninety Days</w:t>
      </w:r>
    </w:p>
    <w:p w14:paraId="14A3EC07"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90 days were dedicated to capacity building, socialisation, and identity. Workers attended and took part in structured group-based programmes in the principle of collective socialisation. Employees were made aware of cross-functional projects in different parts of the world. Leadership interactions helped to build understanding of culture and foster organisational identification and engagement (Pougajendy et al. 2024). This approach minimised the risk of social isolation that is normally offered by the type of graduate flows.</w:t>
      </w:r>
    </w:p>
    <w:p w14:paraId="6FA29185"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5386D6E" wp14:editId="10CB04FB">
            <wp:extent cx="5731200" cy="2997200"/>
            <wp:effectExtent l="12700" t="12700" r="12700" b="127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997200"/>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4AB5985F" w14:textId="77777777" w:rsidR="005F68A2" w:rsidRDefault="00000000" w:rsidP="000E4682">
      <w:pPr>
        <w:pStyle w:val="Heading4"/>
      </w:pPr>
      <w:bookmarkStart w:id="6" w:name="_Toc232259639"/>
      <w:r>
        <w:lastRenderedPageBreak/>
        <w:t>Figure 3: Job Market Optimism Among European Employees Has Risen More Than in Any Other Region</w:t>
      </w:r>
      <w:bookmarkEnd w:id="6"/>
    </w:p>
    <w:p w14:paraId="33A3547F"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Gallup, 2026)</w:t>
      </w:r>
    </w:p>
    <w:p w14:paraId="1BED59C4" w14:textId="77777777" w:rsidR="005F68A2" w:rsidRDefault="00000000">
      <w:pPr>
        <w:numPr>
          <w:ilvl w:val="0"/>
          <w:numId w:val="1"/>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Year One</w:t>
      </w:r>
    </w:p>
    <w:p w14:paraId="7B996E92"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Year one stage was dedicated to developing commitment, career growth and organisational citizenship behaviours. Employees attended innovation labs on actual smart-mobility business problems in a cooperative manner. Employees were provided with internal mobility opportunities and had the chance to get insights into international projects in strategic locations (Ray, 2024). Skills development programmes have promoted longer-term employment prospects and helped consolidate perceptions of organisations regarding their investments. Collaborative innovation and stakeholder-driven efforts were regularly recognised through programs. </w:t>
      </w:r>
    </w:p>
    <w:p w14:paraId="4833C3FC" w14:textId="15F41547"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A3</w:t>
      </w:r>
      <w:r w:rsidR="000E4682">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 xml:space="preserve"> Mechanisms to Cultivate Organisational Citizenship </w:t>
      </w:r>
    </w:p>
    <w:p w14:paraId="04F27896" w14:textId="6B416F27" w:rsidR="005F68A2" w:rsidRPr="000E4682" w:rsidRDefault="00000000" w:rsidP="000E4682">
      <w:pPr>
        <w:spacing w:line="360" w:lineRule="auto"/>
        <w:jc w:val="both"/>
        <w:rPr>
          <w:rFonts w:ascii="Times New Roman" w:eastAsia="Times New Roman" w:hAnsi="Times New Roman" w:cs="Times New Roman"/>
          <w:b/>
          <w:bCs/>
          <w:sz w:val="24"/>
          <w:szCs w:val="24"/>
        </w:rPr>
      </w:pPr>
      <w:r w:rsidRPr="000E4682">
        <w:rPr>
          <w:rFonts w:ascii="Times New Roman" w:eastAsia="Times New Roman" w:hAnsi="Times New Roman" w:cs="Times New Roman"/>
          <w:b/>
          <w:bCs/>
          <w:sz w:val="24"/>
          <w:szCs w:val="24"/>
        </w:rPr>
        <w:t>Organisational Identification</w:t>
      </w:r>
    </w:p>
    <w:p w14:paraId="6508C464"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should include storytelling that connects employee contributions with sustainable urban mobility outcomes for a specific purpose. Better belongingness and organisational attachment would have been fostered by cross-functional innovation communities (Gutiérrez-Broncano et al. 2024). Leadership Visibility programmes would have helped increase cultural consistency, which would have minimised the risk of disengagement and had a profound impact on strengthening commitment levels among high potential graduates. </w:t>
      </w:r>
    </w:p>
    <w:p w14:paraId="1C632F7C" w14:textId="08043E50" w:rsidR="005F68A2" w:rsidRPr="000E4682" w:rsidRDefault="00000000" w:rsidP="000E4682">
      <w:pPr>
        <w:spacing w:line="360" w:lineRule="auto"/>
        <w:jc w:val="both"/>
        <w:rPr>
          <w:rFonts w:ascii="Times New Roman" w:eastAsia="Times New Roman" w:hAnsi="Times New Roman" w:cs="Times New Roman"/>
          <w:b/>
          <w:bCs/>
          <w:sz w:val="24"/>
          <w:szCs w:val="24"/>
        </w:rPr>
      </w:pPr>
      <w:r w:rsidRPr="000E4682">
        <w:rPr>
          <w:rFonts w:ascii="Times New Roman" w:eastAsia="Times New Roman" w:hAnsi="Times New Roman" w:cs="Times New Roman"/>
          <w:b/>
          <w:bCs/>
          <w:sz w:val="24"/>
          <w:szCs w:val="24"/>
        </w:rPr>
        <w:t>(ii) Ethical Professionalism</w:t>
      </w:r>
    </w:p>
    <w:p w14:paraId="242164E4"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should embed a set of ethical rules into its entrance, appraisal and development programs. The application of professional accountability consistently would have been strengthened by responsible AI governance standards (Atoum, 2025). An ethics-based professionalism had the potential to build stakeholder confidence and foster a stable organisational performance across international business activities. </w:t>
      </w:r>
    </w:p>
    <w:p w14:paraId="30284530" w14:textId="39A1DE2E"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(iii) Business Activist Mindset</w:t>
      </w:r>
    </w:p>
    <w:p w14:paraId="13F30B6C"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business activist angle of Ulrich, staff members needed to grasp the expectations of organisations, society, and stakeholders at the same time. Stakeholder innovation forums should have been set up by Helios jointly with employees, customers and city authorities. Stakeholder capitalism principles would have led to greater accountability beyond the financial performance targets (Sharma, 2024). Members of the staff in sustainability projects would have contributed to strengthening the awareness of organisational commitment and its impact on society.   </w:t>
      </w:r>
    </w:p>
    <w:p w14:paraId="6E09DE90"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78AD9F0" wp14:editId="04D7B457">
            <wp:extent cx="5731200" cy="2908300"/>
            <wp:effectExtent l="12700" t="12700" r="12700" b="127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2908300"/>
                    </a:xfrm>
                    <a:prstGeom prst="rect">
                      <a:avLst/>
                    </a:prstGeom>
                    <a:ln w="12700">
                      <a:solidFill>
                        <a:srgbClr val="000000"/>
                      </a:solidFill>
                      <a:prstDash val="solid"/>
                    </a:ln>
                  </pic:spPr>
                </pic:pic>
              </a:graphicData>
            </a:graphic>
          </wp:inline>
        </w:drawing>
      </w:r>
    </w:p>
    <w:p w14:paraId="0BAC1A39" w14:textId="6A5F558E" w:rsidR="005F68A2" w:rsidRDefault="00000000" w:rsidP="000E4682">
      <w:pPr>
        <w:pStyle w:val="Heading4"/>
      </w:pPr>
      <w:bookmarkStart w:id="7" w:name="_Toc232259640"/>
      <w:r>
        <w:t xml:space="preserve">Figure 4: 10 Biggest Global Increases in Employee Job Market Optimism Are </w:t>
      </w:r>
      <w:r w:rsidR="000E4682">
        <w:t>from</w:t>
      </w:r>
      <w:r>
        <w:t xml:space="preserve"> Europe</w:t>
      </w:r>
      <w:bookmarkEnd w:id="7"/>
    </w:p>
    <w:p w14:paraId="6476C35D"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Gallup, 2026)</w:t>
      </w:r>
      <w:r>
        <w:br w:type="page"/>
      </w:r>
    </w:p>
    <w:p w14:paraId="3B31ABA4" w14:textId="5A0695A1" w:rsidR="005F68A2" w:rsidRDefault="00000000" w:rsidP="000E4682">
      <w:pPr>
        <w:pStyle w:val="Heading1"/>
      </w:pPr>
      <w:bookmarkStart w:id="8" w:name="_Toc232259604"/>
      <w:r>
        <w:lastRenderedPageBreak/>
        <w:t>TASK B: Job Design</w:t>
      </w:r>
      <w:bookmarkEnd w:id="8"/>
    </w:p>
    <w:p w14:paraId="7B9278C8" w14:textId="77777777" w:rsidR="005F68A2" w:rsidRDefault="00000000" w:rsidP="000E4682">
      <w:pPr>
        <w:pStyle w:val="Heading2"/>
      </w:pPr>
      <w:bookmarkStart w:id="9" w:name="_Toc232259605"/>
      <w:r>
        <w:t>B1: Innovative Job Design Strategy</w:t>
      </w:r>
      <w:bookmarkEnd w:id="9"/>
    </w:p>
    <w:p w14:paraId="3D30986D" w14:textId="5B6E3054"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 Job Characteristics Model</w:t>
      </w:r>
    </w:p>
    <w:p w14:paraId="0C546C89"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needed to redesign its roles to meet engagement and retention issues due to the lack of traditional role structures developed using Hackman and Oldham's Job Characteristics Model (JCM). Jobs probably limited employees' involvement in projects, and as a result, lowered their commitment and organisational attachment. Higher-level skills would have allowed workers to participate in various projects relating to analytics, infrastructure, and mobility (Martinez et al. 2025). In 2023, the employment rate (aged 20-64) reached a record </w:t>
      </w:r>
      <w:r>
        <w:rPr>
          <w:rFonts w:ascii="Times New Roman" w:eastAsia="Times New Roman" w:hAnsi="Times New Roman" w:cs="Times New Roman"/>
          <w:b/>
          <w:bCs/>
          <w:i/>
          <w:iCs/>
          <w:sz w:val="24"/>
          <w:szCs w:val="24"/>
        </w:rPr>
        <w:t>75.5%</w:t>
      </w:r>
      <w:r>
        <w:rPr>
          <w:rFonts w:ascii="Times New Roman" w:eastAsia="Times New Roman" w:hAnsi="Times New Roman" w:cs="Times New Roman"/>
          <w:sz w:val="24"/>
          <w:szCs w:val="24"/>
        </w:rPr>
        <w:t xml:space="preserve">, and the activity rate went to </w:t>
      </w:r>
      <w:r>
        <w:rPr>
          <w:rFonts w:ascii="Times New Roman" w:eastAsia="Times New Roman" w:hAnsi="Times New Roman" w:cs="Times New Roman"/>
          <w:b/>
          <w:bCs/>
          <w:i/>
          <w:iCs/>
          <w:sz w:val="24"/>
          <w:szCs w:val="24"/>
        </w:rPr>
        <w:t>80.2%</w:t>
      </w:r>
      <w:r>
        <w:rPr>
          <w:rFonts w:ascii="Times New Roman" w:eastAsia="Times New Roman" w:hAnsi="Times New Roman" w:cs="Times New Roman"/>
          <w:sz w:val="24"/>
          <w:szCs w:val="24"/>
        </w:rPr>
        <w:t xml:space="preserve"> (Europa, 2026a). With this positive labour market performance, employment increased by up to 75.8% in the second quarter of 2024, and it remained a positive development in the first half of 2024 as well. Employee to project outcomes would have been greater, with a more holistic view of task identity rather than activities. </w:t>
      </w:r>
    </w:p>
    <w:p w14:paraId="1DD47C91"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22E3383" wp14:editId="217B147D">
            <wp:extent cx="5731200" cy="51308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5130800"/>
                    </a:xfrm>
                    <a:prstGeom prst="rect">
                      <a:avLst/>
                    </a:prstGeom>
                    <a:ln w="12700">
                      <a:solidFill>
                        <a:srgbClr val="000000"/>
                      </a:solidFill>
                      <a:prstDash val="solid"/>
                    </a:ln>
                  </pic:spPr>
                </pic:pic>
              </a:graphicData>
            </a:graphic>
          </wp:inline>
        </w:drawing>
      </w:r>
    </w:p>
    <w:p w14:paraId="7BBB9460" w14:textId="77777777" w:rsidR="005F68A2" w:rsidRDefault="00000000" w:rsidP="000E4682">
      <w:pPr>
        <w:pStyle w:val="Heading4"/>
      </w:pPr>
      <w:bookmarkStart w:id="10" w:name="_Toc232259641"/>
      <w:r>
        <w:lastRenderedPageBreak/>
        <w:t>Figure 5: Annualised growth rates for GDP, employment and productivity in periods of positive GDP growth</w:t>
      </w:r>
      <w:bookmarkEnd w:id="10"/>
      <w:r>
        <w:t xml:space="preserve"> </w:t>
      </w:r>
    </w:p>
    <w:p w14:paraId="66380E93"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Europa, 2026a)</w:t>
      </w:r>
    </w:p>
    <w:p w14:paraId="0F94063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Improved task significance would show the positive effects on society regarding sustainable transport and smart-city solutions. More autonomy would have helped strengthen decision-making authority and facilitate effective innovation in knowledge-intensive context (Conti et al. 2024). Knowledge sharing and the creation of project-based multidisciplinary teams should have been put in place to aid Helios in its international operation. This would have shortened ramp-up times through experience and worked with team integration.  </w:t>
      </w:r>
    </w:p>
    <w:p w14:paraId="3CBFBD55" w14:textId="4A1DB934"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(ii) Job Crafting Theory</w:t>
      </w:r>
    </w:p>
    <w:p w14:paraId="22CF2CB0"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Job Crafting theory, workers actively reshape their job experiences to make them more meaningful. Traditional job design can be rigid and limit engagement and innovation at a fairly high level. Smart-transport markets have been evolving quickly, due to technological breakthroughs, and Helios needed adaptive roles. Over </w:t>
      </w:r>
      <w:r>
        <w:rPr>
          <w:rFonts w:ascii="Times New Roman" w:eastAsia="Times New Roman" w:hAnsi="Times New Roman" w:cs="Times New Roman"/>
          <w:b/>
          <w:bCs/>
          <w:i/>
          <w:iCs/>
          <w:sz w:val="24"/>
          <w:szCs w:val="24"/>
        </w:rPr>
        <w:t>30 million</w:t>
      </w:r>
      <w:r>
        <w:rPr>
          <w:rFonts w:ascii="Times New Roman" w:eastAsia="Times New Roman" w:hAnsi="Times New Roman" w:cs="Times New Roman"/>
          <w:sz w:val="24"/>
          <w:szCs w:val="24"/>
        </w:rPr>
        <w:t xml:space="preserve"> people were working in the manufacturing sector in the European Union, as of 2025, the most of any economic sector. The number of employees in wholesale and retail trade was around </w:t>
      </w:r>
      <w:r>
        <w:rPr>
          <w:rFonts w:ascii="Times New Roman" w:eastAsia="Times New Roman" w:hAnsi="Times New Roman" w:cs="Times New Roman"/>
          <w:b/>
          <w:bCs/>
          <w:i/>
          <w:iCs/>
          <w:sz w:val="24"/>
          <w:szCs w:val="24"/>
        </w:rPr>
        <w:t>26 million</w:t>
      </w:r>
      <w:r>
        <w:rPr>
          <w:rFonts w:ascii="Times New Roman" w:eastAsia="Times New Roman" w:hAnsi="Times New Roman" w:cs="Times New Roman"/>
          <w:sz w:val="24"/>
          <w:szCs w:val="24"/>
        </w:rPr>
        <w:t xml:space="preserve">, while slightly more than </w:t>
      </w:r>
      <w:r>
        <w:rPr>
          <w:rFonts w:ascii="Times New Roman" w:eastAsia="Times New Roman" w:hAnsi="Times New Roman" w:cs="Times New Roman"/>
          <w:b/>
          <w:bCs/>
          <w:i/>
          <w:iCs/>
          <w:sz w:val="24"/>
          <w:szCs w:val="24"/>
        </w:rPr>
        <w:t>22.7 million</w:t>
      </w:r>
      <w:r>
        <w:rPr>
          <w:rFonts w:ascii="Times New Roman" w:eastAsia="Times New Roman" w:hAnsi="Times New Roman" w:cs="Times New Roman"/>
          <w:sz w:val="24"/>
          <w:szCs w:val="24"/>
        </w:rPr>
        <w:t xml:space="preserve"> people were employed in human health and social assistance (Galan, 2026). </w:t>
      </w:r>
    </w:p>
    <w:p w14:paraId="00F2285E"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9CDC878" wp14:editId="36905AE4">
            <wp:extent cx="5731200" cy="66040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6604000"/>
                    </a:xfrm>
                    <a:prstGeom prst="rect">
                      <a:avLst/>
                    </a:prstGeom>
                    <a:ln w="12700">
                      <a:solidFill>
                        <a:srgbClr val="000000"/>
                      </a:solidFill>
                      <a:prstDash val="solid"/>
                    </a:ln>
                  </pic:spPr>
                </pic:pic>
              </a:graphicData>
            </a:graphic>
          </wp:inline>
        </w:drawing>
      </w:r>
    </w:p>
    <w:p w14:paraId="65035C1D" w14:textId="77777777" w:rsidR="005F68A2" w:rsidRDefault="00000000" w:rsidP="000E4682">
      <w:pPr>
        <w:pStyle w:val="Heading4"/>
      </w:pPr>
      <w:bookmarkStart w:id="11" w:name="_Toc232259642"/>
      <w:r>
        <w:t>Figure 6: Number of employees in the European Union 2025, by sector</w:t>
      </w:r>
      <w:bookmarkEnd w:id="11"/>
      <w:r>
        <w:t xml:space="preserve"> </w:t>
      </w:r>
    </w:p>
    <w:p w14:paraId="4CF1A6B1"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Galan, 2026)</w:t>
      </w:r>
    </w:p>
    <w:p w14:paraId="6D94B7A7"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idea of relational crafting would have had a positive impact on collaborating in London, Berlin and Singapore operations. Expecting cognitive crafting to link day-to-day responsibilities to larger urban sustainability outcomes is what one would have expected (Gurcham et al. 2025). This enhanced ownership, commitment and purpose in highly qualified knowledge workers. Helios needed to have made the use of structured job-crafting workshops </w:t>
      </w:r>
      <w:r>
        <w:rPr>
          <w:rFonts w:ascii="Times New Roman" w:eastAsia="Times New Roman" w:hAnsi="Times New Roman" w:cs="Times New Roman"/>
          <w:sz w:val="24"/>
          <w:szCs w:val="24"/>
        </w:rPr>
        <w:lastRenderedPageBreak/>
        <w:t xml:space="preserve">with the assistance of managerial coaching processes. This meant positioning the employee to create developmental experiences internally was a more strategic way to go. The suggested design enhanced engagement by providing autonomy and quickening organisational socialisation procedures.  </w:t>
      </w:r>
    </w:p>
    <w:p w14:paraId="7D567C52" w14:textId="258371F9"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(iii) Internal Talent Marketplace and Skills-Based Architecture</w:t>
      </w:r>
    </w:p>
    <w:p w14:paraId="79EC635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Helios needed the skills-based architecture and to use it strategically through an internal talent marketplace. Engagement and organisational capability utilisation were limited by traditional career structures, which impacted mobility (Ray, 2024). The practice changed the focus from jobs to skills, which helped to ensure that workers are agile in terms of their skills. Helios should have created digital skills profiles of technical and behavioural skills. The employment rate (EMP) of persons aged 20-64 in the EU in the first quarter of 2026 was </w:t>
      </w:r>
      <w:r>
        <w:rPr>
          <w:rFonts w:ascii="Times New Roman" w:eastAsia="Times New Roman" w:hAnsi="Times New Roman" w:cs="Times New Roman"/>
          <w:b/>
          <w:bCs/>
          <w:i/>
          <w:iCs/>
          <w:sz w:val="24"/>
          <w:szCs w:val="24"/>
        </w:rPr>
        <w:t>76.3%</w:t>
      </w:r>
      <w:r>
        <w:rPr>
          <w:rFonts w:ascii="Times New Roman" w:eastAsia="Times New Roman" w:hAnsi="Times New Roman" w:cs="Times New Roman"/>
          <w:sz w:val="24"/>
          <w:szCs w:val="24"/>
        </w:rPr>
        <w:t xml:space="preserve">, rising from </w:t>
      </w:r>
      <w:r>
        <w:rPr>
          <w:rFonts w:ascii="Times New Roman" w:eastAsia="Times New Roman" w:hAnsi="Times New Roman" w:cs="Times New Roman"/>
          <w:b/>
          <w:bCs/>
          <w:i/>
          <w:iCs/>
          <w:sz w:val="24"/>
          <w:szCs w:val="24"/>
        </w:rPr>
        <w:t>76.2%</w:t>
      </w:r>
      <w:r>
        <w:rPr>
          <w:rFonts w:ascii="Times New Roman" w:eastAsia="Times New Roman" w:hAnsi="Times New Roman" w:cs="Times New Roman"/>
          <w:sz w:val="24"/>
          <w:szCs w:val="24"/>
        </w:rPr>
        <w:t xml:space="preserve"> in the fourth quarter of 2025 (Europa, 2026b). The figures suggested that the capability needs could not be met effectively through the application of external recruitment.</w:t>
      </w:r>
    </w:p>
    <w:p w14:paraId="7CAB6BFF"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AFBB89D" wp14:editId="05E64C6F">
            <wp:extent cx="5731200" cy="2730500"/>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2730500"/>
                    </a:xfrm>
                    <a:prstGeom prst="rect">
                      <a:avLst/>
                    </a:prstGeom>
                    <a:ln w="12700">
                      <a:solidFill>
                        <a:srgbClr val="000000"/>
                      </a:solidFill>
                      <a:prstDash val="solid"/>
                    </a:ln>
                  </pic:spPr>
                </pic:pic>
              </a:graphicData>
            </a:graphic>
          </wp:inline>
        </w:drawing>
      </w:r>
    </w:p>
    <w:p w14:paraId="575B17C9" w14:textId="77777777" w:rsidR="005F68A2" w:rsidRDefault="00000000" w:rsidP="000E4682">
      <w:pPr>
        <w:pStyle w:val="Heading4"/>
      </w:pPr>
      <w:bookmarkStart w:id="12" w:name="_Toc232259643"/>
      <w:r>
        <w:t>Figure 7: Labour Market Slack and Employment Rate in the EU, Q1 2013 to Q1 2026</w:t>
      </w:r>
      <w:bookmarkEnd w:id="12"/>
    </w:p>
    <w:p w14:paraId="5CAC677D"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Europa, 2026b)</w:t>
      </w:r>
    </w:p>
    <w:p w14:paraId="5D0B0EB5" w14:textId="5F4A7636"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Holding temporary jobs, international projects and having cross-functional development will help to build up internal mobility and diminish the need for external recruitment. Through visible developmental opportunities and career progression, high-potential graduates especially appreciated this. Internal labour market strengthened retention through transparent growth pathways and capability expansion (Jafarov, 2025). The method was also conducive to socialisation as workers got to have more exposure to the organisation quickly. The alignment of skills-based architectures was generally strong with the new developments in the labour </w:t>
      </w:r>
      <w:r>
        <w:rPr>
          <w:rFonts w:ascii="Times New Roman" w:eastAsia="Times New Roman" w:hAnsi="Times New Roman" w:cs="Times New Roman"/>
          <w:sz w:val="24"/>
          <w:szCs w:val="24"/>
        </w:rPr>
        <w:lastRenderedPageBreak/>
        <w:t xml:space="preserve">market across European industries. Helios needed to optimise the talent reserves within </w:t>
      </w:r>
      <w:r w:rsidR="000E4682">
        <w:rPr>
          <w:rFonts w:ascii="Times New Roman" w:eastAsia="Times New Roman" w:hAnsi="Times New Roman" w:cs="Times New Roman"/>
          <w:sz w:val="24"/>
          <w:szCs w:val="24"/>
        </w:rPr>
        <w:t>itself and</w:t>
      </w:r>
      <w:r>
        <w:rPr>
          <w:rFonts w:ascii="Times New Roman" w:eastAsia="Times New Roman" w:hAnsi="Times New Roman" w:cs="Times New Roman"/>
          <w:sz w:val="24"/>
          <w:szCs w:val="24"/>
        </w:rPr>
        <w:t xml:space="preserve"> not exclusively rely on outside recruitment. Retention, mobility, engagement and capability development would have been enhanced by an internal talent marketplace. </w:t>
      </w:r>
    </w:p>
    <w:p w14:paraId="0C402FF7" w14:textId="64229582" w:rsidR="005F68A2" w:rsidRDefault="00000000" w:rsidP="000E4682">
      <w:pPr>
        <w:pStyle w:val="Heading2"/>
      </w:pPr>
      <w:bookmarkStart w:id="13" w:name="_Toc232259606"/>
      <w:r>
        <w:t>B2: How the Design Stimulated Intrinsic Motivation and Supported Innovation</w:t>
      </w:r>
      <w:bookmarkEnd w:id="13"/>
    </w:p>
    <w:p w14:paraId="157CD406"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Proposed Job Design induced intrinsic motivation in terms of autonomy, competence development and meaningfulness. Job enrichment provided more discretion in the execution of innovation and project activities. Employees' sense of ownership was associated with improved commitment and engagement results across the board (Mustafa et al. 2024). Skill diversity helped increase the rate at which knowledge workers became more competent and decreased the likelihood of becoming stagnant. Employees' meaningful work was where they actively participated in sustainable urban mobility objectives (Ahuchogu et al. 2024). Personalised developmental and career experiences were further enhanced with job crafting. Staff had increased autonomy in tasks, interactions and professional development. </w:t>
      </w:r>
    </w:p>
    <w:p w14:paraId="70DEB3FB"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0EF94A" wp14:editId="2C7E8A37">
            <wp:extent cx="5014913" cy="2299196"/>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014913" cy="2299196"/>
                    </a:xfrm>
                    <a:prstGeom prst="rect">
                      <a:avLst/>
                    </a:prstGeom>
                    <a:ln w="12700">
                      <a:solidFill>
                        <a:srgbClr val="000000"/>
                      </a:solidFill>
                      <a:prstDash val="solid"/>
                    </a:ln>
                  </pic:spPr>
                </pic:pic>
              </a:graphicData>
            </a:graphic>
          </wp:inline>
        </w:drawing>
      </w:r>
    </w:p>
    <w:p w14:paraId="2AABA12A" w14:textId="77777777" w:rsidR="005F68A2" w:rsidRDefault="00000000" w:rsidP="000E4682">
      <w:pPr>
        <w:pStyle w:val="Heading4"/>
      </w:pPr>
      <w:bookmarkStart w:id="14" w:name="_Toc232259644"/>
      <w:r>
        <w:t>Figure 8: Change in Employment Rate, Q1 2026 compared with Q4 2025</w:t>
      </w:r>
      <w:bookmarkEnd w:id="14"/>
      <w:r>
        <w:t xml:space="preserve"> </w:t>
      </w:r>
    </w:p>
    <w:p w14:paraId="1552A133"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Europa, 2026b)</w:t>
      </w:r>
    </w:p>
    <w:p w14:paraId="1DFEEC4F" w14:textId="77777777" w:rsidR="005F68A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Internalised talent marketplaces were used to ensure regular opportunities for upward mobility and motivation to advance (Wu and Huang, 2024). Such an approach helped to enhance perceptions of fairness and concurred with good long-term psychological contract satisfaction. These mechanisms collectively dealt directly with Helios' disengagement and student attrition issues. There was an increase in innovation due to greater employee exposure to other projects and organisational networks. There were areas where cross-functional cooperation enhanced knowledge sharing and helped to develop creativity and problem-solving skills. Internal </w:t>
      </w:r>
      <w:r>
        <w:rPr>
          <w:rFonts w:ascii="Times New Roman" w:eastAsia="Times New Roman" w:hAnsi="Times New Roman" w:cs="Times New Roman"/>
          <w:sz w:val="24"/>
          <w:szCs w:val="24"/>
        </w:rPr>
        <w:lastRenderedPageBreak/>
        <w:t xml:space="preserve">mobility also helped to increase organisational learning by capability sharing across international operations. </w:t>
      </w:r>
      <w:r>
        <w:br w:type="page"/>
      </w:r>
    </w:p>
    <w:p w14:paraId="57BC50D0" w14:textId="77777777" w:rsidR="005F68A2" w:rsidRDefault="00000000" w:rsidP="000E4682">
      <w:pPr>
        <w:pStyle w:val="Heading1"/>
      </w:pPr>
      <w:bookmarkStart w:id="15" w:name="_Toc232259607"/>
      <w:r>
        <w:lastRenderedPageBreak/>
        <w:t>TASK C: Reflective report</w:t>
      </w:r>
      <w:bookmarkEnd w:id="15"/>
      <w:r>
        <w:t xml:space="preserve"> </w:t>
      </w:r>
    </w:p>
    <w:p w14:paraId="6E752BA7" w14:textId="77777777" w:rsidR="005F68A2" w:rsidRDefault="00000000" w:rsidP="000E4682">
      <w:pPr>
        <w:pStyle w:val="Heading2"/>
      </w:pPr>
      <w:bookmarkStart w:id="16" w:name="_Toc232259608"/>
      <w:r>
        <w:t>C1: AI as a Decision-Support Tool Without Eroding Critical Human Judgement</w:t>
      </w:r>
      <w:bookmarkEnd w:id="16"/>
    </w:p>
    <w:p w14:paraId="20189BAF"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Driscoll's (2007) What Model allowed a systematic approach to the evaluation of learning experiences in three stages. This allowed for critical reflection as students identified their experiences, analysed the learning outcomes and considered what might be done in the future. </w:t>
      </w:r>
    </w:p>
    <w:p w14:paraId="6B193F58"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Three Stages:</w:t>
      </w:r>
    </w:p>
    <w:p w14:paraId="42A00AB4" w14:textId="77777777" w:rsidR="005F68A2" w:rsidRDefault="00000000">
      <w:pPr>
        <w:numPr>
          <w:ilvl w:val="0"/>
          <w:numId w:val="3"/>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What?</w:t>
      </w:r>
    </w:p>
    <w:p w14:paraId="10C77F6C"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module has developed my understanding of strategic human capital management significantly today. Discovered how bodies increasingly employ artificial intelligence technology to aid managerial decision-making effectively. Understood the benefits of artificial intelligence in terms of speed of data retrieval. I saw evidence of improved organisational decision quality due to analytical insights for the implementation of evidence-based practice. I knew that AI can be used to help with recruitment, workforce planning, and workforce performance management activities. Another thing I learned is that there needs to be more than just numbers considered in strategic decisions. My understanding affected my thoughts on what human resource management tasks would be ahead for me in the future. </w:t>
      </w:r>
    </w:p>
    <w:p w14:paraId="50701884" w14:textId="77777777" w:rsidR="005F68A2" w:rsidRDefault="00000000">
      <w:pPr>
        <w:numPr>
          <w:ilvl w:val="0"/>
          <w:numId w:val="4"/>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 What?</w:t>
      </w:r>
    </w:p>
    <w:p w14:paraId="7769685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learned that AI provides valuable insights, but with a lack of contextual organisational understanding. I realised that algorithms were able to find patterns, but were not finding many ethical factors. I learned that in a complex organisational context, in order to respond to it appropriately, human judgement was still necessary. Due to just the business activist perspective, Ulrich was able to value stakeholder interests during strategic decisions (Breuer and Ivanov, 2024). I knew that artificial intelligence could help support decision quality, but it wouldn't take the place of the full extent of professional responsibility. </w:t>
      </w:r>
    </w:p>
    <w:p w14:paraId="21D43955" w14:textId="77777777" w:rsidR="005F68A2" w:rsidRDefault="00000000">
      <w:pPr>
        <w:numPr>
          <w:ilvl w:val="0"/>
          <w:numId w:val="6"/>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 What?</w:t>
      </w:r>
    </w:p>
    <w:p w14:paraId="65A82B0C" w14:textId="0A7985BA"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leverage AI to assist with research, analytics and workforce planning processes. I will examine and assess outputs </w:t>
      </w:r>
      <w:r w:rsidR="000E4682">
        <w:rPr>
          <w:rFonts w:ascii="Times New Roman" w:eastAsia="Times New Roman" w:hAnsi="Times New Roman" w:cs="Times New Roman"/>
          <w:sz w:val="24"/>
          <w:szCs w:val="24"/>
        </w:rPr>
        <w:t>critically and</w:t>
      </w:r>
      <w:r>
        <w:rPr>
          <w:rFonts w:ascii="Times New Roman" w:eastAsia="Times New Roman" w:hAnsi="Times New Roman" w:cs="Times New Roman"/>
          <w:sz w:val="24"/>
          <w:szCs w:val="24"/>
        </w:rPr>
        <w:t xml:space="preserve"> will apply recommendations in organisational contexts. I will make ethical judgments on the basis of employee welfare and stakeholder needs. I will continually improve my evidence-based decision-making practices by engaging in ongoing learning and professional development. I will learn to build analytical skills to effectively interpret workforce information. I will consider technological knowledge and the </w:t>
      </w:r>
      <w:r>
        <w:rPr>
          <w:rFonts w:ascii="Times New Roman" w:eastAsia="Times New Roman" w:hAnsi="Times New Roman" w:cs="Times New Roman"/>
          <w:sz w:val="24"/>
          <w:szCs w:val="24"/>
        </w:rPr>
        <w:lastRenderedPageBreak/>
        <w:t xml:space="preserve">professional/real-world background when assessing alternatives. This will enable and facilitate responsible decision-making and the effective maintenance of critical human judgment. </w:t>
      </w:r>
    </w:p>
    <w:p w14:paraId="7F885BE6" w14:textId="77777777" w:rsidR="005F68A2" w:rsidRDefault="00000000" w:rsidP="000E4682">
      <w:pPr>
        <w:pStyle w:val="Heading2"/>
      </w:pPr>
      <w:bookmarkStart w:id="17" w:name="_Toc232259609"/>
      <w:r>
        <w:t>Task C2: Personal Capability Development Plan</w:t>
      </w:r>
      <w:bookmarkEnd w:id="17"/>
    </w:p>
    <w:tbl>
      <w:tblPr>
        <w:tblStyle w:val="a"/>
        <w:tblW w:w="9015" w:type="dxa"/>
        <w:tblInd w:w="0" w:type="dxa"/>
        <w:tblLayout w:type="fixed"/>
        <w:tblLook w:val="0600" w:firstRow="0" w:lastRow="0" w:firstColumn="0" w:lastColumn="0" w:noHBand="1" w:noVBand="1"/>
      </w:tblPr>
      <w:tblGrid>
        <w:gridCol w:w="1605"/>
        <w:gridCol w:w="2085"/>
        <w:gridCol w:w="2265"/>
        <w:gridCol w:w="1110"/>
        <w:gridCol w:w="1950"/>
      </w:tblGrid>
      <w:tr w:rsidR="005F68A2" w14:paraId="240A8066" w14:textId="77777777">
        <w:trPr>
          <w:trHeight w:val="1055"/>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3A8004"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Capability Area</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4DDDDD"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Current Development Need</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453AE8"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Development Action</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F1A507"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Timeline</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54FA13"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Expected Employability Outcome</w:t>
            </w:r>
          </w:p>
        </w:tc>
      </w:tr>
      <w:tr w:rsidR="005F68A2" w14:paraId="38B6D5D8" w14:textId="77777777">
        <w:trPr>
          <w:trHeight w:val="1055"/>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1EC8632"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Literacy</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E50E66"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workforce analytics knowledge required</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66178D"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HR analytics and data visualisation training programmes</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A2546B"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8D3855"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evidence-based decision-making capability</w:t>
            </w:r>
          </w:p>
        </w:tc>
      </w:tr>
      <w:tr w:rsidR="005F68A2" w14:paraId="5E5784CE" w14:textId="77777777">
        <w:trPr>
          <w:trHeight w:val="1340"/>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36857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Augmentation in HR</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AA7FA5"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greater understanding of AI applications is required</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EFA1DF"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Complete AI and HR technology certification programmes</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221EC69"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77507C"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Enhanced technology-enabled HR capability</w:t>
            </w:r>
          </w:p>
        </w:tc>
      </w:tr>
      <w:tr w:rsidR="005F68A2" w14:paraId="44CD28B1" w14:textId="77777777">
        <w:trPr>
          <w:trHeight w:val="1610"/>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8EB1E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Influencing Skills</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4C7178"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 communication capability requires strengthening</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A9CE0D"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Attend leadership communication and stakeholder management workshops</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B52B12B"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 Months</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E63C6C4"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Stronger strategic influence and leadership effectiveness</w:t>
            </w:r>
          </w:p>
        </w:tc>
      </w:tr>
      <w:tr w:rsidR="005F68A2" w14:paraId="34172B97" w14:textId="77777777">
        <w:trPr>
          <w:trHeight w:val="1340"/>
        </w:trPr>
        <w:tc>
          <w:tcPr>
            <w:tcW w:w="160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9EDFD3"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Mobility Awareness</w:t>
            </w:r>
          </w:p>
        </w:tc>
        <w:tc>
          <w:tcPr>
            <w:tcW w:w="208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FD6D1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HRM knowledge requires further development</w:t>
            </w:r>
          </w:p>
        </w:tc>
        <w:tc>
          <w:tcPr>
            <w:tcW w:w="226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F7B46"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Study expatriation management and cross-cultural leadership practices</w:t>
            </w:r>
          </w:p>
        </w:tc>
        <w:tc>
          <w:tcPr>
            <w:tcW w:w="11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7391DCC"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19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38EE34"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global employability and mobility readiness</w:t>
            </w:r>
          </w:p>
        </w:tc>
      </w:tr>
    </w:tbl>
    <w:p w14:paraId="77F00C81" w14:textId="77777777" w:rsidR="005F68A2" w:rsidRDefault="00000000" w:rsidP="000E4682">
      <w:pPr>
        <w:pStyle w:val="Heading5"/>
      </w:pPr>
      <w:bookmarkStart w:id="18" w:name="_Toc232259654"/>
      <w:r>
        <w:t>Table 1: Personal Development Table</w:t>
      </w:r>
      <w:bookmarkEnd w:id="18"/>
    </w:p>
    <w:p w14:paraId="4F1CAA19" w14:textId="77777777" w:rsidR="005F68A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Self-made)</w:t>
      </w:r>
    </w:p>
    <w:p w14:paraId="19B65707" w14:textId="77777777" w:rsidR="005F68A2" w:rsidRDefault="00000000">
      <w:pPr>
        <w:spacing w:line="360" w:lineRule="auto"/>
        <w:jc w:val="both"/>
        <w:rPr>
          <w:rFonts w:ascii="Times New Roman" w:eastAsia="Times New Roman" w:hAnsi="Times New Roman" w:cs="Times New Roman"/>
          <w:b/>
          <w:bCs/>
          <w:sz w:val="24"/>
          <w:szCs w:val="24"/>
        </w:rPr>
      </w:pPr>
      <w:r>
        <w:br w:type="page"/>
      </w:r>
    </w:p>
    <w:p w14:paraId="03356823" w14:textId="77777777" w:rsidR="005F68A2" w:rsidRDefault="00000000" w:rsidP="000E4682">
      <w:pPr>
        <w:pStyle w:val="Heading1"/>
      </w:pPr>
      <w:bookmarkStart w:id="19" w:name="_Toc232259610"/>
      <w:r w:rsidRPr="000E4682">
        <w:lastRenderedPageBreak/>
        <w:t>Conclusion</w:t>
      </w:r>
      <w:bookmarkEnd w:id="19"/>
    </w:p>
    <w:p w14:paraId="32E8A9DB" w14:textId="77777777" w:rsidR="005F68A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Proposed interventions increased engagement, retention, innovation and organisational commitment. Future capability development advanced the Professional Effectiveness and facilitated Responsible Decision-Making and Sustainable Career Progression Opportunities.  </w:t>
      </w:r>
      <w:r>
        <w:br w:type="page"/>
      </w:r>
    </w:p>
    <w:p w14:paraId="22C917AC" w14:textId="77777777" w:rsidR="005F68A2" w:rsidRDefault="00000000" w:rsidP="000E4682">
      <w:pPr>
        <w:pStyle w:val="Heading1"/>
      </w:pPr>
      <w:bookmarkStart w:id="20" w:name="_Toc232259611"/>
      <w:r>
        <w:lastRenderedPageBreak/>
        <w:t>References</w:t>
      </w:r>
      <w:bookmarkEnd w:id="20"/>
    </w:p>
    <w:p w14:paraId="1D7E84B6"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Ahuchogu, M.C., Sanyaolu, T.O. and Adeleke, A.G. (2024). Workforce development in the transport sector amidst environmental change: A conceptual review. </w:t>
      </w:r>
      <w:r>
        <w:rPr>
          <w:rFonts w:ascii="Times New Roman" w:eastAsia="Times New Roman" w:hAnsi="Times New Roman" w:cs="Times New Roman"/>
          <w:i/>
          <w:iCs/>
          <w:sz w:val="24"/>
          <w:szCs w:val="24"/>
        </w:rPr>
        <w:t>Global Journal of Research in Science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 xml:space="preserve">(01), pp.061-077. </w:t>
      </w:r>
      <w:hyperlink r:id="rId16">
        <w:r>
          <w:rPr>
            <w:rFonts w:ascii="Times New Roman" w:eastAsia="Times New Roman" w:hAnsi="Times New Roman" w:cs="Times New Roman"/>
            <w:color w:val="1155CC"/>
            <w:sz w:val="24"/>
            <w:szCs w:val="24"/>
            <w:u w:val="single"/>
          </w:rPr>
          <w:t>https://www.researchgate.net/profile/Temitope-Sanyaolu/publication/384110619_Workforce_development_in_the_transport_sector_amidst_environmental_change_A_conceptual_review/links/66eb1006fc6cc464896179c8/Workforce-development-in-the-transport-sector-amidst-environmental-change-A-conceptual-review.pdf</w:t>
        </w:r>
      </w:hyperlink>
    </w:p>
    <w:p w14:paraId="19B5F0E4"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Atoum, I. (2025). Revolutionizing AI governance: Addressing bias and ensuring accountability through the holistic AI governance framework. </w:t>
      </w:r>
      <w:r>
        <w:rPr>
          <w:rFonts w:ascii="Times New Roman" w:eastAsia="Times New Roman" w:hAnsi="Times New Roman" w:cs="Times New Roman"/>
          <w:i/>
          <w:iCs/>
          <w:sz w:val="24"/>
          <w:szCs w:val="24"/>
        </w:rPr>
        <w:t>International Journal of Advanced Computer Science &amp;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rPr>
        <w:t xml:space="preserve">(2). </w:t>
      </w:r>
      <w:hyperlink r:id="rId17">
        <w:r>
          <w:rPr>
            <w:rFonts w:ascii="Times New Roman" w:eastAsia="Times New Roman" w:hAnsi="Times New Roman" w:cs="Times New Roman"/>
            <w:color w:val="1155CC"/>
            <w:sz w:val="24"/>
            <w:szCs w:val="24"/>
            <w:u w:val="single"/>
          </w:rPr>
          <w:t>https://www.researchgate.net/profile/Ibrahim-Atoum/publication/389425802_Revolutionizing_AI_Governance_Addressing_Bias_and_Ensuring_Accountability_Through_the_Holistic_AI_Governance_Framework/links/67c1b99d8311ce680c78630b/Revolutionizing-AI-Governance-Addressing-Bias-and-Ensuring-Accountability-Through-the-Holistic-AI-Governance-Framework.pdf</w:t>
        </w:r>
      </w:hyperlink>
    </w:p>
    <w:p w14:paraId="73E72C33"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Breuer, H. and Ivanov, K. (2024). Cultural Tensions and Values-Action Gaps in Sustainability-Oriented Innovation: An Ethnographic Inquiry. </w:t>
      </w:r>
      <w:r>
        <w:rPr>
          <w:rFonts w:ascii="Times New Roman" w:eastAsia="Times New Roman" w:hAnsi="Times New Roman" w:cs="Times New Roman"/>
          <w:i/>
          <w:iCs/>
          <w:sz w:val="24"/>
          <w:szCs w:val="24"/>
        </w:rPr>
        <w:t>International Journal of Innovation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28</w:t>
      </w:r>
      <w:r>
        <w:rPr>
          <w:rFonts w:ascii="Times New Roman" w:eastAsia="Times New Roman" w:hAnsi="Times New Roman" w:cs="Times New Roman"/>
          <w:sz w:val="24"/>
          <w:szCs w:val="24"/>
        </w:rPr>
        <w:t xml:space="preserve">(01n02), p.2450005. </w:t>
      </w:r>
      <w:hyperlink r:id="rId18">
        <w:r>
          <w:rPr>
            <w:rFonts w:ascii="Times New Roman" w:eastAsia="Times New Roman" w:hAnsi="Times New Roman" w:cs="Times New Roman"/>
            <w:color w:val="1155CC"/>
            <w:sz w:val="24"/>
            <w:szCs w:val="24"/>
            <w:u w:val="single"/>
          </w:rPr>
          <w:t>https://www.uxberlin.com/wp-content/uploads/2024/09/2024_Tensions_and_Values_Action_Gaps_in_SOIC_AUTHOR_COPY.pdf</w:t>
        </w:r>
      </w:hyperlink>
      <w:r>
        <w:rPr>
          <w:rFonts w:ascii="Times New Roman" w:eastAsia="Times New Roman" w:hAnsi="Times New Roman" w:cs="Times New Roman"/>
          <w:sz w:val="24"/>
          <w:szCs w:val="24"/>
        </w:rPr>
        <w:t xml:space="preserve"> </w:t>
      </w:r>
    </w:p>
    <w:p w14:paraId="06978469"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Cheikh-Ammar, M., Roy, M.C. and Roy, M.J. (2024). Fostering competency development through knowledge sharing capabilities in onboarding. </w:t>
      </w:r>
      <w:r>
        <w:rPr>
          <w:rFonts w:ascii="Times New Roman" w:eastAsia="Times New Roman" w:hAnsi="Times New Roman" w:cs="Times New Roman"/>
          <w:i/>
          <w:iCs/>
          <w:sz w:val="24"/>
          <w:szCs w:val="24"/>
        </w:rPr>
        <w:t>International Journal of Knowledge Management (IJKM)</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20</w:t>
      </w:r>
      <w:r>
        <w:rPr>
          <w:rFonts w:ascii="Times New Roman" w:eastAsia="Times New Roman" w:hAnsi="Times New Roman" w:cs="Times New Roman"/>
          <w:sz w:val="24"/>
          <w:szCs w:val="24"/>
        </w:rPr>
        <w:t xml:space="preserve">(1), pp.1-17. </w:t>
      </w:r>
      <w:hyperlink r:id="rId19">
        <w:r>
          <w:rPr>
            <w:rFonts w:ascii="Times New Roman" w:eastAsia="Times New Roman" w:hAnsi="Times New Roman" w:cs="Times New Roman"/>
            <w:color w:val="1155CC"/>
            <w:sz w:val="24"/>
            <w:szCs w:val="24"/>
            <w:u w:val="single"/>
          </w:rPr>
          <w:t>https://www.igi-global.com/viewtitle.aspx?titleid=336278</w:t>
        </w:r>
      </w:hyperlink>
    </w:p>
    <w:p w14:paraId="7DBF6890"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 F.P., Dias, M.T., Marcelo, M., Gauthier, F.A.O., Santos, G., Bondan, G., Izidorio, G., Silva, D., Dezem, V. and Botelho, L. (2024). Analysis of knowledge management practices for knowledge intensive organizations self-management. </w:t>
      </w:r>
      <w:r>
        <w:rPr>
          <w:rFonts w:ascii="Times New Roman" w:eastAsia="Times New Roman" w:hAnsi="Times New Roman" w:cs="Times New Roman"/>
          <w:i/>
          <w:iCs/>
          <w:sz w:val="24"/>
          <w:szCs w:val="24"/>
        </w:rPr>
        <w:t>Open Journal of Social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xml:space="preserve">(6), p.1. </w:t>
      </w:r>
      <w:hyperlink r:id="rId20">
        <w:r>
          <w:rPr>
            <w:rFonts w:ascii="Times New Roman" w:eastAsia="Times New Roman" w:hAnsi="Times New Roman" w:cs="Times New Roman"/>
            <w:color w:val="1155CC"/>
            <w:sz w:val="24"/>
            <w:szCs w:val="24"/>
            <w:u w:val="single"/>
          </w:rPr>
          <w:t>https://www.researchgate.net/profile/Girlane-Bondan-3/publication/381656013_Analysis_of_Knowledge_Management_Practices_for_Knowledge_Intensive_Organizations_Self-Management/links/667960f6d21e220d89cc3f84/Analysis-of-Knowledge-Management-Practices-for-Knowledge-Intensive-Organizations-Self-Management.pdf</w:t>
        </w:r>
      </w:hyperlink>
    </w:p>
    <w:p w14:paraId="331B53E6"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Economy-finance. (2026). </w:t>
      </w:r>
      <w:r>
        <w:rPr>
          <w:rFonts w:ascii="Times New Roman" w:eastAsia="Times New Roman" w:hAnsi="Times New Roman" w:cs="Times New Roman"/>
          <w:i/>
          <w:iCs/>
          <w:sz w:val="24"/>
          <w:szCs w:val="24"/>
        </w:rPr>
        <w:t xml:space="preserve">Is the EU’s labour market reaching a turning point? </w:t>
      </w:r>
      <w:r>
        <w:rPr>
          <w:rFonts w:ascii="Times New Roman" w:eastAsia="Times New Roman" w:hAnsi="Times New Roman" w:cs="Times New Roman"/>
          <w:sz w:val="24"/>
          <w:szCs w:val="24"/>
        </w:rPr>
        <w:t xml:space="preserve">Available at: </w:t>
      </w:r>
      <w:hyperlink r:id="rId21">
        <w:r>
          <w:rPr>
            <w:rFonts w:ascii="Times New Roman" w:eastAsia="Times New Roman" w:hAnsi="Times New Roman" w:cs="Times New Roman"/>
            <w:color w:val="1155CC"/>
            <w:sz w:val="24"/>
            <w:szCs w:val="24"/>
            <w:u w:val="single"/>
          </w:rPr>
          <w:t>https://economy-finance.ec.europa.eu/economic-forecast-and-surveys/economic-forecasts/spring-2026-economic-forecast-slowdown-growth-energy-shock-drives-inflation/eus-labour-market-reaching-turning-point_en</w:t>
        </w:r>
      </w:hyperlink>
      <w:r>
        <w:rPr>
          <w:rFonts w:ascii="Times New Roman" w:eastAsia="Times New Roman" w:hAnsi="Times New Roman" w:cs="Times New Roman"/>
          <w:sz w:val="24"/>
          <w:szCs w:val="24"/>
        </w:rPr>
        <w:t xml:space="preserve"> Accessed on 13-06-2026</w:t>
      </w:r>
    </w:p>
    <w:p w14:paraId="3A6E7480"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Europa. (2023). </w:t>
      </w:r>
      <w:r>
        <w:rPr>
          <w:rFonts w:ascii="Times New Roman" w:eastAsia="Times New Roman" w:hAnsi="Times New Roman" w:cs="Times New Roman"/>
          <w:i/>
          <w:iCs/>
          <w:sz w:val="24"/>
          <w:szCs w:val="24"/>
        </w:rPr>
        <w:t>Commission report finds labour and skills shortages persist and looks at possible ways to tackle them.</w:t>
      </w:r>
      <w:r>
        <w:rPr>
          <w:rFonts w:ascii="Times New Roman" w:eastAsia="Times New Roman" w:hAnsi="Times New Roman" w:cs="Times New Roman"/>
          <w:sz w:val="24"/>
          <w:szCs w:val="24"/>
        </w:rPr>
        <w:t xml:space="preserve"> Available at: </w:t>
      </w:r>
      <w:hyperlink r:id="rId22">
        <w:r>
          <w:rPr>
            <w:rFonts w:ascii="Times New Roman" w:eastAsia="Times New Roman" w:hAnsi="Times New Roman" w:cs="Times New Roman"/>
            <w:color w:val="1155CC"/>
            <w:sz w:val="24"/>
            <w:szCs w:val="24"/>
            <w:u w:val="single"/>
          </w:rPr>
          <w:t>https://ec.europa.eu/commission/presscorner/detail/sv/ip_23_3704</w:t>
        </w:r>
      </w:hyperlink>
      <w:r>
        <w:rPr>
          <w:rFonts w:ascii="Times New Roman" w:eastAsia="Times New Roman" w:hAnsi="Times New Roman" w:cs="Times New Roman"/>
          <w:sz w:val="24"/>
          <w:szCs w:val="24"/>
        </w:rPr>
        <w:t xml:space="preserve"> Accessed on 13-06-2026</w:t>
      </w:r>
    </w:p>
    <w:p w14:paraId="3A781317"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Europa. (2026a). </w:t>
      </w:r>
      <w:r>
        <w:rPr>
          <w:rFonts w:ascii="Times New Roman" w:eastAsia="Times New Roman" w:hAnsi="Times New Roman" w:cs="Times New Roman"/>
          <w:i/>
          <w:iCs/>
          <w:sz w:val="24"/>
          <w:szCs w:val="24"/>
        </w:rPr>
        <w:t xml:space="preserve">Labour Market and Wage Developments in Europe 2024. </w:t>
      </w: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color w:val="1155CC"/>
            <w:sz w:val="24"/>
            <w:szCs w:val="24"/>
            <w:u w:val="single"/>
          </w:rPr>
          <w:t>https://op.europa.eu/webpub/empl/lmwd-annual-review-report-2024/index.html?afd_azwaf_tok=eyJraWQiOiIxNkY3M0JFMkNDMjZDOUM1ODBGMzM4NjAzN0I1ODRCQTc4REQ1ODcwQUFFRkJGNEZDRUJFOUZEQkNGMENGMTNEIiwiYWxnIjoiUlMyNTYifQ.eyJhdWQiOiJvcC5ldXJvcGEuZXUiLCJleHAiOjE3ODEyOTMxODMsImlhdCI6MTc4MTI5MzE3MywiaXNzIjoidGllcjEtYjc0NDU2NWMtOXc0bnciLCJzdWIiOiIyMDIuOC4xMTMuMjgiLCJkYXRhIjp7InR5cGUiOiJpc3N1ZWQiLCJyZWYiOiIyMDI2MDYxMlQxOTM5MzNaLWVyMWI3NDQ1NjVjOXc0bndoQzFNQUF0cjJ3MDAwMDAwMGZ5ZzAwMDAwMDAwM3JwOSIsImIiOiI4eUNmOG44eFlMUGtPa1JCM043R1ppWDFyOWpqQlFrSzBpNl8yNXdfanZnIiwiaCI6IkVTQ0hzeTRiaE45bHpSN2wwNzRJYlA2ckU1MzY5LTh2eEEyNW9KOGVxbm8ifX0.maDikWoZNoVAr7Kto_6mJQuOpm_5NctAwb8HM6KVl_gBT8kzmZG6xYtPMlMxAHMssWQw8nkBmPVBRL4VIZgrguYdRWLL2m7sxRVXNC3M1Zy8p1E4fHEms6jT3xnSsBeA3OCXDSAjHMXPfXgJHmjt3VUbjHPnoTjB2Iho15lqzCUT6nba-Q38VJWdwXiq4c9YC1AulvUF1asKLYoEcuHW9cAQZA8Gc3XbMnsT-zzstu_ZneqN5utIAHaYxcaIQ5QTkOchmmjmzMQkKyuRazM82F4u-xy8QTJmnGxCOqXeB_0R_Oz0xKx5rGSuVZZydrt86E6l6scvRHZI5UR8Ii-ZtA.WF3obl2IDtqgvMFRqVdYkD5s</w:t>
        </w:r>
      </w:hyperlink>
      <w:r>
        <w:rPr>
          <w:rFonts w:ascii="Times New Roman" w:eastAsia="Times New Roman" w:hAnsi="Times New Roman" w:cs="Times New Roman"/>
          <w:sz w:val="24"/>
          <w:szCs w:val="24"/>
        </w:rPr>
        <w:t xml:space="preserve"> Accessed on 13-06-2026</w:t>
      </w:r>
    </w:p>
    <w:p w14:paraId="2B8122DD"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Europa. (2026b). </w:t>
      </w:r>
      <w:r>
        <w:rPr>
          <w:rFonts w:ascii="Times New Roman" w:eastAsia="Times New Roman" w:hAnsi="Times New Roman" w:cs="Times New Roman"/>
          <w:i/>
          <w:iCs/>
          <w:sz w:val="24"/>
          <w:szCs w:val="24"/>
        </w:rPr>
        <w:t>Employment rate up, labour market slack down in Q1 2026.</w:t>
      </w:r>
      <w:r>
        <w:rPr>
          <w:rFonts w:ascii="Times New Roman" w:eastAsia="Times New Roman" w:hAnsi="Times New Roman" w:cs="Times New Roman"/>
          <w:sz w:val="24"/>
          <w:szCs w:val="24"/>
        </w:rPr>
        <w:t xml:space="preserve"> Available at: </w:t>
      </w:r>
      <w:hyperlink r:id="rId24">
        <w:r>
          <w:rPr>
            <w:rFonts w:ascii="Times New Roman" w:eastAsia="Times New Roman" w:hAnsi="Times New Roman" w:cs="Times New Roman"/>
            <w:color w:val="1155CC"/>
            <w:sz w:val="24"/>
            <w:szCs w:val="24"/>
            <w:u w:val="single"/>
          </w:rPr>
          <w:t>https://ec.europa.eu/eurostat/web/products-eurostat-news/w/ddn-20260612-3</w:t>
        </w:r>
      </w:hyperlink>
      <w:r>
        <w:rPr>
          <w:rFonts w:ascii="Times New Roman" w:eastAsia="Times New Roman" w:hAnsi="Times New Roman" w:cs="Times New Roman"/>
          <w:sz w:val="24"/>
          <w:szCs w:val="24"/>
        </w:rPr>
        <w:t xml:space="preserve"> Accessed on 13-06-2026</w:t>
      </w:r>
    </w:p>
    <w:p w14:paraId="14233308"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Galan, S. (2026). </w:t>
      </w:r>
      <w:r>
        <w:rPr>
          <w:rFonts w:ascii="Times New Roman" w:eastAsia="Times New Roman" w:hAnsi="Times New Roman" w:cs="Times New Roman"/>
          <w:i/>
          <w:iCs/>
          <w:sz w:val="24"/>
          <w:szCs w:val="24"/>
        </w:rPr>
        <w:t xml:space="preserve">Number of employees in the European Union 2025, by sector. </w:t>
      </w:r>
      <w:r>
        <w:rPr>
          <w:rFonts w:ascii="Times New Roman" w:eastAsia="Times New Roman" w:hAnsi="Times New Roman" w:cs="Times New Roman"/>
          <w:sz w:val="24"/>
          <w:szCs w:val="24"/>
        </w:rPr>
        <w:t xml:space="preserve">Available at: </w:t>
      </w:r>
      <w:hyperlink r:id="rId25">
        <w:r>
          <w:rPr>
            <w:rFonts w:ascii="Times New Roman" w:eastAsia="Times New Roman" w:hAnsi="Times New Roman" w:cs="Times New Roman"/>
            <w:color w:val="1155CC"/>
            <w:sz w:val="24"/>
            <w:szCs w:val="24"/>
            <w:u w:val="single"/>
          </w:rPr>
          <w:t>https://www.statista.com/statistics/1195197/employment-by-sector-in-europe/</w:t>
        </w:r>
      </w:hyperlink>
      <w:r>
        <w:rPr>
          <w:rFonts w:ascii="Times New Roman" w:eastAsia="Times New Roman" w:hAnsi="Times New Roman" w:cs="Times New Roman"/>
          <w:sz w:val="24"/>
          <w:szCs w:val="24"/>
        </w:rPr>
        <w:t xml:space="preserve"> Accessed on 13-06-2026</w:t>
      </w:r>
    </w:p>
    <w:p w14:paraId="25697CF8"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Gallup. (2026). </w:t>
      </w:r>
      <w:r>
        <w:rPr>
          <w:rFonts w:ascii="Times New Roman" w:eastAsia="Times New Roman" w:hAnsi="Times New Roman" w:cs="Times New Roman"/>
          <w:i/>
          <w:iCs/>
          <w:sz w:val="24"/>
          <w:szCs w:val="24"/>
        </w:rPr>
        <w:t>Europeans Upbeat on Job Market but Not Engaged at Work.</w:t>
      </w:r>
      <w:r>
        <w:rPr>
          <w:rFonts w:ascii="Times New Roman" w:eastAsia="Times New Roman" w:hAnsi="Times New Roman" w:cs="Times New Roman"/>
          <w:sz w:val="24"/>
          <w:szCs w:val="24"/>
        </w:rPr>
        <w:t xml:space="preserve"> Available at: </w:t>
      </w:r>
      <w:hyperlink r:id="rId26">
        <w:r>
          <w:rPr>
            <w:rFonts w:ascii="Times New Roman" w:eastAsia="Times New Roman" w:hAnsi="Times New Roman" w:cs="Times New Roman"/>
            <w:color w:val="1155CC"/>
            <w:sz w:val="24"/>
            <w:szCs w:val="24"/>
            <w:u w:val="single"/>
          </w:rPr>
          <w:t>www.gallup.com/workplace/709163/europeans-upbeat-job-market-not-engaged-work.aspx</w:t>
        </w:r>
      </w:hyperlink>
      <w:r>
        <w:rPr>
          <w:rFonts w:ascii="Times New Roman" w:eastAsia="Times New Roman" w:hAnsi="Times New Roman" w:cs="Times New Roman"/>
          <w:sz w:val="24"/>
          <w:szCs w:val="24"/>
        </w:rPr>
        <w:t xml:space="preserve"> Accessed on 13-06-2026</w:t>
      </w:r>
    </w:p>
    <w:p w14:paraId="5AEBFF5F"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Gurcham, K., Karatepe, O.M., Rescalvo-Martin, E. and Avci, T. (2025). Work Engagement, Job Crafting, and Their Effects on Green Work Outcomes.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 xml:space="preserve">(22), p.10090. </w:t>
      </w:r>
      <w:hyperlink r:id="rId27">
        <w:r>
          <w:rPr>
            <w:rFonts w:ascii="Times New Roman" w:eastAsia="Times New Roman" w:hAnsi="Times New Roman" w:cs="Times New Roman"/>
            <w:color w:val="1155CC"/>
            <w:sz w:val="24"/>
            <w:szCs w:val="24"/>
            <w:u w:val="single"/>
          </w:rPr>
          <w:t>https://www.mdpi.com/2071-1050/17/22/10090</w:t>
        </w:r>
      </w:hyperlink>
    </w:p>
    <w:p w14:paraId="2AB0D214" w14:textId="77777777" w:rsidR="000E4682" w:rsidRPr="000E4682" w:rsidRDefault="000E4682">
      <w:pPr>
        <w:spacing w:line="360" w:lineRule="auto"/>
        <w:jc w:val="both"/>
        <w:rPr>
          <w:rFonts w:ascii="Times New Roman" w:eastAsia="Times New Roman" w:hAnsi="Times New Roman" w:cs="Times New Roman"/>
          <w:sz w:val="24"/>
          <w:szCs w:val="24"/>
          <w:lang w:val="de-DE"/>
        </w:rPr>
      </w:pPr>
      <w:r>
        <w:rPr>
          <w:rFonts w:ascii="Times New Roman" w:eastAsia="Times New Roman" w:hAnsi="Times New Roman" w:cs="Times New Roman"/>
          <w:sz w:val="24"/>
          <w:szCs w:val="24"/>
        </w:rPr>
        <w:t xml:space="preserve">Gutiérrez-Broncano, S., Rubio-Andrés, M., Jiménez-Estévez, P. and Opute, J. (2024). Cross-functional teams. In </w:t>
      </w:r>
      <w:r>
        <w:rPr>
          <w:rFonts w:ascii="Times New Roman" w:eastAsia="Times New Roman" w:hAnsi="Times New Roman" w:cs="Times New Roman"/>
          <w:i/>
          <w:iCs/>
          <w:sz w:val="24"/>
          <w:szCs w:val="24"/>
        </w:rPr>
        <w:t>Lean manufacturing in Latin America: Concepts, methodologies and applications</w:t>
      </w:r>
      <w:r>
        <w:rPr>
          <w:rFonts w:ascii="Times New Roman" w:eastAsia="Times New Roman" w:hAnsi="Times New Roman" w:cs="Times New Roman"/>
          <w:sz w:val="24"/>
          <w:szCs w:val="24"/>
        </w:rPr>
        <w:t xml:space="preserve"> (pp. 515-538). </w:t>
      </w:r>
      <w:r w:rsidRPr="000E4682">
        <w:rPr>
          <w:rFonts w:ascii="Times New Roman" w:eastAsia="Times New Roman" w:hAnsi="Times New Roman" w:cs="Times New Roman"/>
          <w:sz w:val="24"/>
          <w:szCs w:val="24"/>
          <w:lang w:val="de-DE"/>
        </w:rPr>
        <w:t xml:space="preserve">Cham: Springer Nature Switzerland. </w:t>
      </w:r>
      <w:hyperlink r:id="rId28" w:anchor="page=537">
        <w:r w:rsidRPr="000E4682">
          <w:rPr>
            <w:rFonts w:ascii="Times New Roman" w:eastAsia="Times New Roman" w:hAnsi="Times New Roman" w:cs="Times New Roman"/>
            <w:color w:val="1155CC"/>
            <w:sz w:val="24"/>
            <w:szCs w:val="24"/>
            <w:u w:val="single"/>
            <w:lang w:val="de-DE"/>
          </w:rPr>
          <w:t>https://www.researchgate.net/profile/Jose-Jimenez-Garcia-3/publication/386077002_Heijunka/links/67b23e45207c0c20fa8bb738/Heijunka.pdf#page=537</w:t>
        </w:r>
      </w:hyperlink>
    </w:p>
    <w:p w14:paraId="5C7818B0"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Islam, A., Ajmal, M. and Islam, Z. (2025). Unlocking work engagement: harnessing social capital, proactive personalities and POS in newcomers’ organizational socialization. </w:t>
      </w:r>
      <w:r>
        <w:rPr>
          <w:rFonts w:ascii="Times New Roman" w:eastAsia="Times New Roman" w:hAnsi="Times New Roman" w:cs="Times New Roman"/>
          <w:i/>
          <w:iCs/>
          <w:sz w:val="24"/>
          <w:szCs w:val="24"/>
        </w:rPr>
        <w:t>International Journal of Organizational Analysis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33</w:t>
      </w:r>
      <w:r>
        <w:rPr>
          <w:rFonts w:ascii="Times New Roman" w:eastAsia="Times New Roman" w:hAnsi="Times New Roman" w:cs="Times New Roman"/>
          <w:sz w:val="24"/>
          <w:szCs w:val="24"/>
        </w:rPr>
        <w:t xml:space="preserve">(8), pp.1916-1942. </w:t>
      </w:r>
      <w:hyperlink r:id="rId29">
        <w:r>
          <w:rPr>
            <w:rFonts w:ascii="Times New Roman" w:eastAsia="Times New Roman" w:hAnsi="Times New Roman" w:cs="Times New Roman"/>
            <w:color w:val="1155CC"/>
            <w:sz w:val="24"/>
            <w:szCs w:val="24"/>
            <w:u w:val="single"/>
          </w:rPr>
          <w:t>https://www.researchgate.net/profile/Azmat-Islam/publication/384011650_Unlocking_work_engagement_harnessing_social_capital_proactive_personalities_and_POS_in_newcomers%27_organizational_socialization/links/66e41e572390e50b2c872aa7/Unlocking-work-engagement-harnessing-social-capital-proactive-personalities-and-POS-in-newcomers-organizational-socialization.pdf</w:t>
        </w:r>
      </w:hyperlink>
    </w:p>
    <w:p w14:paraId="06580676"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Jafarov, S. (2025). Education and skill development: A pathway to sustainable growth. </w:t>
      </w:r>
      <w:r>
        <w:rPr>
          <w:rFonts w:ascii="Times New Roman" w:eastAsia="Times New Roman" w:hAnsi="Times New Roman" w:cs="Times New Roman"/>
          <w:i/>
          <w:iCs/>
          <w:sz w:val="24"/>
          <w:szCs w:val="24"/>
        </w:rPr>
        <w:t>International Journal of Scientific Research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 xml:space="preserve">(2), pp.3963-3969. </w:t>
      </w:r>
      <w:hyperlink r:id="rId30">
        <w:r>
          <w:rPr>
            <w:rFonts w:ascii="Times New Roman" w:eastAsia="Times New Roman" w:hAnsi="Times New Roman" w:cs="Times New Roman"/>
            <w:color w:val="1155CC"/>
            <w:sz w:val="24"/>
            <w:szCs w:val="24"/>
            <w:u w:val="single"/>
          </w:rPr>
          <w:t>https://papers.ssrn.com/sol3/Delivery.cfm?abstractid=5146685</w:t>
        </w:r>
      </w:hyperlink>
    </w:p>
    <w:p w14:paraId="79FC8D45"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Jasiak-Kaczmarek, B. (2025). Implementation of artificial intelligence for employee onboarding in light of literature review. </w:t>
      </w:r>
      <w:r>
        <w:rPr>
          <w:rFonts w:ascii="Times New Roman" w:eastAsia="Times New Roman" w:hAnsi="Times New Roman" w:cs="Times New Roman"/>
          <w:i/>
          <w:iCs/>
          <w:sz w:val="24"/>
          <w:szCs w:val="24"/>
        </w:rPr>
        <w:t>Scientific Papers of Silesian University of Technology. Organization &amp; Management/Zeszyty Naukowe Politechniki Śląskiej. Seria Organizacji i Zarządzanie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219</w:t>
      </w:r>
      <w:r>
        <w:rPr>
          <w:rFonts w:ascii="Times New Roman" w:eastAsia="Times New Roman" w:hAnsi="Times New Roman" w:cs="Times New Roman"/>
          <w:sz w:val="24"/>
          <w:szCs w:val="24"/>
        </w:rPr>
        <w:t xml:space="preserve">, pp.281-292. </w:t>
      </w:r>
      <w:hyperlink r:id="rId31">
        <w:r>
          <w:rPr>
            <w:rFonts w:ascii="Times New Roman" w:eastAsia="Times New Roman" w:hAnsi="Times New Roman" w:cs="Times New Roman"/>
            <w:color w:val="1155CC"/>
            <w:sz w:val="24"/>
            <w:szCs w:val="24"/>
            <w:u w:val="single"/>
          </w:rPr>
          <w:t>https://managementpapers.polsl.pl/wp-content/uploads/2025/05/219-Jasiak-Kaczmarek.pdf</w:t>
        </w:r>
      </w:hyperlink>
    </w:p>
    <w:p w14:paraId="68C476F1"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Martinez, L., Capaccioli, A., Djukic, M., Hook, H. and Basu, S. (2025). Exploring capacity building in local governance to implement inclusive digital mobility services. </w:t>
      </w:r>
      <w:r>
        <w:rPr>
          <w:rFonts w:ascii="Times New Roman" w:eastAsia="Times New Roman" w:hAnsi="Times New Roman" w:cs="Times New Roman"/>
          <w:i/>
          <w:iCs/>
          <w:sz w:val="24"/>
          <w:szCs w:val="24"/>
        </w:rPr>
        <w:t>Journal of Urban Mobility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8</w:t>
      </w:r>
      <w:r>
        <w:rPr>
          <w:rFonts w:ascii="Times New Roman" w:eastAsia="Times New Roman" w:hAnsi="Times New Roman" w:cs="Times New Roman"/>
          <w:sz w:val="24"/>
          <w:szCs w:val="24"/>
        </w:rPr>
        <w:t xml:space="preserve">, p.100147. </w:t>
      </w:r>
      <w:hyperlink r:id="rId32">
        <w:r>
          <w:rPr>
            <w:rFonts w:ascii="Times New Roman" w:eastAsia="Times New Roman" w:hAnsi="Times New Roman" w:cs="Times New Roman"/>
            <w:color w:val="1155CC"/>
            <w:sz w:val="24"/>
            <w:szCs w:val="24"/>
            <w:u w:val="single"/>
          </w:rPr>
          <w:t>https://www.sciencedirect.com/science/article/pii/S2667091725000494</w:t>
        </w:r>
      </w:hyperlink>
    </w:p>
    <w:p w14:paraId="5413E486"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Mustafa, M.J., Badri, S.K.Z. and Ramos, H.M. (2024). Linking middle-managers' ownership feelings to their innovative work behaviour: the mediating role of affective organisational commitment. </w:t>
      </w:r>
      <w:r>
        <w:rPr>
          <w:rFonts w:ascii="Times New Roman" w:eastAsia="Times New Roman" w:hAnsi="Times New Roman" w:cs="Times New Roman"/>
          <w:i/>
          <w:iCs/>
          <w:sz w:val="24"/>
          <w:szCs w:val="24"/>
        </w:rPr>
        <w:t>Journal of Management &amp; 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30</w:t>
      </w:r>
      <w:r>
        <w:rPr>
          <w:rFonts w:ascii="Times New Roman" w:eastAsia="Times New Roman" w:hAnsi="Times New Roman" w:cs="Times New Roman"/>
          <w:sz w:val="24"/>
          <w:szCs w:val="24"/>
        </w:rPr>
        <w:t xml:space="preserve">(6), pp.2418-2435.  </w:t>
      </w:r>
      <w:hyperlink r:id="rId33">
        <w:r>
          <w:rPr>
            <w:rFonts w:ascii="Times New Roman" w:eastAsia="Times New Roman" w:hAnsi="Times New Roman" w:cs="Times New Roman"/>
            <w:color w:val="1155CC"/>
            <w:sz w:val="24"/>
            <w:szCs w:val="24"/>
            <w:u w:val="single"/>
          </w:rPr>
          <w:t>https://www.researchgate.net/profile/Michael-Mustafa/publication/357659979_Linking_middle-managers%27_ownership_feelings_to_their_innovative_work_behaviour_the_mediating_rol</w:t>
        </w:r>
        <w:r>
          <w:rPr>
            <w:rFonts w:ascii="Times New Roman" w:eastAsia="Times New Roman" w:hAnsi="Times New Roman" w:cs="Times New Roman"/>
            <w:color w:val="1155CC"/>
            <w:sz w:val="24"/>
            <w:szCs w:val="24"/>
            <w:u w:val="single"/>
          </w:rPr>
          <w:lastRenderedPageBreak/>
          <w:t>e_of_affective_organisational_commitment/links/61dd24975c0a257a6fdd6b3a/Linking-middle-managers-ownership-feelings-to-their-innovative-work-behaviour-the-mediating-role-of-affective-organisational-commitment.pdf</w:t>
        </w:r>
      </w:hyperlink>
    </w:p>
    <w:p w14:paraId="1A32D4E1"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Pougajendy, S., Mathiazhagan, A. and Karunamurthy, A. (2024). The role of organizational culture in driving employee engagement: insights and implications. </w:t>
      </w:r>
      <w:r>
        <w:rPr>
          <w:rFonts w:ascii="Times New Roman" w:eastAsia="Times New Roman" w:hAnsi="Times New Roman" w:cs="Times New Roman"/>
          <w:i/>
          <w:iCs/>
          <w:sz w:val="24"/>
          <w:szCs w:val="24"/>
        </w:rPr>
        <w:t>Quing: International Journal of Multidisciplinary Scientific Research and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 xml:space="preserve">(3), pp.26-32. </w:t>
      </w:r>
      <w:hyperlink r:id="rId34">
        <w:r>
          <w:rPr>
            <w:rFonts w:ascii="Times New Roman" w:eastAsia="Times New Roman" w:hAnsi="Times New Roman" w:cs="Times New Roman"/>
            <w:color w:val="1155CC"/>
            <w:sz w:val="24"/>
            <w:szCs w:val="24"/>
            <w:u w:val="single"/>
          </w:rPr>
          <w:t>https://www.researchgate.net/profile/Dr-Akarunamurthy/publication/387258602_The_Role_of_Organizational_Culture_in_Driving_Employee_Engagement_Insights_and_Implications/links/67654a86117f340ec3cf74f0/The-Role-of-Organizational-Culture-in-Driving-Employee-Engagement-Insights-and-Implications.pdf</w:t>
        </w:r>
      </w:hyperlink>
    </w:p>
    <w:p w14:paraId="2B1D7A4E"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Ray, C. (2024). Internal mobility: A review and agenda for future research. </w:t>
      </w:r>
      <w:r>
        <w:rPr>
          <w:rFonts w:ascii="Times New Roman" w:eastAsia="Times New Roman" w:hAnsi="Times New Roman" w:cs="Times New Roman"/>
          <w:i/>
          <w:iCs/>
          <w:sz w:val="24"/>
          <w:szCs w:val="24"/>
        </w:rPr>
        <w:t>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50</w:t>
      </w:r>
      <w:r>
        <w:rPr>
          <w:rFonts w:ascii="Times New Roman" w:eastAsia="Times New Roman" w:hAnsi="Times New Roman" w:cs="Times New Roman"/>
          <w:sz w:val="24"/>
          <w:szCs w:val="24"/>
        </w:rPr>
        <w:t xml:space="preserve">(1), pp.264-306. </w:t>
      </w:r>
      <w:hyperlink r:id="rId35">
        <w:r>
          <w:rPr>
            <w:rFonts w:ascii="Times New Roman" w:eastAsia="Times New Roman" w:hAnsi="Times New Roman" w:cs="Times New Roman"/>
            <w:color w:val="1155CC"/>
            <w:sz w:val="24"/>
            <w:szCs w:val="24"/>
            <w:u w:val="single"/>
          </w:rPr>
          <w:t>https://ecommons.cornell.edu/server/api/core/bitstreams/e8b7e484-6950-4007-bad0-6e4178484771/content</w:t>
        </w:r>
      </w:hyperlink>
    </w:p>
    <w:p w14:paraId="24E9CF84"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Ray, C. (2024). Internal mobility: A review and agenda for future research. </w:t>
      </w:r>
      <w:r>
        <w:rPr>
          <w:rFonts w:ascii="Times New Roman" w:eastAsia="Times New Roman" w:hAnsi="Times New Roman" w:cs="Times New Roman"/>
          <w:i/>
          <w:iCs/>
          <w:sz w:val="24"/>
          <w:szCs w:val="24"/>
        </w:rPr>
        <w:t>Journal of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50</w:t>
      </w:r>
      <w:r>
        <w:rPr>
          <w:rFonts w:ascii="Times New Roman" w:eastAsia="Times New Roman" w:hAnsi="Times New Roman" w:cs="Times New Roman"/>
          <w:sz w:val="24"/>
          <w:szCs w:val="24"/>
        </w:rPr>
        <w:t xml:space="preserve">(1), pp.264-306. </w:t>
      </w:r>
      <w:hyperlink r:id="rId36">
        <w:r>
          <w:rPr>
            <w:rFonts w:ascii="Times New Roman" w:eastAsia="Times New Roman" w:hAnsi="Times New Roman" w:cs="Times New Roman"/>
            <w:color w:val="1155CC"/>
            <w:sz w:val="24"/>
            <w:szCs w:val="24"/>
            <w:u w:val="single"/>
          </w:rPr>
          <w:t>https://ecommons.cornell.edu/server/api/core/bitstreams/e8b7e484-6950-4007-bad0-6e4178484771/content</w:t>
        </w:r>
      </w:hyperlink>
    </w:p>
    <w:p w14:paraId="38CAB1E0"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M. (2024). Stakeholder Capitalism and Sustainability: Redefining Corporate Governance and Balancing Stakeholder Interests. </w:t>
      </w:r>
      <w:r>
        <w:rPr>
          <w:rFonts w:ascii="Times New Roman" w:eastAsia="Times New Roman" w:hAnsi="Times New Roman" w:cs="Times New Roman"/>
          <w:i/>
          <w:iCs/>
          <w:sz w:val="24"/>
          <w:szCs w:val="24"/>
        </w:rPr>
        <w:t>Available at SSRN 4769918</w:t>
      </w:r>
      <w:r>
        <w:rPr>
          <w:rFonts w:ascii="Times New Roman" w:eastAsia="Times New Roman" w:hAnsi="Times New Roman" w:cs="Times New Roman"/>
          <w:sz w:val="24"/>
          <w:szCs w:val="24"/>
        </w:rPr>
        <w:t xml:space="preserve">. </w:t>
      </w:r>
      <w:hyperlink r:id="rId37">
        <w:r>
          <w:rPr>
            <w:rFonts w:ascii="Times New Roman" w:eastAsia="Times New Roman" w:hAnsi="Times New Roman" w:cs="Times New Roman"/>
            <w:color w:val="1155CC"/>
            <w:sz w:val="24"/>
            <w:szCs w:val="24"/>
            <w:u w:val="single"/>
          </w:rPr>
          <w:t>https://papers.ssrn.com/sol3/Delivery.cfm?abstractid=4769918</w:t>
        </w:r>
      </w:hyperlink>
    </w:p>
    <w:p w14:paraId="5316BDAF" w14:textId="77777777" w:rsidR="000E4682" w:rsidRDefault="000E468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Wu, D. and Huang, J.L. (2024). Gig work and gig workers: An integrative review and agenda for future research. </w:t>
      </w:r>
      <w:r>
        <w:rPr>
          <w:rFonts w:ascii="Times New Roman" w:eastAsia="Times New Roman" w:hAnsi="Times New Roman" w:cs="Times New Roman"/>
          <w:i/>
          <w:iCs/>
          <w:sz w:val="24"/>
          <w:szCs w:val="24"/>
        </w:rPr>
        <w:t>Journal of Organizational Behavior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45</w:t>
      </w:r>
      <w:r>
        <w:rPr>
          <w:rFonts w:ascii="Times New Roman" w:eastAsia="Times New Roman" w:hAnsi="Times New Roman" w:cs="Times New Roman"/>
          <w:sz w:val="24"/>
          <w:szCs w:val="24"/>
        </w:rPr>
        <w:t xml:space="preserve">(2), pp.183-208. </w:t>
      </w:r>
      <w:hyperlink r:id="rId38">
        <w:r>
          <w:rPr>
            <w:rFonts w:ascii="Times New Roman" w:eastAsia="Times New Roman" w:hAnsi="Times New Roman" w:cs="Times New Roman"/>
            <w:color w:val="1155CC"/>
            <w:sz w:val="24"/>
            <w:szCs w:val="24"/>
            <w:u w:val="single"/>
          </w:rPr>
          <w:t>https://jasonhuangatwork.com/papers/Wu%20&amp;%20Huang%202024%20-%20gig%20work%20review.pdf</w:t>
        </w:r>
      </w:hyperlink>
    </w:p>
    <w:p w14:paraId="356E42DB" w14:textId="77777777" w:rsidR="005F68A2" w:rsidRDefault="005F68A2">
      <w:pPr>
        <w:spacing w:line="360" w:lineRule="auto"/>
        <w:jc w:val="both"/>
        <w:rPr>
          <w:rFonts w:ascii="Times New Roman" w:eastAsia="Times New Roman" w:hAnsi="Times New Roman" w:cs="Times New Roman"/>
          <w:sz w:val="24"/>
          <w:szCs w:val="24"/>
        </w:rPr>
      </w:pPr>
    </w:p>
    <w:sectPr w:rsidR="005F68A2">
      <w:headerReference w:type="default" r:id="rId39"/>
      <w:footerReference w:type="default" r:id="rId4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18ED5" w14:textId="77777777" w:rsidR="002717AB" w:rsidRDefault="002717AB">
      <w:pPr>
        <w:spacing w:line="240" w:lineRule="auto"/>
      </w:pPr>
      <w:r>
        <w:separator/>
      </w:r>
    </w:p>
  </w:endnote>
  <w:endnote w:type="continuationSeparator" w:id="0">
    <w:p w14:paraId="78098F9E" w14:textId="77777777" w:rsidR="002717AB" w:rsidRDefault="002717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ACB51161-E303-4835-BE5F-F0C284D54DB4}"/>
  </w:font>
  <w:font w:name="Shruti">
    <w:panose1 w:val="02000500000000000000"/>
    <w:charset w:val="00"/>
    <w:family w:val="swiss"/>
    <w:pitch w:val="variable"/>
    <w:sig w:usb0="00040003" w:usb1="00000000" w:usb2="00000000" w:usb3="00000000" w:csb0="00000001" w:csb1="00000000"/>
    <w:embedRegular r:id="rId2" w:fontKey="{65D7364D-A4F1-4B4B-9A26-F6709FDB85E5}"/>
  </w:font>
  <w:font w:name="Cambria">
    <w:panose1 w:val="02040503050406030204"/>
    <w:charset w:val="00"/>
    <w:family w:val="roman"/>
    <w:pitch w:val="variable"/>
    <w:sig w:usb0="E00006FF" w:usb1="420024FF" w:usb2="02000000" w:usb3="00000000" w:csb0="0000019F" w:csb1="00000000"/>
    <w:embedRegular r:id="rId3" w:fontKey="{36A7C14E-3296-4E6C-9610-0CB446F329B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E301B" w14:textId="77777777" w:rsidR="005F68A2" w:rsidRDefault="00000000">
    <w:pPr>
      <w:spacing w:line="360" w:lineRule="auto"/>
      <w:jc w:val="right"/>
      <w:rPr>
        <w:sz w:val="18"/>
        <w:szCs w:val="18"/>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0E4682">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FAA5E1" w14:textId="77777777" w:rsidR="002717AB" w:rsidRDefault="002717AB">
      <w:pPr>
        <w:spacing w:line="240" w:lineRule="auto"/>
      </w:pPr>
      <w:r>
        <w:separator/>
      </w:r>
    </w:p>
  </w:footnote>
  <w:footnote w:type="continuationSeparator" w:id="0">
    <w:p w14:paraId="26A91F85" w14:textId="77777777" w:rsidR="002717AB" w:rsidRDefault="002717A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7AAE0" w14:textId="77777777" w:rsidR="005F68A2" w:rsidRDefault="00000000">
    <w:pPr>
      <w:jc w:val="right"/>
    </w:pPr>
    <w:r>
      <w:rPr>
        <w:noProof/>
      </w:rPr>
      <w:drawing>
        <wp:anchor distT="0" distB="0" distL="114300" distR="114300" simplePos="0" relativeHeight="251658240" behindDoc="0" locked="0" layoutInCell="1" allowOverlap="1" wp14:anchorId="0D4EAFE8" wp14:editId="700C9970">
          <wp:simplePos x="0" y="0"/>
          <wp:positionH relativeFrom="column">
            <wp:posOffset>4648200</wp:posOffset>
          </wp:positionH>
          <wp:positionV relativeFrom="paragraph">
            <wp:posOffset>-441960</wp:posOffset>
          </wp:positionV>
          <wp:extent cx="1976120" cy="897890"/>
          <wp:effectExtent l="0" t="0" r="5080" b="0"/>
          <wp:wrapThrough wrapText="bothSides">
            <wp:wrapPolygon edited="0">
              <wp:start x="0" y="0"/>
              <wp:lineTo x="0" y="21081"/>
              <wp:lineTo x="21447" y="21081"/>
              <wp:lineTo x="21447" y="0"/>
              <wp:lineTo x="0" y="0"/>
            </wp:wrapPolygon>
          </wp:wrapThrough>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
                    <a:extLst>
                      <a:ext uri="{28A0092B-C50C-407E-A947-70E740481C1C}">
                        <a14:useLocalDpi xmlns:a14="http://schemas.microsoft.com/office/drawing/2010/main" val="0"/>
                      </a:ext>
                    </a:extLst>
                  </a:blip>
                  <a:srcRect/>
                  <a:stretch>
                    <a:fillRect/>
                  </a:stretch>
                </pic:blipFill>
                <pic:spPr>
                  <a:xfrm>
                    <a:off x="0" y="0"/>
                    <a:ext cx="1976120" cy="897890"/>
                  </a:xfrm>
                  <a:prstGeom prst="rect">
                    <a:avLst/>
                  </a:prstGeom>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F1249"/>
    <w:multiLevelType w:val="hybridMultilevel"/>
    <w:tmpl w:val="2B607BE8"/>
    <w:lvl w:ilvl="0" w:tplc="9EA6B884">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AB31CD"/>
    <w:multiLevelType w:val="multilevel"/>
    <w:tmpl w:val="9A6811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AE2B99"/>
    <w:multiLevelType w:val="hybridMultilevel"/>
    <w:tmpl w:val="B09496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23A7B0B"/>
    <w:multiLevelType w:val="multilevel"/>
    <w:tmpl w:val="45D8E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CD001B"/>
    <w:multiLevelType w:val="multilevel"/>
    <w:tmpl w:val="59DE22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1A145FF"/>
    <w:multiLevelType w:val="multilevel"/>
    <w:tmpl w:val="64A0E0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0014657"/>
    <w:multiLevelType w:val="multilevel"/>
    <w:tmpl w:val="810E7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692CA4"/>
    <w:multiLevelType w:val="multilevel"/>
    <w:tmpl w:val="88B4E8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6017206">
    <w:abstractNumId w:val="5"/>
  </w:num>
  <w:num w:numId="2" w16cid:durableId="1961375952">
    <w:abstractNumId w:val="3"/>
  </w:num>
  <w:num w:numId="3" w16cid:durableId="1000038036">
    <w:abstractNumId w:val="6"/>
  </w:num>
  <w:num w:numId="4" w16cid:durableId="112410700">
    <w:abstractNumId w:val="7"/>
  </w:num>
  <w:num w:numId="5" w16cid:durableId="712270486">
    <w:abstractNumId w:val="1"/>
  </w:num>
  <w:num w:numId="6" w16cid:durableId="1948196739">
    <w:abstractNumId w:val="4"/>
  </w:num>
  <w:num w:numId="7" w16cid:durableId="1398287380">
    <w:abstractNumId w:val="2"/>
  </w:num>
  <w:num w:numId="8" w16cid:durableId="787502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8A2"/>
    <w:rsid w:val="000C4BED"/>
    <w:rsid w:val="000E4682"/>
    <w:rsid w:val="0019534E"/>
    <w:rsid w:val="001F12E4"/>
    <w:rsid w:val="002717AB"/>
    <w:rsid w:val="002E4CE2"/>
    <w:rsid w:val="005930EB"/>
    <w:rsid w:val="005F68A2"/>
    <w:rsid w:val="006646F3"/>
    <w:rsid w:val="006E3539"/>
    <w:rsid w:val="007B4C3E"/>
    <w:rsid w:val="00C94B98"/>
    <w:rsid w:val="00D27E4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6163C"/>
  <w15:docId w15:val="{1F8E127B-229F-4BF0-99DC-97B8C9C22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E4682"/>
    <w:pPr>
      <w:keepNext/>
      <w:keepLines/>
      <w:spacing w:before="400" w:after="120" w:line="24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0E4682"/>
    <w:pPr>
      <w:keepNext/>
      <w:keepLines/>
      <w:spacing w:before="360" w:after="120" w:line="24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0E4682"/>
    <w:pPr>
      <w:keepNext/>
      <w:keepLines/>
      <w:spacing w:before="280" w:after="80" w:line="240" w:lineRule="auto"/>
      <w:jc w:val="center"/>
      <w:outlineLvl w:val="3"/>
    </w:pPr>
    <w:rPr>
      <w:rFonts w:ascii="Times New Roman" w:hAnsi="Times New Roman"/>
      <w:b/>
      <w:color w:val="000000" w:themeColor="text1"/>
      <w:sz w:val="24"/>
      <w:szCs w:val="24"/>
    </w:rPr>
  </w:style>
  <w:style w:type="paragraph" w:styleId="Heading5">
    <w:name w:val="heading 5"/>
    <w:basedOn w:val="Normal"/>
    <w:next w:val="Normal"/>
    <w:uiPriority w:val="9"/>
    <w:unhideWhenUsed/>
    <w:qFormat/>
    <w:rsid w:val="000E4682"/>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0E4682"/>
    <w:pPr>
      <w:tabs>
        <w:tab w:val="center" w:pos="4513"/>
        <w:tab w:val="right" w:pos="9026"/>
      </w:tabs>
      <w:spacing w:line="240" w:lineRule="auto"/>
    </w:pPr>
  </w:style>
  <w:style w:type="character" w:customStyle="1" w:styleId="HeaderChar">
    <w:name w:val="Header Char"/>
    <w:basedOn w:val="DefaultParagraphFont"/>
    <w:link w:val="Header"/>
    <w:uiPriority w:val="99"/>
    <w:rsid w:val="000E4682"/>
  </w:style>
  <w:style w:type="paragraph" w:styleId="Footer">
    <w:name w:val="footer"/>
    <w:basedOn w:val="Normal"/>
    <w:link w:val="FooterChar"/>
    <w:uiPriority w:val="99"/>
    <w:unhideWhenUsed/>
    <w:rsid w:val="000E4682"/>
    <w:pPr>
      <w:tabs>
        <w:tab w:val="center" w:pos="4513"/>
        <w:tab w:val="right" w:pos="9026"/>
      </w:tabs>
      <w:spacing w:line="240" w:lineRule="auto"/>
    </w:pPr>
  </w:style>
  <w:style w:type="character" w:customStyle="1" w:styleId="FooterChar">
    <w:name w:val="Footer Char"/>
    <w:basedOn w:val="DefaultParagraphFont"/>
    <w:link w:val="Footer"/>
    <w:uiPriority w:val="99"/>
    <w:rsid w:val="000E4682"/>
  </w:style>
  <w:style w:type="paragraph" w:styleId="ListParagraph">
    <w:name w:val="List Paragraph"/>
    <w:basedOn w:val="Normal"/>
    <w:uiPriority w:val="34"/>
    <w:qFormat/>
    <w:rsid w:val="000E4682"/>
    <w:pPr>
      <w:ind w:left="720"/>
      <w:contextualSpacing/>
    </w:pPr>
  </w:style>
  <w:style w:type="paragraph" w:styleId="TOCHeading">
    <w:name w:val="TOC Heading"/>
    <w:basedOn w:val="Heading1"/>
    <w:next w:val="Normal"/>
    <w:uiPriority w:val="39"/>
    <w:unhideWhenUsed/>
    <w:qFormat/>
    <w:rsid w:val="006E353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E3539"/>
    <w:pPr>
      <w:spacing w:after="100"/>
    </w:pPr>
  </w:style>
  <w:style w:type="paragraph" w:styleId="TOC2">
    <w:name w:val="toc 2"/>
    <w:basedOn w:val="Normal"/>
    <w:next w:val="Normal"/>
    <w:autoRedefine/>
    <w:uiPriority w:val="39"/>
    <w:unhideWhenUsed/>
    <w:rsid w:val="006E3539"/>
    <w:pPr>
      <w:spacing w:after="100"/>
      <w:ind w:left="220"/>
    </w:pPr>
  </w:style>
  <w:style w:type="character" w:styleId="Hyperlink">
    <w:name w:val="Hyperlink"/>
    <w:basedOn w:val="DefaultParagraphFont"/>
    <w:uiPriority w:val="99"/>
    <w:unhideWhenUsed/>
    <w:rsid w:val="006E3539"/>
    <w:rPr>
      <w:color w:val="0000FF" w:themeColor="hyperlink"/>
      <w:u w:val="single"/>
    </w:rPr>
  </w:style>
  <w:style w:type="paragraph" w:styleId="TableofFigures">
    <w:name w:val="table of figures"/>
    <w:basedOn w:val="Normal"/>
    <w:next w:val="Normal"/>
    <w:uiPriority w:val="99"/>
    <w:unhideWhenUsed/>
    <w:rsid w:val="006E3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uxberlin.com/wp-content/uploads/2024/09/2024_Tensions_and_Values_Action_Gaps_in_SOIC_AUTHOR_COPY.pdf" TargetMode="External"/><Relationship Id="rId26" Type="http://schemas.openxmlformats.org/officeDocument/2006/relationships/hyperlink" Target="http://www.gallup.com/workplace/709163/europeans-upbeat-job-market-not-engaged-work.aspx" TargetMode="External"/><Relationship Id="rId39" Type="http://schemas.openxmlformats.org/officeDocument/2006/relationships/header" Target="header1.xml"/><Relationship Id="rId21" Type="http://schemas.openxmlformats.org/officeDocument/2006/relationships/hyperlink" Target="https://economy-finance.ec.europa.eu/economic-forecast-and-surveys/economic-forecasts/spring-2026-economic-forecast-slowdown-growth-energy-shock-drives-inflation/eus-labour-market-reaching-turning-point_en" TargetMode="External"/><Relationship Id="rId34" Type="http://schemas.openxmlformats.org/officeDocument/2006/relationships/hyperlink" Target="https://www.researchgate.net/profile/Dr-Akarunamurthy/publication/387258602_The_Role_of_Organizational_Culture_in_Driving_Employee_Engagement_Insights_and_Implications/links/67654a86117f340ec3cf74f0/The-Role-of-Organizational-Culture-in-Driving-Employee-Engagement-Insights-and-Implications.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Temitope-Sanyaolu/publication/384110619_Workforce_development_in_the_transport_sector_amidst_environmental_change_A_conceptual_review/links/66eb1006fc6cc464896179c8/Workforce-development-in-the-transport-sector-amidst-environmental-change-A-conceptual-review.pdf" TargetMode="External"/><Relationship Id="rId20" Type="http://schemas.openxmlformats.org/officeDocument/2006/relationships/hyperlink" Target="https://www.researchgate.net/profile/Girlane-Bondan-3/publication/381656013_Analysis_of_Knowledge_Management_Practices_for_Knowledge_Intensive_Organizations_Self-Management/links/667960f6d21e220d89cc3f84/Analysis-of-Knowledge-Management-Practices-for-Knowledge-Intensive-Organizations-Self-Management.pdf" TargetMode="External"/><Relationship Id="rId29" Type="http://schemas.openxmlformats.org/officeDocument/2006/relationships/hyperlink" Target="https://www.researchgate.net/profile/Azmat-Islam/publication/384011650_Unlocking_work_engagement_harnessing_social_capital_proactive_personalities_and_POS_in_newcomers%27_organizational_socialization/links/66e41e572390e50b2c872aa7/Unlocking-work-engagement-harnessing-social-capital-proactive-personalities-and-POS-in-newcomers-organizational-socialization.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c.europa.eu/eurostat/web/products-eurostat-news/w/ddn-20260612-3" TargetMode="External"/><Relationship Id="rId32" Type="http://schemas.openxmlformats.org/officeDocument/2006/relationships/hyperlink" Target="https://www.sciencedirect.com/science/article/pii/S2667091725000494" TargetMode="External"/><Relationship Id="rId37" Type="http://schemas.openxmlformats.org/officeDocument/2006/relationships/hyperlink" Target="https://papers.ssrn.com/sol3/Delivery.cfm?abstractid=4769918"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op.europa.eu/webpub/empl/lmwd-annual-review-report-2024/index.html?afd_azwaf_tok=eyJraWQiOiIxNkY3M0JFMkNDMjZDOUM1ODBGMzM4NjAzN0I1ODRCQTc4REQ1ODcwQUFFRkJGNEZDRUJFOUZEQkNGMENGMTNEIiwiYWxnIjoiUlMyNTYifQ.eyJhdWQiOiJvcC5ldXJvcGEuZXUiLCJleHAiOjE3ODEyOTMxODMsImlhdCI6MTc4MTI5MzE3MywiaXNzIjoidGllcjEtYjc0NDU2NWMtOXc0bnciLCJzdWIiOiIyMDIuOC4xMTMuMjgiLCJkYXRhIjp7InR5cGUiOiJpc3N1ZWQiLCJyZWYiOiIyMDI2MDYxMlQxOTM5MzNaLWVyMWI3NDQ1NjVjOXc0bndoQzFNQUF0cjJ3MDAwMDAwMGZ5ZzAwMDAwMDAwM3JwOSIsImIiOiI4eUNmOG44eFlMUGtPa1JCM043R1ppWDFyOWpqQlFrSzBpNl8yNXdfanZnIiwiaCI6IkVTQ0hzeTRiaE45bHpSN2wwNzRJYlA2ckU1MzY5LTh2eEEyNW9KOGVxbm8ifX0.maDikWoZNoVAr7Kto_6mJQuOpm_5NctAwb8HM6KVl_gBT8kzmZG6xYtPMlMxAHMssWQw8nkBmPVBRL4VIZgrguYdRWLL2m7sxRVXNC3M1Zy8p1E4fHEms6jT3xnSsBeA3OCXDSAjHMXPfXgJHmjt3VUbjHPnoTjB2Iho15lqzCUT6nba-Q38VJWdwXiq4c9YC1AulvUF1asKLYoEcuHW9cAQZA8Gc3XbMnsT-zzstu_ZneqN5utIAHaYxcaIQ5QTkOchmmjmzMQkKyuRazM82F4u-xy8QTJmnGxCOqXeB_0R_Oz0xKx5rGSuVZZydrt86E6l6scvRHZI5UR8Ii-ZtA.WF3obl2IDtqgvMFRqVdYkD5s" TargetMode="External"/><Relationship Id="rId28" Type="http://schemas.openxmlformats.org/officeDocument/2006/relationships/hyperlink" Target="https://www.researchgate.net/profile/Jose-Jimenez-Garcia-3/publication/386077002_Heijunka/links/67b23e45207c0c20fa8bb738/Heijunka.pdf" TargetMode="External"/><Relationship Id="rId36" Type="http://schemas.openxmlformats.org/officeDocument/2006/relationships/hyperlink" Target="https://ecommons.cornell.edu/server/api/core/bitstreams/e8b7e484-6950-4007-bad0-6e4178484771/content" TargetMode="External"/><Relationship Id="rId10" Type="http://schemas.openxmlformats.org/officeDocument/2006/relationships/image" Target="media/image3.png"/><Relationship Id="rId19" Type="http://schemas.openxmlformats.org/officeDocument/2006/relationships/hyperlink" Target="https://www.igi-global.com/viewtitle.aspx?titleid=336278" TargetMode="External"/><Relationship Id="rId31" Type="http://schemas.openxmlformats.org/officeDocument/2006/relationships/hyperlink" Target="https://managementpapers.polsl.pl/wp-content/uploads/2025/05/219-Jasiak-Kaczmarek.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c.europa.eu/commission/presscorner/detail/sv/ip_23_3704" TargetMode="External"/><Relationship Id="rId27" Type="http://schemas.openxmlformats.org/officeDocument/2006/relationships/hyperlink" Target="https://www.mdpi.com/2071-1050/17/22/10090" TargetMode="External"/><Relationship Id="rId30" Type="http://schemas.openxmlformats.org/officeDocument/2006/relationships/hyperlink" Target="https://papers.ssrn.com/sol3/Delivery.cfm?abstractid=5146685" TargetMode="External"/><Relationship Id="rId35" Type="http://schemas.openxmlformats.org/officeDocument/2006/relationships/hyperlink" Target="https://ecommons.cornell.edu/server/api/core/bitstreams/e8b7e484-6950-4007-bad0-6e4178484771/conten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Ibrahim-Atoum/publication/389425802_Revolutionizing_AI_Governance_Addressing_Bias_and_Ensuring_Accountability_Through_the_Holistic_AI_Governance_Framework/links/67c1b99d8311ce680c78630b/Revolutionizing-AI-Governance-Addressing-Bias-and-Ensuring-Accountability-Through-the-Holistic-AI-Governance-Framework.pdf" TargetMode="External"/><Relationship Id="rId25" Type="http://schemas.openxmlformats.org/officeDocument/2006/relationships/hyperlink" Target="https://www.statista.com/statistics/1195197/employment-by-sector-in-europe/" TargetMode="External"/><Relationship Id="rId33" Type="http://schemas.openxmlformats.org/officeDocument/2006/relationships/hyperlink" Target="https://www.researchgate.net/profile/Michael-Mustafa/publication/357659979_Linking_middle-managers%27_ownership_feelings_to_their_innovative_work_behaviour_the_mediating_role_of_affective_organisational_commitment/links/61dd24975c0a257a6fdd6b3a/Linking-middle-managers-ownership-feelings-to-their-innovative-work-behaviour-the-mediating-role-of-affective-organisational-commitment.pdf" TargetMode="External"/><Relationship Id="rId38" Type="http://schemas.openxmlformats.org/officeDocument/2006/relationships/hyperlink" Target="https://jasonhuangatwork.com/papers/Wu%20&amp;%20Huang%202024%20-%20gig%20work%20review.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C9AA8-E973-481C-BEC2-CB40F94CE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24</Pages>
  <Words>5255</Words>
  <Characters>29956</Characters>
  <Application>Microsoft Office Word</Application>
  <DocSecurity>0</DocSecurity>
  <Lines>249</Lines>
  <Paragraphs>70</Paragraphs>
  <ScaleCrop>false</ScaleCrop>
  <Company/>
  <LinksUpToDate>false</LinksUpToDate>
  <CharactersWithSpaces>35141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8</cp:revision>
  <dcterms:created xsi:type="dcterms:W3CDTF">2026-06-13T10:38:00Z</dcterms:created>
  <dcterms:modified xsi:type="dcterms:W3CDTF">2026-06-23T14:42:00Z</dcterms:modified>
</cp:coreProperties>
</file>