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09C89F">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Summary</w:t>
      </w:r>
    </w:p>
    <w:p w14:paraId="2065EC40">
      <w:pPr>
        <w:rPr>
          <w:rFonts w:hint="default" w:ascii="Times New Roman" w:hAnsi="Times New Roman" w:eastAsia="Segoe UI" w:cs="Times New Roman"/>
          <w:i w:val="0"/>
          <w:iCs w:val="0"/>
          <w:caps w:val="0"/>
          <w:spacing w:val="0"/>
          <w:sz w:val="24"/>
          <w:szCs w:val="24"/>
          <w:shd w:val="clear" w:fill="FFFFFF"/>
        </w:rPr>
      </w:pPr>
      <w:r>
        <w:rPr>
          <w:rFonts w:hint="default" w:ascii="Times New Roman" w:hAnsi="Times New Roman" w:eastAsia="Segoe UI" w:cs="Times New Roman"/>
          <w:i w:val="0"/>
          <w:iCs w:val="0"/>
          <w:caps w:val="0"/>
          <w:spacing w:val="0"/>
          <w:sz w:val="24"/>
          <w:szCs w:val="24"/>
          <w:shd w:val="clear" w:fill="FFFFFF"/>
        </w:rPr>
        <w:t xml:space="preserve">This </w:t>
      </w:r>
      <w:r>
        <w:rPr>
          <w:rFonts w:hint="eastAsia" w:ascii="Times New Roman" w:hAnsi="Times New Roman" w:eastAsia="宋体" w:cs="Times New Roman"/>
          <w:i w:val="0"/>
          <w:iCs w:val="0"/>
          <w:caps w:val="0"/>
          <w:spacing w:val="0"/>
          <w:sz w:val="24"/>
          <w:szCs w:val="24"/>
          <w:shd w:val="clear" w:fill="FFFFFF"/>
          <w:lang w:val="en-US" w:eastAsia="zh-CN"/>
        </w:rPr>
        <w:t>essay</w:t>
      </w:r>
      <w:r>
        <w:rPr>
          <w:rFonts w:hint="default" w:ascii="Times New Roman" w:hAnsi="Times New Roman" w:eastAsia="Segoe UI" w:cs="Times New Roman"/>
          <w:i w:val="0"/>
          <w:iCs w:val="0"/>
          <w:caps w:val="0"/>
          <w:spacing w:val="0"/>
          <w:sz w:val="24"/>
          <w:szCs w:val="24"/>
          <w:shd w:val="clear" w:fill="FFFFFF"/>
        </w:rPr>
        <w:t xml:space="preserve"> discusses the core theories of business ethics and analyses them using BMW as a case study. The core theories of business ethics include deontology, teleology, Friedman's shareholder theory, and Freeman's stakeholder theory. Whether BMW violated the basic rules of business ethics is analyzed. Teleology is profit-orientated and determines the direction of profitability of the BMW Group. Friedman's stakeholder theory suggests that the only social responsibility of business is to increase profits and BMW takes socio-economic and environmental needs into account when pursuing the maximization of shareholders' interests within this framework. Friedman's stakeholder theory divides stakeholders into two categories, and BMW values the rights and interests of all relevant groups, gradually shifting from a shareholder-centered management model to a stakeholder-centered management model. Carroll's CSR pyramid covers economic, legal, ethical, and philanthropic responsibilities. Therefore, we will analyze the above elements of BMW Group in depth.</w:t>
      </w:r>
    </w:p>
    <w:p w14:paraId="32FB377E">
      <w:pPr>
        <w:rPr>
          <w:rFonts w:hint="default" w:ascii="Times New Roman" w:hAnsi="Times New Roman" w:cs="Times New Roman"/>
          <w:sz w:val="24"/>
          <w:szCs w:val="24"/>
          <w:lang w:val="en-US" w:eastAsia="zh-CN"/>
        </w:rPr>
      </w:pPr>
    </w:p>
    <w:p w14:paraId="486DB2DE">
      <w:pPr>
        <w:rPr>
          <w:rFonts w:hint="default" w:ascii="Times New Roman" w:hAnsi="Times New Roman" w:cs="Times New Roman"/>
          <w:sz w:val="24"/>
          <w:szCs w:val="24"/>
          <w:lang w:val="en-US" w:eastAsia="zh-CN"/>
        </w:rPr>
      </w:pPr>
    </w:p>
    <w:p w14:paraId="7FEE0DE2">
      <w:pPr>
        <w:rPr>
          <w:rFonts w:hint="default" w:ascii="Times New Roman" w:hAnsi="Times New Roman" w:cs="Times New Roman"/>
          <w:sz w:val="24"/>
          <w:szCs w:val="24"/>
          <w:lang w:val="en-US" w:eastAsia="zh-CN"/>
        </w:rPr>
      </w:pPr>
    </w:p>
    <w:p w14:paraId="0E09EEC1">
      <w:pPr>
        <w:rPr>
          <w:rFonts w:hint="default" w:ascii="Times New Roman" w:hAnsi="Times New Roman" w:cs="Times New Roman"/>
          <w:sz w:val="24"/>
          <w:szCs w:val="24"/>
          <w:lang w:val="en-US" w:eastAsia="zh-CN"/>
        </w:rPr>
      </w:pPr>
    </w:p>
    <w:p w14:paraId="4B999F54">
      <w:pPr>
        <w:rPr>
          <w:rFonts w:hint="default" w:ascii="Times New Roman" w:hAnsi="Times New Roman" w:cs="Times New Roman"/>
          <w:sz w:val="24"/>
          <w:szCs w:val="24"/>
          <w:lang w:val="en-US" w:eastAsia="zh-CN"/>
        </w:rPr>
      </w:pPr>
    </w:p>
    <w:p w14:paraId="22441FB6">
      <w:pPr>
        <w:rPr>
          <w:rFonts w:hint="default" w:ascii="Times New Roman" w:hAnsi="Times New Roman" w:cs="Times New Roman"/>
          <w:sz w:val="24"/>
          <w:szCs w:val="24"/>
          <w:lang w:val="en-US" w:eastAsia="zh-CN"/>
        </w:rPr>
      </w:pPr>
    </w:p>
    <w:p w14:paraId="35ED3862">
      <w:pPr>
        <w:rPr>
          <w:rFonts w:hint="default" w:ascii="Times New Roman" w:hAnsi="Times New Roman" w:cs="Times New Roman"/>
          <w:sz w:val="24"/>
          <w:szCs w:val="24"/>
          <w:lang w:val="en-US" w:eastAsia="zh-CN"/>
        </w:rPr>
      </w:pPr>
    </w:p>
    <w:p w14:paraId="14594CED">
      <w:pPr>
        <w:rPr>
          <w:rFonts w:hint="default" w:ascii="Times New Roman" w:hAnsi="Times New Roman" w:cs="Times New Roman"/>
          <w:sz w:val="24"/>
          <w:szCs w:val="24"/>
          <w:lang w:val="en-US" w:eastAsia="zh-CN"/>
        </w:rPr>
      </w:pPr>
    </w:p>
    <w:p w14:paraId="1857789B">
      <w:pPr>
        <w:rPr>
          <w:rFonts w:hint="default" w:ascii="Times New Roman" w:hAnsi="Times New Roman" w:cs="Times New Roman"/>
          <w:sz w:val="24"/>
          <w:szCs w:val="24"/>
          <w:lang w:val="en-US" w:eastAsia="zh-CN"/>
        </w:rPr>
      </w:pPr>
    </w:p>
    <w:p w14:paraId="3EF2FB76">
      <w:pPr>
        <w:rPr>
          <w:rFonts w:hint="default" w:ascii="Times New Roman" w:hAnsi="Times New Roman" w:cs="Times New Roman"/>
          <w:sz w:val="24"/>
          <w:szCs w:val="24"/>
          <w:lang w:val="en-US" w:eastAsia="zh-CN"/>
        </w:rPr>
      </w:pPr>
    </w:p>
    <w:p w14:paraId="76678FC4">
      <w:pPr>
        <w:rPr>
          <w:rFonts w:hint="default" w:ascii="Times New Roman" w:hAnsi="Times New Roman" w:cs="Times New Roman"/>
          <w:sz w:val="24"/>
          <w:szCs w:val="24"/>
          <w:lang w:val="en-US" w:eastAsia="zh-CN"/>
        </w:rPr>
      </w:pPr>
    </w:p>
    <w:p w14:paraId="05C17AC1">
      <w:pPr>
        <w:rPr>
          <w:rFonts w:hint="default" w:ascii="Times New Roman" w:hAnsi="Times New Roman" w:cs="Times New Roman"/>
          <w:sz w:val="24"/>
          <w:szCs w:val="24"/>
          <w:lang w:val="en-US" w:eastAsia="zh-CN"/>
        </w:rPr>
      </w:pPr>
    </w:p>
    <w:p w14:paraId="35F40471">
      <w:pPr>
        <w:rPr>
          <w:rFonts w:hint="default" w:ascii="Times New Roman" w:hAnsi="Times New Roman" w:cs="Times New Roman"/>
          <w:sz w:val="24"/>
          <w:szCs w:val="24"/>
          <w:lang w:val="en-US" w:eastAsia="zh-CN"/>
        </w:rPr>
      </w:pPr>
    </w:p>
    <w:p w14:paraId="2554C0C9">
      <w:pPr>
        <w:rPr>
          <w:rFonts w:hint="default" w:ascii="Times New Roman" w:hAnsi="Times New Roman" w:cs="Times New Roman"/>
          <w:sz w:val="24"/>
          <w:szCs w:val="24"/>
          <w:lang w:val="en-US" w:eastAsia="zh-CN"/>
        </w:rPr>
      </w:pPr>
    </w:p>
    <w:p w14:paraId="7E79F4D4">
      <w:pPr>
        <w:rPr>
          <w:rFonts w:hint="default" w:ascii="Times New Roman" w:hAnsi="Times New Roman" w:cs="Times New Roman"/>
          <w:sz w:val="24"/>
          <w:szCs w:val="24"/>
          <w:lang w:val="en-US" w:eastAsia="zh-CN"/>
        </w:rPr>
      </w:pPr>
    </w:p>
    <w:p w14:paraId="51C49FD8">
      <w:pPr>
        <w:rPr>
          <w:rFonts w:hint="default" w:ascii="Times New Roman" w:hAnsi="Times New Roman" w:cs="Times New Roman"/>
          <w:sz w:val="24"/>
          <w:szCs w:val="24"/>
          <w:lang w:val="en-US" w:eastAsia="zh-CN"/>
        </w:rPr>
      </w:pPr>
    </w:p>
    <w:p w14:paraId="5E6CFF4C">
      <w:pPr>
        <w:rPr>
          <w:rFonts w:hint="default" w:ascii="Times New Roman" w:hAnsi="Times New Roman" w:cs="Times New Roman"/>
          <w:sz w:val="24"/>
          <w:szCs w:val="24"/>
          <w:lang w:val="en-US" w:eastAsia="zh-CN"/>
        </w:rPr>
      </w:pPr>
    </w:p>
    <w:p w14:paraId="74A0761A">
      <w:pPr>
        <w:rPr>
          <w:rFonts w:hint="default" w:ascii="Times New Roman" w:hAnsi="Times New Roman" w:cs="Times New Roman"/>
          <w:sz w:val="24"/>
          <w:szCs w:val="24"/>
          <w:lang w:val="en-US" w:eastAsia="zh-CN"/>
        </w:rPr>
      </w:pPr>
    </w:p>
    <w:p w14:paraId="491D243E">
      <w:pPr>
        <w:rPr>
          <w:rFonts w:hint="default" w:ascii="Times New Roman" w:hAnsi="Times New Roman" w:cs="Times New Roman"/>
          <w:sz w:val="24"/>
          <w:szCs w:val="24"/>
          <w:lang w:val="en-US" w:eastAsia="zh-CN"/>
        </w:rPr>
      </w:pPr>
    </w:p>
    <w:p w14:paraId="70004C3F">
      <w:pPr>
        <w:rPr>
          <w:rFonts w:hint="default" w:ascii="Times New Roman" w:hAnsi="Times New Roman" w:cs="Times New Roman"/>
          <w:sz w:val="24"/>
          <w:szCs w:val="24"/>
          <w:lang w:val="en-US" w:eastAsia="zh-CN"/>
        </w:rPr>
      </w:pPr>
    </w:p>
    <w:p w14:paraId="78FD482D">
      <w:pPr>
        <w:rPr>
          <w:rFonts w:hint="default" w:ascii="Times New Roman" w:hAnsi="Times New Roman" w:cs="Times New Roman"/>
          <w:sz w:val="24"/>
          <w:szCs w:val="24"/>
          <w:lang w:val="en-US" w:eastAsia="zh-CN"/>
        </w:rPr>
      </w:pPr>
    </w:p>
    <w:p w14:paraId="26B88A0E">
      <w:pPr>
        <w:rPr>
          <w:rFonts w:hint="default" w:ascii="Times New Roman" w:hAnsi="Times New Roman" w:cs="Times New Roman"/>
          <w:sz w:val="24"/>
          <w:szCs w:val="24"/>
          <w:lang w:val="en-US" w:eastAsia="zh-CN"/>
        </w:rPr>
      </w:pPr>
    </w:p>
    <w:p w14:paraId="57786D4E">
      <w:pPr>
        <w:rPr>
          <w:rFonts w:hint="default" w:ascii="Times New Roman" w:hAnsi="Times New Roman" w:cs="Times New Roman"/>
          <w:sz w:val="24"/>
          <w:szCs w:val="24"/>
          <w:lang w:val="en-US" w:eastAsia="zh-CN"/>
        </w:rPr>
      </w:pPr>
    </w:p>
    <w:p w14:paraId="676E9242">
      <w:pPr>
        <w:rPr>
          <w:rFonts w:hint="default" w:ascii="Times New Roman" w:hAnsi="Times New Roman" w:cs="Times New Roman"/>
          <w:sz w:val="24"/>
          <w:szCs w:val="24"/>
          <w:lang w:val="en-US" w:eastAsia="zh-CN"/>
        </w:rPr>
      </w:pPr>
    </w:p>
    <w:p w14:paraId="58EFE9FF">
      <w:pPr>
        <w:rPr>
          <w:rFonts w:hint="default" w:ascii="Times New Roman" w:hAnsi="Times New Roman" w:cs="Times New Roman"/>
          <w:sz w:val="24"/>
          <w:szCs w:val="24"/>
          <w:lang w:val="en-US" w:eastAsia="zh-CN"/>
        </w:rPr>
      </w:pPr>
    </w:p>
    <w:p w14:paraId="4CACBB3C">
      <w:pPr>
        <w:rPr>
          <w:rFonts w:hint="default" w:ascii="Times New Roman" w:hAnsi="Times New Roman" w:cs="Times New Roman"/>
          <w:sz w:val="24"/>
          <w:szCs w:val="24"/>
          <w:lang w:val="en-US" w:eastAsia="zh-CN"/>
        </w:rPr>
      </w:pPr>
    </w:p>
    <w:p w14:paraId="0262724F">
      <w:pPr>
        <w:rPr>
          <w:rFonts w:hint="default" w:ascii="Times New Roman" w:hAnsi="Times New Roman" w:cs="Times New Roman"/>
          <w:sz w:val="24"/>
          <w:szCs w:val="24"/>
          <w:lang w:val="en-US" w:eastAsia="zh-CN"/>
        </w:rPr>
      </w:pPr>
    </w:p>
    <w:p w14:paraId="04D1533F">
      <w:pPr>
        <w:rPr>
          <w:rFonts w:hint="default" w:ascii="Times New Roman" w:hAnsi="Times New Roman" w:cs="Times New Roman"/>
          <w:sz w:val="24"/>
          <w:szCs w:val="24"/>
          <w:lang w:val="en-US" w:eastAsia="zh-CN"/>
        </w:rPr>
      </w:pPr>
    </w:p>
    <w:p w14:paraId="12B9342B">
      <w:pPr>
        <w:rPr>
          <w:rFonts w:hint="default" w:ascii="Times New Roman" w:hAnsi="Times New Roman" w:cs="Times New Roman"/>
          <w:sz w:val="24"/>
          <w:szCs w:val="24"/>
          <w:lang w:val="en-US" w:eastAsia="zh-CN"/>
        </w:rPr>
      </w:pPr>
    </w:p>
    <w:p w14:paraId="590AE097">
      <w:pPr>
        <w:rPr>
          <w:rFonts w:hint="default" w:ascii="Times New Roman" w:hAnsi="Times New Roman" w:cs="Times New Roman"/>
          <w:sz w:val="24"/>
          <w:szCs w:val="24"/>
          <w:lang w:val="en-US" w:eastAsia="zh-CN"/>
        </w:rPr>
      </w:pPr>
    </w:p>
    <w:p w14:paraId="607321EE">
      <w:pPr>
        <w:rPr>
          <w:rFonts w:hint="default" w:ascii="Times New Roman" w:hAnsi="Times New Roman" w:cs="Times New Roman"/>
          <w:sz w:val="24"/>
          <w:szCs w:val="24"/>
          <w:lang w:val="en-US" w:eastAsia="zh-CN"/>
        </w:rPr>
      </w:pPr>
    </w:p>
    <w:sdt>
      <w:sdtPr>
        <w:rPr>
          <w:rFonts w:hint="default" w:ascii="Times New Roman" w:hAnsi="Times New Roman" w:eastAsia="宋体" w:cs="Times New Roman"/>
          <w:kern w:val="2"/>
          <w:sz w:val="24"/>
          <w:szCs w:val="24"/>
          <w:lang w:val="en-US" w:eastAsia="zh-CN" w:bidi="ar-SA"/>
        </w:rPr>
        <w:id w:val="147479220"/>
        <w15:color w:val="DBDBDB"/>
        <w:docPartObj>
          <w:docPartGallery w:val="Table of Contents"/>
          <w:docPartUnique/>
        </w:docPartObj>
      </w:sdtPr>
      <w:sdtEndPr>
        <w:rPr>
          <w:rFonts w:hint="default" w:ascii="Times New Roman" w:hAnsi="Times New Roman" w:eastAsia="宋体" w:cs="Times New Roman"/>
          <w:kern w:val="2"/>
          <w:sz w:val="24"/>
          <w:szCs w:val="24"/>
          <w:lang w:val="en-US" w:eastAsia="zh-CN" w:bidi="ar-SA"/>
        </w:rPr>
      </w:sdtEndPr>
      <w:sdtContent>
        <w:p w14:paraId="71DCF1DA">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24"/>
              <w:lang w:val="en-US"/>
            </w:rPr>
          </w:pPr>
          <w:bookmarkStart w:id="9" w:name="_GoBack"/>
          <w:bookmarkEnd w:id="9"/>
          <w:r>
            <w:rPr>
              <w:rFonts w:hint="default" w:ascii="Times New Roman" w:hAnsi="Times New Roman" w:eastAsia="宋体" w:cs="Times New Roman"/>
              <w:kern w:val="2"/>
              <w:sz w:val="24"/>
              <w:szCs w:val="24"/>
              <w:lang w:val="en-US" w:eastAsia="zh-CN" w:bidi="ar-SA"/>
            </w:rPr>
            <w:t>Content page</w:t>
          </w:r>
        </w:p>
        <w:p w14:paraId="72DA22D0">
          <w:pPr>
            <w:pStyle w:val="4"/>
            <w:tabs>
              <w:tab w:val="right" w:leader="dot" w:pos="8306"/>
            </w:tabs>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_Toc24235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1.0 Introduction</w:t>
          </w:r>
          <w:r>
            <w:tab/>
          </w:r>
          <w:r>
            <w:fldChar w:fldCharType="begin"/>
          </w:r>
          <w:r>
            <w:instrText xml:space="preserve"> PAGEREF _Toc24235 \h </w:instrText>
          </w:r>
          <w:r>
            <w:fldChar w:fldCharType="separate"/>
          </w:r>
          <w:r>
            <w:t>3</w:t>
          </w:r>
          <w:r>
            <w:fldChar w:fldCharType="end"/>
          </w:r>
          <w:r>
            <w:rPr>
              <w:rFonts w:hint="default" w:ascii="Times New Roman" w:hAnsi="Times New Roman" w:cs="Times New Roman"/>
              <w:szCs w:val="24"/>
            </w:rPr>
            <w:fldChar w:fldCharType="end"/>
          </w:r>
        </w:p>
        <w:p w14:paraId="0CC13250">
          <w:pPr>
            <w:pStyle w:val="4"/>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_Toc5011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2.0 Core Theories of Business Ethics</w:t>
          </w:r>
          <w:r>
            <w:tab/>
          </w:r>
          <w:r>
            <w:fldChar w:fldCharType="begin"/>
          </w:r>
          <w:r>
            <w:instrText xml:space="preserve"> PAGEREF _Toc5011 \h </w:instrText>
          </w:r>
          <w:r>
            <w:fldChar w:fldCharType="separate"/>
          </w:r>
          <w:r>
            <w:t>3</w:t>
          </w:r>
          <w:r>
            <w:fldChar w:fldCharType="end"/>
          </w:r>
          <w:r>
            <w:rPr>
              <w:rFonts w:hint="default" w:ascii="Times New Roman" w:hAnsi="Times New Roman" w:cs="Times New Roman"/>
              <w:szCs w:val="24"/>
            </w:rPr>
            <w:fldChar w:fldCharType="end"/>
          </w:r>
        </w:p>
        <w:p w14:paraId="5966FAB1">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_Toc31588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2.1 Teleology vs. Deontology</w:t>
          </w:r>
          <w:r>
            <w:tab/>
          </w:r>
          <w:r>
            <w:fldChar w:fldCharType="begin"/>
          </w:r>
          <w:r>
            <w:instrText xml:space="preserve"> PAGEREF _Toc31588 \h </w:instrText>
          </w:r>
          <w:r>
            <w:fldChar w:fldCharType="separate"/>
          </w:r>
          <w:r>
            <w:t>3</w:t>
          </w:r>
          <w:r>
            <w:fldChar w:fldCharType="end"/>
          </w:r>
          <w:r>
            <w:rPr>
              <w:rFonts w:hint="default" w:ascii="Times New Roman" w:hAnsi="Times New Roman" w:cs="Times New Roman"/>
              <w:szCs w:val="24"/>
            </w:rPr>
            <w:fldChar w:fldCharType="end"/>
          </w:r>
        </w:p>
        <w:p w14:paraId="3B608A9E">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_Toc17225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2.2 Friedman's shareholder theory</w:t>
          </w:r>
          <w:r>
            <w:tab/>
          </w:r>
          <w:r>
            <w:fldChar w:fldCharType="begin"/>
          </w:r>
          <w:r>
            <w:instrText xml:space="preserve"> PAGEREF _Toc17225 \h </w:instrText>
          </w:r>
          <w:r>
            <w:fldChar w:fldCharType="separate"/>
          </w:r>
          <w:r>
            <w:t>4</w:t>
          </w:r>
          <w:r>
            <w:fldChar w:fldCharType="end"/>
          </w:r>
          <w:r>
            <w:rPr>
              <w:rFonts w:hint="default" w:ascii="Times New Roman" w:hAnsi="Times New Roman" w:cs="Times New Roman"/>
              <w:szCs w:val="24"/>
            </w:rPr>
            <w:fldChar w:fldCharType="end"/>
          </w:r>
        </w:p>
        <w:p w14:paraId="3FFC43A8">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_Toc29889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2.3 Freeman's stakeholder theory</w:t>
          </w:r>
          <w:r>
            <w:tab/>
          </w:r>
          <w:r>
            <w:fldChar w:fldCharType="begin"/>
          </w:r>
          <w:r>
            <w:instrText xml:space="preserve"> PAGEREF _Toc29889 \h </w:instrText>
          </w:r>
          <w:r>
            <w:fldChar w:fldCharType="separate"/>
          </w:r>
          <w:r>
            <w:t>5</w:t>
          </w:r>
          <w:r>
            <w:fldChar w:fldCharType="end"/>
          </w:r>
          <w:r>
            <w:rPr>
              <w:rFonts w:hint="default" w:ascii="Times New Roman" w:hAnsi="Times New Roman" w:cs="Times New Roman"/>
              <w:szCs w:val="24"/>
            </w:rPr>
            <w:fldChar w:fldCharType="end"/>
          </w:r>
        </w:p>
        <w:p w14:paraId="1B81B39A">
          <w:pPr>
            <w:pStyle w:val="4"/>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_Toc28496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3.0 Corporate Social Responsibility (CSR) Carroll CSR Pyramid</w:t>
          </w:r>
          <w:r>
            <w:tab/>
          </w:r>
          <w:r>
            <w:fldChar w:fldCharType="begin"/>
          </w:r>
          <w:r>
            <w:instrText xml:space="preserve"> PAGEREF _Toc28496 \h </w:instrText>
          </w:r>
          <w:r>
            <w:fldChar w:fldCharType="separate"/>
          </w:r>
          <w:r>
            <w:t>6</w:t>
          </w:r>
          <w:r>
            <w:fldChar w:fldCharType="end"/>
          </w:r>
          <w:r>
            <w:rPr>
              <w:rFonts w:hint="default" w:ascii="Times New Roman" w:hAnsi="Times New Roman" w:cs="Times New Roman"/>
              <w:szCs w:val="24"/>
            </w:rPr>
            <w:fldChar w:fldCharType="end"/>
          </w:r>
        </w:p>
        <w:p w14:paraId="65CE909A">
          <w:pPr>
            <w:pStyle w:val="4"/>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_Toc4971 </w:instrText>
          </w:r>
          <w:r>
            <w:rPr>
              <w:rFonts w:hint="default" w:ascii="Times New Roman" w:hAnsi="Times New Roman" w:cs="Times New Roman"/>
              <w:szCs w:val="24"/>
            </w:rPr>
            <w:fldChar w:fldCharType="separate"/>
          </w:r>
          <w:r>
            <w:rPr>
              <w:rFonts w:hint="eastAsia" w:ascii="Times New Roman" w:hAnsi="Times New Roman" w:cs="Times New Roman"/>
              <w:bCs/>
              <w:szCs w:val="24"/>
              <w:lang w:val="en-US" w:eastAsia="zh-CN"/>
            </w:rPr>
            <w:t>4.0 Is greed good？</w:t>
          </w:r>
          <w:r>
            <w:tab/>
          </w:r>
          <w:r>
            <w:fldChar w:fldCharType="begin"/>
          </w:r>
          <w:r>
            <w:instrText xml:space="preserve"> PAGEREF _Toc4971 \h </w:instrText>
          </w:r>
          <w:r>
            <w:fldChar w:fldCharType="separate"/>
          </w:r>
          <w:r>
            <w:t>8</w:t>
          </w:r>
          <w:r>
            <w:fldChar w:fldCharType="end"/>
          </w:r>
          <w:r>
            <w:rPr>
              <w:rFonts w:hint="default" w:ascii="Times New Roman" w:hAnsi="Times New Roman" w:cs="Times New Roman"/>
              <w:szCs w:val="24"/>
            </w:rPr>
            <w:fldChar w:fldCharType="end"/>
          </w:r>
        </w:p>
        <w:p w14:paraId="418B4BC3">
          <w:pPr>
            <w:pStyle w:val="4"/>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_Toc27061 </w:instrText>
          </w:r>
          <w:r>
            <w:rPr>
              <w:rFonts w:hint="default" w:ascii="Times New Roman" w:hAnsi="Times New Roman" w:cs="Times New Roman"/>
              <w:szCs w:val="24"/>
            </w:rPr>
            <w:fldChar w:fldCharType="separate"/>
          </w:r>
          <w:r>
            <w:rPr>
              <w:rFonts w:hint="eastAsia" w:ascii="Times New Roman" w:hAnsi="Times New Roman" w:cs="Times New Roman"/>
              <w:szCs w:val="24"/>
              <w:lang w:val="en-US" w:eastAsia="zh-CN"/>
            </w:rPr>
            <w:t>5</w:t>
          </w:r>
          <w:r>
            <w:rPr>
              <w:rFonts w:hint="default" w:ascii="Times New Roman" w:hAnsi="Times New Roman" w:cs="Times New Roman"/>
              <w:szCs w:val="24"/>
              <w:lang w:val="en-US" w:eastAsia="zh-CN"/>
            </w:rPr>
            <w:t>.0 Conclusion</w:t>
          </w:r>
          <w:r>
            <w:tab/>
          </w:r>
          <w:r>
            <w:fldChar w:fldCharType="begin"/>
          </w:r>
          <w:r>
            <w:instrText xml:space="preserve"> PAGEREF _Toc27061 \h </w:instrText>
          </w:r>
          <w:r>
            <w:fldChar w:fldCharType="separate"/>
          </w:r>
          <w:r>
            <w:t>9</w:t>
          </w:r>
          <w:r>
            <w:fldChar w:fldCharType="end"/>
          </w:r>
          <w:r>
            <w:rPr>
              <w:rFonts w:hint="default" w:ascii="Times New Roman" w:hAnsi="Times New Roman" w:cs="Times New Roman"/>
              <w:szCs w:val="24"/>
            </w:rPr>
            <w:fldChar w:fldCharType="end"/>
          </w:r>
        </w:p>
        <w:p w14:paraId="33FFC413">
          <w:pPr>
            <w:pStyle w:val="4"/>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_Toc25909 </w:instrText>
          </w:r>
          <w:r>
            <w:rPr>
              <w:rFonts w:hint="default" w:ascii="Times New Roman" w:hAnsi="Times New Roman" w:cs="Times New Roman"/>
              <w:szCs w:val="24"/>
            </w:rPr>
            <w:fldChar w:fldCharType="separate"/>
          </w:r>
          <w:r>
            <w:rPr>
              <w:rFonts w:hint="eastAsia" w:ascii="Times New Roman" w:hAnsi="Times New Roman" w:cs="Times New Roman"/>
              <w:szCs w:val="24"/>
              <w:lang w:val="en-US" w:eastAsia="zh-CN"/>
            </w:rPr>
            <w:t>6</w:t>
          </w:r>
          <w:r>
            <w:rPr>
              <w:rFonts w:hint="default" w:ascii="Times New Roman" w:hAnsi="Times New Roman" w:cs="Times New Roman"/>
              <w:szCs w:val="24"/>
              <w:lang w:val="en-US" w:eastAsia="zh-CN"/>
            </w:rPr>
            <w:t>.0 Reference</w:t>
          </w:r>
          <w:r>
            <w:tab/>
          </w:r>
          <w:r>
            <w:fldChar w:fldCharType="begin"/>
          </w:r>
          <w:r>
            <w:instrText xml:space="preserve"> PAGEREF _Toc25909 \h </w:instrText>
          </w:r>
          <w:r>
            <w:fldChar w:fldCharType="separate"/>
          </w:r>
          <w:r>
            <w:t>10</w:t>
          </w:r>
          <w:r>
            <w:fldChar w:fldCharType="end"/>
          </w:r>
          <w:r>
            <w:rPr>
              <w:rFonts w:hint="default" w:ascii="Times New Roman" w:hAnsi="Times New Roman" w:cs="Times New Roman"/>
              <w:szCs w:val="24"/>
            </w:rPr>
            <w:fldChar w:fldCharType="end"/>
          </w:r>
        </w:p>
        <w:p w14:paraId="75B4F39A">
          <w:pPr>
            <w:rPr>
              <w:rFonts w:hint="default" w:ascii="Times New Roman" w:hAnsi="Times New Roman" w:cs="Times New Roman"/>
              <w:sz w:val="24"/>
              <w:szCs w:val="24"/>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Cs w:val="24"/>
            </w:rPr>
            <w:fldChar w:fldCharType="end"/>
          </w:r>
        </w:p>
      </w:sdtContent>
    </w:sdt>
    <w:p w14:paraId="05D5A0DD">
      <w:pPr>
        <w:pStyle w:val="2"/>
        <w:bidi w:val="0"/>
        <w:rPr>
          <w:rFonts w:hint="default" w:ascii="Times New Roman" w:hAnsi="Times New Roman" w:cs="Times New Roman"/>
          <w:sz w:val="24"/>
          <w:szCs w:val="24"/>
          <w:lang w:val="en-US" w:eastAsia="zh-CN"/>
        </w:rPr>
      </w:pPr>
      <w:bookmarkStart w:id="0" w:name="_Toc24235"/>
      <w:r>
        <w:rPr>
          <w:rFonts w:hint="default" w:ascii="Times New Roman" w:hAnsi="Times New Roman" w:cs="Times New Roman"/>
          <w:sz w:val="24"/>
          <w:szCs w:val="24"/>
          <w:lang w:val="en-US" w:eastAsia="zh-CN"/>
        </w:rPr>
        <w:t>1.0 Introduction</w:t>
      </w:r>
      <w:bookmarkEnd w:id="0"/>
    </w:p>
    <w:p w14:paraId="3B504D89">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development of the economy, there has been a gradual change in the modern business environment about the ability of enterprises to generate profits. To date, businesses have been judged more in terms of their ethical behavior and responsibilities towards society, the environment, and stakeholders. This paper will look at the core theories of business ethics including Purpose and Duty, Friedman's Shareholder Theory, and *Friedman's Stakeholder-Related Theory, as well as Corporate Social Responsibility (CSR) Carroll's Pyramid of Corporate Social Responsibility. BMW is chosen as the research subject of this thesis. The BMW Group is the world's leading manufacturer of luxury automobiles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and it provides me with an ideal case study.</w:t>
      </w:r>
    </w:p>
    <w:p w14:paraId="722E267F">
      <w:pPr>
        <w:rPr>
          <w:rFonts w:hint="default" w:ascii="Times New Roman" w:hAnsi="Times New Roman" w:cs="Times New Roman"/>
          <w:sz w:val="24"/>
          <w:szCs w:val="24"/>
          <w:lang w:val="en-US" w:eastAsia="zh-CN"/>
        </w:rPr>
      </w:pPr>
    </w:p>
    <w:p w14:paraId="67AA17FE">
      <w:pPr>
        <w:pStyle w:val="2"/>
        <w:bidi w:val="0"/>
        <w:rPr>
          <w:rFonts w:hint="default" w:ascii="Times New Roman" w:hAnsi="Times New Roman" w:cs="Times New Roman"/>
          <w:sz w:val="24"/>
          <w:szCs w:val="24"/>
          <w:lang w:val="en-US" w:eastAsia="zh-CN"/>
        </w:rPr>
      </w:pPr>
      <w:bookmarkStart w:id="1" w:name="_Toc5011"/>
      <w:r>
        <w:rPr>
          <w:rFonts w:hint="default" w:ascii="Times New Roman" w:hAnsi="Times New Roman" w:cs="Times New Roman"/>
          <w:sz w:val="24"/>
          <w:szCs w:val="24"/>
          <w:lang w:val="en-US" w:eastAsia="zh-CN"/>
        </w:rPr>
        <w:t>2.0 Core Theories of Business Ethics</w:t>
      </w:r>
      <w:bookmarkEnd w:id="1"/>
    </w:p>
    <w:p w14:paraId="0AAE314F">
      <w:pPr>
        <w:pStyle w:val="3"/>
        <w:bidi w:val="0"/>
        <w:rPr>
          <w:rFonts w:hint="default" w:ascii="Times New Roman" w:hAnsi="Times New Roman" w:cs="Times New Roman"/>
          <w:sz w:val="24"/>
          <w:szCs w:val="24"/>
          <w:lang w:val="en-US" w:eastAsia="zh-CN"/>
        </w:rPr>
      </w:pPr>
      <w:bookmarkStart w:id="2" w:name="_Toc31588"/>
      <w:r>
        <w:rPr>
          <w:rFonts w:hint="default" w:ascii="Times New Roman" w:hAnsi="Times New Roman" w:cs="Times New Roman"/>
          <w:sz w:val="24"/>
          <w:szCs w:val="24"/>
          <w:lang w:val="en-US" w:eastAsia="zh-CN"/>
        </w:rPr>
        <w:t>2.1 Teleology vs. Deontology</w:t>
      </w:r>
      <w:bookmarkEnd w:id="2"/>
    </w:p>
    <w:p w14:paraId="1C6A5AAA">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Various studies have shown that purposive and deontology are indeed difficult to define with great precision and clarity.</w:t>
      </w:r>
    </w:p>
    <w:p w14:paraId="2B874AB4">
      <w:pPr>
        <w:rPr>
          <w:rFonts w:hint="default" w:ascii="Times New Roman" w:hAnsi="Times New Roman" w:cs="Times New Roman"/>
          <w:sz w:val="24"/>
          <w:szCs w:val="24"/>
          <w:lang w:val="en-US" w:eastAsia="zh-CN"/>
        </w:rPr>
      </w:pPr>
    </w:p>
    <w:p w14:paraId="367A59E9">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terms of deontology, as mentioned by some scholars, morality is extremely complex and does not have a clear and unambiguous premise as it stems from many different dimensions and domains (Abderrahmane, 2018). According to the author, the core principle of deontology lies in examining whether the behavior itself is consistent with moral obligations and related principles. As one scholar points out, if people fail to recognize the moral duties and obligations of living together and neglect moral behavior in the public interest, it is difficult to create a healthy, peaceful, and harmonious atmosphere in society and a good social order cannot be achieved (JIN, 2012). Due to the profound influence of the social environment, deontology exists in a wide range of societies. For example, citizens living in cities have the duty and responsibility to take care of their social environment and surroundings. The same is true for businesses. It is argued that CSR is a process that covers elements of corporate cognition, corporate interpretation, and corporate behavior. When corporations practice socially responsible behaviors that are synergistic with the local economy and society, they are more likely to obtain resources through legitimate means (Ma 2024).</w:t>
      </w:r>
    </w:p>
    <w:p w14:paraId="0B6D4C62">
      <w:pPr>
        <w:rPr>
          <w:rFonts w:hint="default" w:ascii="Times New Roman" w:hAnsi="Times New Roman" w:cs="Times New Roman"/>
          <w:sz w:val="24"/>
          <w:szCs w:val="24"/>
          <w:lang w:val="en-US" w:eastAsia="zh-CN"/>
        </w:rPr>
      </w:pPr>
    </w:p>
    <w:p w14:paraId="2A67FD38">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Examining BMW from a deontological perspective, it has shown behaviors such as price increases and refusal to deliver that violate the basic norms of business ethics. However, it has also actively participated in the research and development of new energy vehicles and engaged in a series of public welfare activities, making many efforts to promote environmental protection and putting into practice the concept of low-carbon and environmental protection. Germany has emphasized that companies such as BMW actively carry out the recycling of batteries and also cooperate with power companies to conduct research in the field of energy storage. (Zhao 2018) Analyzed from a teleological perspective, any car model launched by BMW undoubtedly has profitability as its fundamental purpose. In the relentless pursuit of high-quality, high-performance automotive products, it cleverly uses public welfare activities and brand effects to create a good reputation, attract more consumer support and favor, as an effective strategy for expanding market share, to seek a more favorable position in the arena of commercial competition and to achieve its profitability goals.Thus, </w:t>
      </w:r>
      <w:r>
        <w:rPr>
          <w:rFonts w:hint="eastAsia" w:ascii="Times New Roman" w:hAnsi="Times New Roman" w:cs="Times New Roman"/>
          <w:sz w:val="24"/>
          <w:szCs w:val="24"/>
          <w:lang w:val="en-US" w:eastAsia="zh-CN"/>
        </w:rPr>
        <w:t>t</w:t>
      </w:r>
      <w:r>
        <w:rPr>
          <w:rFonts w:hint="default" w:ascii="Times New Roman" w:hAnsi="Times New Roman" w:cs="Times New Roman"/>
          <w:sz w:val="24"/>
          <w:szCs w:val="24"/>
          <w:lang w:val="en-US" w:eastAsia="zh-CN"/>
        </w:rPr>
        <w:t xml:space="preserve">eleology </w:t>
      </w:r>
      <w:r>
        <w:rPr>
          <w:rFonts w:hint="eastAsia" w:ascii="Times New Roman" w:hAnsi="Times New Roman" w:cs="Times New Roman"/>
          <w:sz w:val="24"/>
          <w:szCs w:val="24"/>
          <w:lang w:val="en-US" w:eastAsia="zh-CN"/>
        </w:rPr>
        <w:t>and d</w:t>
      </w:r>
      <w:r>
        <w:rPr>
          <w:rFonts w:hint="default" w:ascii="Times New Roman" w:hAnsi="Times New Roman" w:cs="Times New Roman"/>
          <w:sz w:val="24"/>
          <w:szCs w:val="24"/>
          <w:lang w:val="en-US" w:eastAsia="zh-CN"/>
        </w:rPr>
        <w:t>eontology provide different perspectives for analysing enterprise behaviour.</w:t>
      </w:r>
    </w:p>
    <w:p w14:paraId="6DE98570">
      <w:pPr>
        <w:rPr>
          <w:rFonts w:hint="default" w:ascii="Times New Roman" w:hAnsi="Times New Roman" w:cs="Times New Roman"/>
          <w:sz w:val="24"/>
          <w:szCs w:val="24"/>
          <w:lang w:val="en-US" w:eastAsia="zh-CN"/>
        </w:rPr>
      </w:pPr>
    </w:p>
    <w:p w14:paraId="0A65F341">
      <w:pPr>
        <w:pStyle w:val="3"/>
        <w:bidi w:val="0"/>
        <w:rPr>
          <w:rFonts w:hint="default" w:ascii="Times New Roman" w:hAnsi="Times New Roman" w:cs="Times New Roman"/>
          <w:sz w:val="24"/>
          <w:szCs w:val="24"/>
          <w:lang w:val="en-US" w:eastAsia="zh-CN"/>
        </w:rPr>
      </w:pPr>
      <w:bookmarkStart w:id="3" w:name="_Toc17225"/>
      <w:r>
        <w:rPr>
          <w:rFonts w:hint="default" w:ascii="Times New Roman" w:hAnsi="Times New Roman" w:cs="Times New Roman"/>
          <w:sz w:val="24"/>
          <w:szCs w:val="24"/>
          <w:lang w:val="en-US" w:eastAsia="zh-CN"/>
        </w:rPr>
        <w:t>2.2 Friedman's shareholder theory</w:t>
      </w:r>
      <w:bookmarkEnd w:id="3"/>
    </w:p>
    <w:p w14:paraId="03A397F6">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Milton Friedman was adamant that the only social responsibility of business to society was to increase profits (Ferrero, 2014). It has been argued that Friedman made the specific assumption that senior managers in business should then focus solely on profit maximization rather than social service. However, this theory is gradually being replaced by other theories (Guerra 2024). In Friedman's view, investing corporate resources in the social sphere is a misappropriation of shareholders' funds without their authorization. </w:t>
      </w:r>
    </w:p>
    <w:p w14:paraId="5E263787">
      <w:pPr>
        <w:rPr>
          <w:rFonts w:hint="default" w:ascii="Times New Roman" w:hAnsi="Times New Roman" w:cs="Times New Roman"/>
          <w:sz w:val="24"/>
          <w:szCs w:val="24"/>
          <w:lang w:val="en-US" w:eastAsia="zh-CN"/>
        </w:rPr>
      </w:pPr>
    </w:p>
    <w:p w14:paraId="610B1B13">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Freeman's theoretical framework, the group's purpose is to maximize shareholder value and group profit. As stated by one of the scholars, there is a growing desire for companies to redefine stakeholder responsibilities and consider socio-economic and environmental issues. (Hart O. 2024) It is also said that companies aiming to maximize profits will neglect product development, production safety, and social responsibility by omission. (Du, 2004) However, the BMW Group is oriented to maximize shareholders' interests by investing in the development of new products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and controlling costs. At the same time, it strives to maximize the group's profit by sponsoring global sports events for promotion, expanding brand effect, and increasing market share. Some scholars have pointed out that when enterprises have profit maximization as their sole purpose, they would consider it as destroying peace, as the reckless exploitation of resources and pollution of the environment would be the culprits that keep destroying the environment. (Pu 2022)</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However, BMW also attaches importance to sustainable development and environmental protection and actively participates in public welfare, such as researching I-series electric vehicles. It has established a perfect used car recycling system to dismantle used cars and recycle resources.</w:t>
      </w:r>
    </w:p>
    <w:p w14:paraId="07A9A082">
      <w:pPr>
        <w:rPr>
          <w:rFonts w:hint="default" w:ascii="Times New Roman" w:hAnsi="Times New Roman" w:cs="Times New Roman"/>
          <w:sz w:val="24"/>
          <w:szCs w:val="24"/>
          <w:lang w:val="en-US" w:eastAsia="zh-CN"/>
        </w:rPr>
      </w:pPr>
    </w:p>
    <w:p w14:paraId="50E6236C">
      <w:pPr>
        <w:rPr>
          <w:rFonts w:hint="default" w:ascii="Times New Roman" w:hAnsi="Times New Roman" w:cs="Times New Roman"/>
          <w:sz w:val="24"/>
          <w:szCs w:val="24"/>
          <w:lang w:val="en-US" w:eastAsia="zh-CN"/>
        </w:rPr>
      </w:pPr>
    </w:p>
    <w:p w14:paraId="44D20389">
      <w:pPr>
        <w:rPr>
          <w:rFonts w:hint="default" w:ascii="Times New Roman" w:hAnsi="Times New Roman" w:cs="Times New Roman"/>
          <w:sz w:val="24"/>
          <w:szCs w:val="24"/>
          <w:lang w:val="en-US" w:eastAsia="zh-CN"/>
        </w:rPr>
      </w:pPr>
    </w:p>
    <w:p w14:paraId="52088302">
      <w:pPr>
        <w:rPr>
          <w:rFonts w:hint="default" w:ascii="Times New Roman" w:hAnsi="Times New Roman" w:cs="Times New Roman"/>
          <w:sz w:val="24"/>
          <w:szCs w:val="24"/>
          <w:lang w:val="en-US" w:eastAsia="zh-CN"/>
        </w:rPr>
      </w:pPr>
    </w:p>
    <w:p w14:paraId="5997B462">
      <w:pPr>
        <w:pStyle w:val="3"/>
        <w:bidi w:val="0"/>
        <w:rPr>
          <w:rFonts w:hint="default" w:ascii="Times New Roman" w:hAnsi="Times New Roman" w:cs="Times New Roman"/>
          <w:sz w:val="24"/>
          <w:szCs w:val="24"/>
          <w:lang w:val="en-US" w:eastAsia="zh-CN"/>
        </w:rPr>
      </w:pPr>
      <w:bookmarkStart w:id="4" w:name="_Toc29889"/>
      <w:r>
        <w:rPr>
          <w:rFonts w:hint="default" w:ascii="Times New Roman" w:hAnsi="Times New Roman" w:cs="Times New Roman"/>
          <w:sz w:val="24"/>
          <w:szCs w:val="24"/>
          <w:lang w:val="en-US" w:eastAsia="zh-CN"/>
        </w:rPr>
        <w:t>2.3 Freeman's stakeholder theory</w:t>
      </w:r>
      <w:bookmarkEnd w:id="4"/>
    </w:p>
    <w:p w14:paraId="1AC455FD">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Some scholars classify the stakeholders into two categories. The first category is directly related to the interests of the company, such as the company's customers, shareholders, employees, and suppliers. The second category is influenced by the company's interest groups. (R.E 2024)</w:t>
      </w:r>
    </w:p>
    <w:p w14:paraId="5D4B3838">
      <w:pPr>
        <w:rPr>
          <w:rFonts w:hint="default" w:ascii="Times New Roman" w:hAnsi="Times New Roman" w:cs="Times New Roman"/>
          <w:sz w:val="24"/>
          <w:szCs w:val="24"/>
          <w:lang w:val="en-US" w:eastAsia="zh-CN"/>
        </w:rPr>
      </w:pPr>
    </w:p>
    <w:p w14:paraId="511E1C41">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automotive industry, BMW is one of the most iconic brands and is positioned at the premium end of the market. It is also developing electric cars as well as autonomous driving technology. (Nicholas 2024) So the use of the company BMW here is authoritative. The first group is the group that has a direct interest in the company. For example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the shareholders of BMW. The shareholders have invested their money in the company and have been richly rewarded through the market. For example, the continuous development of the 3-series, 5-series, X-series, and the I-series. The launch of these models has been very well received by consumers. BMW's employees are also direct stakeholders, and the company is renowned for its high quality and performance. As stated by the head of BMW, the high quality of the BMW Group is one of its core competencies because of the world's most advanced concepts, production systems, and manufacturing processes. (BMW Group 2024) This is the result of the dedication of the employees behind the scenes, from the involvement of top automotive engineers and designers to R&amp;D. </w:t>
      </w:r>
    </w:p>
    <w:p w14:paraId="652BCA4E">
      <w:pPr>
        <w:rPr>
          <w:rFonts w:hint="default" w:ascii="Times New Roman" w:hAnsi="Times New Roman" w:cs="Times New Roman"/>
          <w:sz w:val="24"/>
          <w:szCs w:val="24"/>
          <w:lang w:val="en-US" w:eastAsia="zh-CN"/>
        </w:rPr>
      </w:pPr>
    </w:p>
    <w:p w14:paraId="2F4229F9">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second group is those who are affected by the company's interests. BMW has set up many production bases around the world, and the communities where these production bases are located belong to one of the groups affected by its interests. The establishment of production bases has brought </w:t>
      </w:r>
      <w:r>
        <w:rPr>
          <w:rFonts w:hint="eastAsia" w:ascii="Times New Roman" w:hAnsi="Times New Roman" w:cs="Times New Roman"/>
          <w:sz w:val="24"/>
          <w:szCs w:val="24"/>
          <w:lang w:val="en-US" w:eastAsia="zh-CN"/>
        </w:rPr>
        <w:t xml:space="preserve">many </w:t>
      </w:r>
      <w:r>
        <w:rPr>
          <w:rFonts w:hint="default" w:ascii="Times New Roman" w:hAnsi="Times New Roman" w:cs="Times New Roman"/>
          <w:sz w:val="24"/>
          <w:szCs w:val="24"/>
          <w:lang w:val="en-US" w:eastAsia="zh-CN"/>
        </w:rPr>
        <w:t>jobs to the local area and contains several levels. It solves the local employment problem and raises the income level of the residents. Because of the increase in the number of people in the production base, it also brings more revenue to the surrounding catering, transport, and other aspects. At the same time, as the world attaches greater importance to environmental protection, BMW has responded positively by vigorously investing in the research development and production of new energy vehicles, continuously launching new energy models such as the BMW i-Series and other new energy models, and committing itself to lower automobile exhaust emissions and reducing the negative impact on the environment. A clean environment is a direct benefit to every human being. As mentioned by one of the scholars, BMW's use of new fuel engine technology has reduced carbon emissions, the number of home recharges, and renewable energy consumption, in addition to reducing water consumption by 70%. (Malak 2024)</w:t>
      </w:r>
    </w:p>
    <w:p w14:paraId="4EFEA4BB">
      <w:pPr>
        <w:rPr>
          <w:rFonts w:hint="default" w:ascii="Times New Roman" w:hAnsi="Times New Roman" w:cs="Times New Roman"/>
          <w:sz w:val="24"/>
          <w:szCs w:val="24"/>
          <w:lang w:val="en-US" w:eastAsia="zh-CN"/>
        </w:rPr>
      </w:pPr>
    </w:p>
    <w:p w14:paraId="296EE630">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Some scholars have also emphasized the need to shift from a shareholder-centered management model to a stakeholder-centered management model (Peng 2024), and it is Freeman's concept of stakeholders that is an important reason for this shift. The traditional shareholder-centered management model often enshrines the maximization of shareholders‘profits and, as one academic put it, the relationship between the company and its stakeholders is very important because when a company is facing a crisis, it can only get through it with the support and trust of its shareholders’ stakeholders. (Carolin 2024) However, the rights and demands of other stakeholders are ignored. However, for a large company such as BMW, its development is like a huge and complex systematic project, which requires the concerted efforts of all stakeholder groups. </w:t>
      </w:r>
    </w:p>
    <w:p w14:paraId="21148589">
      <w:pPr>
        <w:pStyle w:val="2"/>
        <w:bidi w:val="0"/>
        <w:rPr>
          <w:rFonts w:hint="default" w:ascii="Times New Roman" w:hAnsi="Times New Roman" w:cs="Times New Roman"/>
          <w:sz w:val="24"/>
          <w:szCs w:val="24"/>
          <w:lang w:val="en-US" w:eastAsia="zh-CN"/>
        </w:rPr>
      </w:pPr>
      <w:bookmarkStart w:id="5" w:name="_Toc28496"/>
      <w:r>
        <w:rPr>
          <w:rFonts w:hint="default" w:ascii="Times New Roman" w:hAnsi="Times New Roman" w:cs="Times New Roman"/>
          <w:sz w:val="24"/>
          <w:szCs w:val="24"/>
          <w:lang w:val="en-US" w:eastAsia="zh-CN"/>
        </w:rPr>
        <w:t>3.0 Corporate Social Responsibility (CSR) Carroll CSR Pyramid</w:t>
      </w:r>
      <w:bookmarkEnd w:id="5"/>
    </w:p>
    <w:p w14:paraId="24DFADC2">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Some scholars classify the stakeholders into two categories. The first category is directly related to the interests of the company, such as the company's customers, shareholders, employees, and suppliers. The second category is influenced by the company's interest groups. (R.E 2024)</w:t>
      </w:r>
    </w:p>
    <w:p w14:paraId="0E197513">
      <w:pPr>
        <w:rPr>
          <w:rFonts w:hint="default" w:ascii="Times New Roman" w:hAnsi="Times New Roman" w:cs="Times New Roman"/>
          <w:sz w:val="24"/>
          <w:szCs w:val="24"/>
          <w:lang w:val="en-US" w:eastAsia="zh-CN"/>
        </w:rPr>
      </w:pPr>
    </w:p>
    <w:p w14:paraId="67541225">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BMW is one of the most iconic brands in the automotive industry, positioning itself at the premium end of the market. It is also developing electric vehicles and autonomous driving technology. (Nicholas 2024) Therefore, the use of BMW here is authoritative. The first group is the group that has a direct interest in the company. For example, the shareholders of BMW. The shareholders have invested their money in the company and have been rewarded handsomely through the market. Examples include the ongoing development of the 3-series, 5-series, X-series, and I-series. These models have been well received by consumers. Employees of BMW are also direct stakeholders in the company, which is known for its high quality and performance. As the head of BMW states, the high quality of the BMW Group is one of its core competencies, thanks to the world's most advanced concepts, production systems, and manufacturing processes. (BMW Group 2024) This is the result of the quiet dedication of employees behind the scenes. </w:t>
      </w:r>
    </w:p>
    <w:p w14:paraId="4DB6F276">
      <w:pPr>
        <w:rPr>
          <w:rFonts w:hint="default" w:ascii="Times New Roman" w:hAnsi="Times New Roman" w:cs="Times New Roman"/>
          <w:sz w:val="24"/>
          <w:szCs w:val="24"/>
          <w:lang w:val="en-US" w:eastAsia="zh-CN"/>
        </w:rPr>
      </w:pPr>
    </w:p>
    <w:p w14:paraId="6890338F">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second category consists of those who are affected by the interests of the company. Although their connection with the company is not as direct as that of the first group, the company's business decisions and development trends will have a significant impact on them. BMW has established many production bases around the world. The establishment of production sites brings a lot of local employment opportunities, which encompasses several dimensions. It solves the local employment problem and increases the income level of the residents. At the same time, with the global emphasis on environmental protection, BMW has also responded positively by vigorously investing in the research and development and production of new energy vehicles, continuously launching new energy models such as the BMW i Series, and committing itself to lowering vehicle emissions and reducing the negative impact on the environment. A clean environment directly benefits everyone. As one academic mentioned, BMW's use of new fuel engine technology has reduced carbon emissions, the number of home recharges and renewable energy consumption, in addition to reducing water consumption by 70 per cent. (Malak 2024)</w:t>
      </w:r>
    </w:p>
    <w:p w14:paraId="63FD6638">
      <w:pPr>
        <w:rPr>
          <w:rFonts w:hint="default" w:ascii="Times New Roman" w:hAnsi="Times New Roman" w:cs="Times New Roman"/>
          <w:sz w:val="24"/>
          <w:szCs w:val="24"/>
          <w:lang w:val="en-US" w:eastAsia="zh-CN"/>
        </w:rPr>
      </w:pPr>
    </w:p>
    <w:p w14:paraId="68C73BBE">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Some scholars have also emphasized the need to shift from a shareholder-centered to a stakeholder-centered management model (Ying Peng, 2024), and Freeman's concept of stakeholders is a key contributor to this shift. The traditional shareholder-centered management model tends to enshrine the maximization of shareholders' interests and, as one academic puts it, the relationship between the company and its stakeholders is very important because when a company is facing a crisis, it is only with the support and trust of its shareholder stakeholders that the company will be able to get through it. (Carolin 2024) However, the rights and demands of other stakeholders are ignored. For a large company like BMW, its development is like a large and complex systematic project that requires the joint efforts of all stakeholder groups. By adopting a stakeholder-centered management model, BMW can consider the interests of shareholders, employees, suppliers, customers, and even the community and society more comprehensively and gradually cover every stakeholder group by coordinating and balancing the interests of all parties.</w:t>
      </w:r>
    </w:p>
    <w:p w14:paraId="1610E1AF">
      <w:pPr>
        <w:rPr>
          <w:rFonts w:hint="default" w:ascii="Times New Roman" w:hAnsi="Times New Roman" w:cs="Times New Roman"/>
          <w:sz w:val="24"/>
          <w:szCs w:val="24"/>
          <w:lang w:val="en-US" w:eastAsia="zh-CN"/>
        </w:rPr>
      </w:pPr>
    </w:p>
    <w:p w14:paraId="2D109267">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According to C</w:t>
      </w:r>
      <w:r>
        <w:rPr>
          <w:rFonts w:hint="eastAsia" w:ascii="Times New Roman" w:hAnsi="Times New Roman" w:cs="Times New Roman"/>
          <w:sz w:val="24"/>
          <w:szCs w:val="24"/>
          <w:lang w:val="en-US" w:eastAsia="zh-CN"/>
        </w:rPr>
        <w:t>arroll</w:t>
      </w:r>
      <w:r>
        <w:rPr>
          <w:rFonts w:hint="default" w:ascii="Times New Roman" w:hAnsi="Times New Roman" w:cs="Times New Roman"/>
          <w:sz w:val="24"/>
          <w:szCs w:val="24"/>
          <w:lang w:val="en-US" w:eastAsia="zh-CN"/>
        </w:rPr>
        <w:t>'s pyramid model, the motives of corporate responsibility can be classified into four types, which are financial responsibility, legal responsibility, ethical responsibility, and philanthropic responsibility(Jia 2024)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It has also been mentioned that corporate social responsibility presupposes that the synergy between corporate profitability and social interest is not zero and that socially responsible companies also require certain returns (Shen 2024)</w:t>
      </w:r>
    </w:p>
    <w:p w14:paraId="1C91EE11">
      <w:pPr>
        <w:rPr>
          <w:rFonts w:hint="default" w:ascii="Times New Roman" w:hAnsi="Times New Roman" w:cs="Times New Roman"/>
          <w:sz w:val="24"/>
          <w:szCs w:val="24"/>
          <w:lang w:val="en-US" w:eastAsia="zh-CN"/>
        </w:rPr>
      </w:pPr>
    </w:p>
    <w:p w14:paraId="43F82C78">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Economic responsibility is the foundation of the CSR pyramid. Some scholars have suggested that the most basic responsibility of enterprises is economic responsibility. (zhang 2014) has suggested that the core content of the economic responsibility of enterprises is to obtain legitimate profits and maximize shareholder value. Therefore, it is necessary to rationally allocate resources, control costs and improve efficiency. For example, BMW reduces production costs, improves product quality and performance, and occupies a significant share of the global luxury car market, resulting in a steady increase in sales revenue and profits.</w:t>
      </w:r>
    </w:p>
    <w:p w14:paraId="5AE5B96B">
      <w:pPr>
        <w:rPr>
          <w:rFonts w:hint="default" w:ascii="Times New Roman" w:hAnsi="Times New Roman" w:cs="Times New Roman"/>
          <w:sz w:val="24"/>
          <w:szCs w:val="24"/>
          <w:lang w:val="en-US" w:eastAsia="zh-CN"/>
        </w:rPr>
      </w:pPr>
    </w:p>
    <w:p w14:paraId="7DA34936">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Legal liability refers to the need for enterprises to operate legally within the legal framework. Some scholars mention that legal liability has an important impact on corporate structure and plays the role of insurance, protection, and supervision in corporate governance. (Chen 2011) Follow various regulations. For example, labor laws protect employees' rights and interests; pay taxes by the law; and control pollutant emissions. BMW strictly abides by the labor laws and regulations of each country, and in terms of environmental protection, BMW actively responds to global environmental regulations. Some scholars mentioned that the BMW Group communicated with a Chinese technology company to establish a cooperation model for the recycling of retired power battery materials. (Zhang 2024) At the same time, it vigorously researches and develops new energy vehicle technologies, reduces tailpipe emissions from traditional fuel vehicles, is committed to promoting the green transformation of the automobile industry, and carries out global business operations by the law, for example, establishing a green and low-carbon practice base in Shenyang, China (2024 BMW).</w:t>
      </w:r>
    </w:p>
    <w:p w14:paraId="362159A9">
      <w:pPr>
        <w:rPr>
          <w:rFonts w:hint="default" w:ascii="Times New Roman" w:hAnsi="Times New Roman" w:cs="Times New Roman"/>
          <w:sz w:val="24"/>
          <w:szCs w:val="24"/>
          <w:lang w:val="en-US" w:eastAsia="zh-CN"/>
        </w:rPr>
      </w:pPr>
    </w:p>
    <w:p w14:paraId="2248F845">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(3) Moral responsibility reflects the moral commitment of enterprises. Some scholars say that economic responsibility and moral responsibility are unified in essence, although there are different levels such as primary secondary, and sequential. (Wang 2022) The principles of justice, fairness, and honesty should be adhered to in business decision-making and operation. In marketing, products should be truthfully advertised without falsification, concealment, or misleading consumers. BMW has established a transparent and fair employee career development system internally, and some scholars have mentioned that the irrationality of the employee promotion system within the enterprise will lead to employee defection, job-hopping, and other behaviors against the enterprise. (Hu.2021) Therefore, an open and transparent system is necessary. As one scholar said, the direction of employee development is a powerful tool for the career development of employees, which can attract more excellent employees and also improve the quality of employees. (Li. 2012) </w:t>
      </w:r>
    </w:p>
    <w:p w14:paraId="7560B3E1">
      <w:pPr>
        <w:rPr>
          <w:rFonts w:hint="default" w:ascii="Times New Roman" w:hAnsi="Times New Roman" w:cs="Times New Roman"/>
          <w:sz w:val="24"/>
          <w:szCs w:val="24"/>
          <w:lang w:val="en-US" w:eastAsia="zh-CN"/>
        </w:rPr>
      </w:pPr>
    </w:p>
    <w:p w14:paraId="1CECD08D">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(4) Charitable responsibility is at the top of the pyramid. However, there is no such thing as 100 percent charity. As a scholar suggests charitable responsibility is also divided into two kinds. The first one is being kidnapped by morality and so forced to be charitable, and the other one is to cover up the means of illegal business operations through charitable means. (Wang 2011) many businesses act voluntarily. Enterprises can devote themselves to the public welfare by donating funds, materials, technology, or manpower, such as funding education in impoverished areas, helping medical aid, organizing employees to participate in community services, etc. </w:t>
      </w:r>
    </w:p>
    <w:p w14:paraId="189D676D">
      <w:pPr>
        <w:rPr>
          <w:rFonts w:hint="default" w:ascii="Times New Roman" w:hAnsi="Times New Roman" w:cs="Times New Roman"/>
          <w:sz w:val="24"/>
          <w:szCs w:val="24"/>
          <w:lang w:val="en-US" w:eastAsia="zh-CN"/>
        </w:rPr>
      </w:pPr>
    </w:p>
    <w:p w14:paraId="1E0DC68E">
      <w:pPr>
        <w:keepNext w:val="0"/>
        <w:keepLines w:val="0"/>
        <w:pageBreakBefore w:val="0"/>
        <w:widowControl w:val="0"/>
        <w:kinsoku/>
        <w:wordWrap/>
        <w:overflowPunct/>
        <w:topLinePunct w:val="0"/>
        <w:autoSpaceDE/>
        <w:autoSpaceDN/>
        <w:bidi w:val="0"/>
        <w:adjustRightInd/>
        <w:snapToGrid/>
        <w:textAlignment w:val="auto"/>
        <w:outlineLvl w:val="0"/>
        <w:rPr>
          <w:rFonts w:hint="eastAsia" w:ascii="Times New Roman" w:hAnsi="Times New Roman" w:cs="Times New Roman"/>
          <w:b/>
          <w:bCs/>
          <w:sz w:val="24"/>
          <w:szCs w:val="24"/>
          <w:lang w:val="en-US" w:eastAsia="zh-CN"/>
        </w:rPr>
      </w:pPr>
      <w:bookmarkStart w:id="6" w:name="_Toc4971"/>
      <w:r>
        <w:rPr>
          <w:rFonts w:hint="eastAsia" w:ascii="Times New Roman" w:hAnsi="Times New Roman" w:cs="Times New Roman"/>
          <w:b/>
          <w:bCs/>
          <w:sz w:val="24"/>
          <w:szCs w:val="24"/>
          <w:lang w:val="en-US" w:eastAsia="zh-CN"/>
        </w:rPr>
        <w:t>4.0 Is greed good？</w:t>
      </w:r>
      <w:bookmarkEnd w:id="6"/>
    </w:p>
    <w:p w14:paraId="00DA9A99">
      <w:pPr>
        <w:keepNext/>
        <w:keepLines/>
        <w:pageBreakBefore w:val="0"/>
        <w:widowControl w:val="0"/>
        <w:kinsoku/>
        <w:wordWrap/>
        <w:overflowPunct/>
        <w:topLinePunct w:val="0"/>
        <w:autoSpaceDE/>
        <w:autoSpaceDN/>
        <w:bidi w:val="0"/>
        <w:adjustRightInd/>
        <w:snapToGrid/>
        <w:textAlignment w:val="auto"/>
        <w:outlineLvl w:val="9"/>
        <w:rPr>
          <w:rFonts w:hint="eastAsia" w:ascii="Times New Roman" w:hAnsi="Times New Roman" w:cs="Times New Roman"/>
          <w:b w:val="0"/>
          <w:bCs/>
          <w:sz w:val="24"/>
          <w:szCs w:val="24"/>
          <w:lang w:val="en-US" w:eastAsia="zh-CN"/>
        </w:rPr>
      </w:pPr>
    </w:p>
    <w:p w14:paraId="44E7840A">
      <w:pPr>
        <w:keepNext/>
        <w:keepLines/>
        <w:pageBreakBefore w:val="0"/>
        <w:widowControl w:val="0"/>
        <w:kinsoku/>
        <w:wordWrap/>
        <w:overflowPunct/>
        <w:topLinePunct w:val="0"/>
        <w:autoSpaceDE/>
        <w:autoSpaceDN/>
        <w:bidi w:val="0"/>
        <w:adjustRightInd/>
        <w:snapToGrid/>
        <w:textAlignment w:val="auto"/>
        <w:outlineLvl w:val="9"/>
        <w:rPr>
          <w:rFonts w:hint="eastAsia" w:ascii="Times New Roman" w:hAnsi="Times New Roman" w:cs="Times New Roman"/>
          <w:sz w:val="24"/>
          <w:szCs w:val="24"/>
          <w:lang w:val="en-US" w:eastAsia="zh-CN"/>
        </w:rPr>
      </w:pPr>
      <w:r>
        <w:rPr>
          <w:rFonts w:hint="eastAsia" w:ascii="Times New Roman" w:hAnsi="Times New Roman" w:cs="Times New Roman"/>
          <w:b w:val="0"/>
          <w:bCs/>
          <w:sz w:val="24"/>
          <w:szCs w:val="24"/>
          <w:lang w:val="en-US" w:eastAsia="zh-CN"/>
        </w:rPr>
        <w:t>I believe the business ethics perspective, greed has two sides to the BMW Group. Greedy pursuit of market share, for example, can push it to actively research and develop innovative products, improve quality and competitiveness, and help the company grow and expand. However, excessive greed is a bad thing, such as unreasonable price increases, refusal of delivery, and other business ethics violations, resulting in sacrificing the quality of products and services, affecting the brand and profitability, and even triggering legal risks and damaging the image of society.</w:t>
      </w:r>
    </w:p>
    <w:p w14:paraId="55B0B055">
      <w:pPr>
        <w:keepNext w:val="0"/>
        <w:keepLines w:val="0"/>
        <w:pageBreakBefore w:val="0"/>
        <w:widowControl w:val="0"/>
        <w:kinsoku/>
        <w:wordWrap/>
        <w:overflowPunct/>
        <w:topLinePunct w:val="0"/>
        <w:autoSpaceDE/>
        <w:autoSpaceDN/>
        <w:bidi w:val="0"/>
        <w:adjustRightInd/>
        <w:snapToGrid/>
        <w:textAlignment w:val="auto"/>
        <w:outlineLvl w:val="0"/>
        <w:rPr>
          <w:rFonts w:hint="eastAsia" w:ascii="Times New Roman" w:hAnsi="Times New Roman" w:cs="Times New Roman"/>
          <w:b/>
          <w:bCs/>
          <w:sz w:val="24"/>
          <w:szCs w:val="24"/>
          <w:lang w:val="en-US" w:eastAsia="zh-CN"/>
        </w:rPr>
      </w:pPr>
    </w:p>
    <w:p w14:paraId="4F660F8C">
      <w:pPr>
        <w:pStyle w:val="2"/>
        <w:bidi w:val="0"/>
        <w:rPr>
          <w:rFonts w:hint="default" w:ascii="Times New Roman" w:hAnsi="Times New Roman" w:cs="Times New Roman"/>
          <w:sz w:val="24"/>
          <w:szCs w:val="24"/>
          <w:lang w:val="en-US" w:eastAsia="zh-CN"/>
        </w:rPr>
      </w:pPr>
      <w:bookmarkStart w:id="7" w:name="_Toc27061"/>
      <w:r>
        <w:rPr>
          <w:rFonts w:hint="eastAsia" w:ascii="Times New Roman" w:hAnsi="Times New Roman" w:cs="Times New Roman"/>
          <w:sz w:val="24"/>
          <w:szCs w:val="24"/>
          <w:lang w:val="en-US" w:eastAsia="zh-CN"/>
        </w:rPr>
        <w:t>5</w:t>
      </w:r>
      <w:r>
        <w:rPr>
          <w:rFonts w:hint="default" w:ascii="Times New Roman" w:hAnsi="Times New Roman" w:cs="Times New Roman"/>
          <w:sz w:val="24"/>
          <w:szCs w:val="24"/>
          <w:lang w:val="en-US" w:eastAsia="zh-CN"/>
        </w:rPr>
        <w:t>.0 Conclusion</w:t>
      </w:r>
      <w:bookmarkEnd w:id="7"/>
    </w:p>
    <w:p w14:paraId="03C3DC87">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paper discusses the core theories of business ethics and CSR and analyses them with BMW as an example. Firstly, it elaborates on the core theories of business ethics, such as deontological theory which focuses on whether behaviors are in line with ethical obligations and related principles, and BMW acts by ethical norms and practices environmental protection and public welfare positively; a purposive theory which focuses on profitability, and BMW uses it to achieve profitability; Friedman's shareholder theory which limits CSR to increasing profits. BMW takes into account multiple aspects of development while maximizing the interests of shareholders, Friedman's stakeholder theory distinguishes between different stakeholders and BMW is moving towards a management model that puts them at the center. Subsequently, Carroll's pyramid of CSR is proposed, which contains economic, legal, ethical, and charitable responsibilities, and BMW fulfills these four responsibilities by making profits, operating by the law, being fair and honest, and participating in the public welfare.</w:t>
      </w:r>
    </w:p>
    <w:p w14:paraId="7D0028DD">
      <w:pPr>
        <w:rPr>
          <w:rFonts w:hint="default" w:ascii="Times New Roman" w:hAnsi="Times New Roman" w:cs="Times New Roman"/>
          <w:sz w:val="24"/>
          <w:szCs w:val="24"/>
          <w:lang w:val="en-US" w:eastAsia="zh-CN"/>
        </w:rPr>
      </w:pPr>
    </w:p>
    <w:p w14:paraId="576EB794">
      <w:pPr>
        <w:rPr>
          <w:rFonts w:hint="default" w:ascii="Times New Roman" w:hAnsi="Times New Roman" w:cs="Times New Roman"/>
          <w:sz w:val="24"/>
          <w:szCs w:val="24"/>
          <w:lang w:val="en-US" w:eastAsia="zh-CN"/>
        </w:rPr>
      </w:pPr>
    </w:p>
    <w:p w14:paraId="5093574D">
      <w:pPr>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rPr>
        <w:t>Word count</w:t>
      </w:r>
      <w:r>
        <w:rPr>
          <w:rFonts w:hint="default" w:ascii="Times New Roman" w:hAnsi="Times New Roman" w:eastAsia="宋体" w:cs="Times New Roman"/>
          <w:bCs/>
          <w:sz w:val="24"/>
          <w:szCs w:val="24"/>
          <w:lang w:eastAsia="zh-CN"/>
        </w:rPr>
        <w:t>；</w:t>
      </w:r>
      <w:r>
        <w:rPr>
          <w:rFonts w:hint="eastAsia" w:ascii="Times New Roman" w:hAnsi="Times New Roman" w:eastAsia="宋体" w:cs="Times New Roman"/>
          <w:bCs/>
          <w:sz w:val="24"/>
          <w:szCs w:val="24"/>
          <w:lang w:val="en-US" w:eastAsia="zh-CN"/>
        </w:rPr>
        <w:t>2744</w:t>
      </w:r>
    </w:p>
    <w:p w14:paraId="51A7D2F9">
      <w:pPr>
        <w:rPr>
          <w:rFonts w:hint="default" w:ascii="Times New Roman" w:hAnsi="Times New Roman" w:eastAsia="宋体" w:cs="Times New Roman"/>
          <w:bCs/>
          <w:sz w:val="24"/>
          <w:szCs w:val="24"/>
          <w:lang w:val="en-US" w:eastAsia="zh-CN"/>
        </w:rPr>
      </w:pPr>
    </w:p>
    <w:p w14:paraId="4F4ADBDB">
      <w:pPr>
        <w:rPr>
          <w:rFonts w:hint="default" w:ascii="Times New Roman" w:hAnsi="Times New Roman" w:eastAsia="宋体" w:cs="Times New Roman"/>
          <w:bCs/>
          <w:sz w:val="24"/>
          <w:szCs w:val="24"/>
          <w:lang w:val="en-US" w:eastAsia="zh-CN"/>
        </w:rPr>
      </w:pPr>
    </w:p>
    <w:p w14:paraId="57706830">
      <w:pPr>
        <w:rPr>
          <w:rFonts w:hint="default" w:ascii="Times New Roman" w:hAnsi="Times New Roman" w:eastAsia="宋体" w:cs="Times New Roman"/>
          <w:bCs/>
          <w:sz w:val="24"/>
          <w:szCs w:val="24"/>
          <w:lang w:val="en-US" w:eastAsia="zh-CN"/>
        </w:rPr>
      </w:pPr>
    </w:p>
    <w:p w14:paraId="76202D32">
      <w:pPr>
        <w:rPr>
          <w:rFonts w:hint="default" w:ascii="Times New Roman" w:hAnsi="Times New Roman" w:eastAsia="宋体" w:cs="Times New Roman"/>
          <w:bCs/>
          <w:sz w:val="24"/>
          <w:szCs w:val="24"/>
          <w:lang w:val="en-US" w:eastAsia="zh-CN"/>
        </w:rPr>
      </w:pPr>
    </w:p>
    <w:p w14:paraId="2E3985E8">
      <w:pPr>
        <w:rPr>
          <w:rFonts w:hint="default" w:ascii="Times New Roman" w:hAnsi="Times New Roman" w:eastAsia="宋体" w:cs="Times New Roman"/>
          <w:bCs/>
          <w:sz w:val="24"/>
          <w:szCs w:val="24"/>
          <w:lang w:val="en-US" w:eastAsia="zh-CN"/>
        </w:rPr>
      </w:pPr>
    </w:p>
    <w:p w14:paraId="1B25F2B1">
      <w:pPr>
        <w:rPr>
          <w:rFonts w:hint="default" w:ascii="Times New Roman" w:hAnsi="Times New Roman" w:eastAsia="宋体" w:cs="Times New Roman"/>
          <w:bCs/>
          <w:sz w:val="24"/>
          <w:szCs w:val="24"/>
          <w:lang w:val="en-US" w:eastAsia="zh-CN"/>
        </w:rPr>
      </w:pPr>
    </w:p>
    <w:p w14:paraId="098B5FDC">
      <w:pPr>
        <w:rPr>
          <w:rFonts w:hint="default" w:ascii="Times New Roman" w:hAnsi="Times New Roman" w:eastAsia="宋体" w:cs="Times New Roman"/>
          <w:bCs/>
          <w:sz w:val="24"/>
          <w:szCs w:val="24"/>
          <w:lang w:val="en-US" w:eastAsia="zh-CN"/>
        </w:rPr>
      </w:pPr>
    </w:p>
    <w:p w14:paraId="03A62859">
      <w:pPr>
        <w:rPr>
          <w:rFonts w:hint="default" w:ascii="Times New Roman" w:hAnsi="Times New Roman" w:eastAsia="宋体" w:cs="Times New Roman"/>
          <w:bCs/>
          <w:sz w:val="24"/>
          <w:szCs w:val="24"/>
          <w:lang w:val="en-US" w:eastAsia="zh-CN"/>
        </w:rPr>
      </w:pPr>
    </w:p>
    <w:p w14:paraId="7E64F4B8">
      <w:pPr>
        <w:rPr>
          <w:rFonts w:hint="default" w:ascii="Times New Roman" w:hAnsi="Times New Roman" w:eastAsia="宋体" w:cs="Times New Roman"/>
          <w:bCs/>
          <w:sz w:val="24"/>
          <w:szCs w:val="24"/>
          <w:lang w:val="en-US" w:eastAsia="zh-CN"/>
        </w:rPr>
      </w:pPr>
    </w:p>
    <w:p w14:paraId="353B0F45">
      <w:pPr>
        <w:rPr>
          <w:rFonts w:hint="default" w:ascii="Times New Roman" w:hAnsi="Times New Roman" w:eastAsia="宋体" w:cs="Times New Roman"/>
          <w:bCs/>
          <w:sz w:val="24"/>
          <w:szCs w:val="24"/>
          <w:lang w:val="en-US" w:eastAsia="zh-CN"/>
        </w:rPr>
      </w:pPr>
    </w:p>
    <w:p w14:paraId="76E2540C">
      <w:pPr>
        <w:rPr>
          <w:rFonts w:hint="default" w:ascii="Times New Roman" w:hAnsi="Times New Roman" w:eastAsia="宋体" w:cs="Times New Roman"/>
          <w:bCs/>
          <w:sz w:val="24"/>
          <w:szCs w:val="24"/>
          <w:lang w:val="en-US" w:eastAsia="zh-CN"/>
        </w:rPr>
      </w:pPr>
    </w:p>
    <w:p w14:paraId="5458D7B9">
      <w:pPr>
        <w:rPr>
          <w:rFonts w:hint="default" w:ascii="Times New Roman" w:hAnsi="Times New Roman" w:eastAsia="宋体" w:cs="Times New Roman"/>
          <w:bCs/>
          <w:sz w:val="24"/>
          <w:szCs w:val="24"/>
          <w:lang w:val="en-US" w:eastAsia="zh-CN"/>
        </w:rPr>
      </w:pPr>
    </w:p>
    <w:p w14:paraId="04C6D022">
      <w:pPr>
        <w:rPr>
          <w:rFonts w:hint="default" w:ascii="Times New Roman" w:hAnsi="Times New Roman" w:eastAsia="宋体" w:cs="Times New Roman"/>
          <w:bCs/>
          <w:sz w:val="24"/>
          <w:szCs w:val="24"/>
          <w:lang w:val="en-US" w:eastAsia="zh-CN"/>
        </w:rPr>
      </w:pPr>
    </w:p>
    <w:p w14:paraId="21D480FE">
      <w:pPr>
        <w:rPr>
          <w:rFonts w:hint="default" w:ascii="Times New Roman" w:hAnsi="Times New Roman" w:eastAsia="宋体" w:cs="Times New Roman"/>
          <w:bCs/>
          <w:sz w:val="24"/>
          <w:szCs w:val="24"/>
          <w:lang w:val="en-US" w:eastAsia="zh-CN"/>
        </w:rPr>
      </w:pPr>
    </w:p>
    <w:p w14:paraId="295CD615">
      <w:pPr>
        <w:rPr>
          <w:rFonts w:hint="default" w:ascii="Times New Roman" w:hAnsi="Times New Roman" w:eastAsia="宋体" w:cs="Times New Roman"/>
          <w:bCs/>
          <w:sz w:val="24"/>
          <w:szCs w:val="24"/>
          <w:lang w:val="en-US" w:eastAsia="zh-CN"/>
        </w:rPr>
      </w:pPr>
    </w:p>
    <w:p w14:paraId="5391100B">
      <w:pPr>
        <w:rPr>
          <w:rFonts w:hint="default" w:ascii="Times New Roman" w:hAnsi="Times New Roman" w:eastAsia="宋体" w:cs="Times New Roman"/>
          <w:bCs/>
          <w:sz w:val="24"/>
          <w:szCs w:val="24"/>
          <w:lang w:val="en-US" w:eastAsia="zh-CN"/>
        </w:rPr>
      </w:pPr>
    </w:p>
    <w:p w14:paraId="4819CF3C">
      <w:pPr>
        <w:rPr>
          <w:rFonts w:hint="default" w:ascii="Times New Roman" w:hAnsi="Times New Roman" w:eastAsia="宋体" w:cs="Times New Roman"/>
          <w:bCs/>
          <w:sz w:val="24"/>
          <w:szCs w:val="24"/>
          <w:lang w:val="en-US" w:eastAsia="zh-CN"/>
        </w:rPr>
      </w:pPr>
    </w:p>
    <w:p w14:paraId="53A93177">
      <w:pPr>
        <w:rPr>
          <w:rFonts w:hint="default" w:ascii="Times New Roman" w:hAnsi="Times New Roman" w:eastAsia="宋体" w:cs="Times New Roman"/>
          <w:bCs/>
          <w:sz w:val="24"/>
          <w:szCs w:val="24"/>
          <w:lang w:val="en-US" w:eastAsia="zh-CN"/>
        </w:rPr>
      </w:pPr>
    </w:p>
    <w:p w14:paraId="6304C045">
      <w:pPr>
        <w:rPr>
          <w:rFonts w:hint="default" w:ascii="Times New Roman" w:hAnsi="Times New Roman" w:eastAsia="宋体" w:cs="Times New Roman"/>
          <w:bCs/>
          <w:sz w:val="24"/>
          <w:szCs w:val="24"/>
          <w:lang w:val="en-US" w:eastAsia="zh-CN"/>
        </w:rPr>
      </w:pPr>
    </w:p>
    <w:p w14:paraId="49E077EC">
      <w:pPr>
        <w:rPr>
          <w:rFonts w:hint="default" w:ascii="Times New Roman" w:hAnsi="Times New Roman" w:eastAsia="宋体" w:cs="Times New Roman"/>
          <w:bCs/>
          <w:sz w:val="24"/>
          <w:szCs w:val="24"/>
          <w:lang w:val="en-US" w:eastAsia="zh-CN"/>
        </w:rPr>
      </w:pPr>
    </w:p>
    <w:p w14:paraId="5C62DECF">
      <w:pPr>
        <w:rPr>
          <w:rFonts w:hint="default" w:ascii="Times New Roman" w:hAnsi="Times New Roman" w:eastAsia="宋体" w:cs="Times New Roman"/>
          <w:bCs/>
          <w:sz w:val="24"/>
          <w:szCs w:val="24"/>
          <w:lang w:val="en-US" w:eastAsia="zh-CN"/>
        </w:rPr>
      </w:pPr>
    </w:p>
    <w:p w14:paraId="57FF28B6">
      <w:pPr>
        <w:rPr>
          <w:rFonts w:hint="default" w:ascii="Times New Roman" w:hAnsi="Times New Roman" w:eastAsia="宋体" w:cs="Times New Roman"/>
          <w:bCs/>
          <w:sz w:val="24"/>
          <w:szCs w:val="24"/>
          <w:lang w:val="en-US" w:eastAsia="zh-CN"/>
        </w:rPr>
      </w:pPr>
    </w:p>
    <w:p w14:paraId="0F5351B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360" w:lineRule="auto"/>
        <w:textAlignment w:val="auto"/>
        <w:outlineLvl w:val="9"/>
        <w:rPr>
          <w:rFonts w:hint="default" w:ascii="Times New Roman" w:hAnsi="Times New Roman" w:cs="Times New Roman"/>
          <w:sz w:val="24"/>
          <w:szCs w:val="24"/>
          <w:lang w:val="en-US" w:eastAsia="zh-CN"/>
        </w:rPr>
      </w:pPr>
    </w:p>
    <w:p w14:paraId="7F20B3F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360" w:lineRule="auto"/>
        <w:textAlignment w:val="auto"/>
        <w:outlineLvl w:val="0"/>
        <w:rPr>
          <w:rFonts w:hint="default" w:ascii="Times New Roman" w:hAnsi="Times New Roman" w:cs="Times New Roman"/>
          <w:sz w:val="24"/>
          <w:szCs w:val="24"/>
          <w:lang w:val="en-US" w:eastAsia="zh-CN"/>
        </w:rPr>
      </w:pPr>
      <w:bookmarkStart w:id="8" w:name="_Toc25909"/>
      <w:r>
        <w:rPr>
          <w:rFonts w:hint="eastAsia" w:ascii="Times New Roman" w:hAnsi="Times New Roman" w:cs="Times New Roman"/>
          <w:sz w:val="24"/>
          <w:szCs w:val="24"/>
          <w:lang w:val="en-US" w:eastAsia="zh-CN"/>
        </w:rPr>
        <w:t>6</w:t>
      </w:r>
      <w:r>
        <w:rPr>
          <w:rFonts w:hint="default" w:ascii="Times New Roman" w:hAnsi="Times New Roman" w:cs="Times New Roman"/>
          <w:sz w:val="24"/>
          <w:szCs w:val="24"/>
          <w:lang w:val="en-US" w:eastAsia="zh-CN"/>
        </w:rPr>
        <w:t>.0 Reference</w:t>
      </w:r>
      <w:bookmarkEnd w:id="8"/>
    </w:p>
    <w:p w14:paraId="0F6C89C0">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Abderrahmane, B. (2018). A Narrative Review of Ethics Theories: Teleological &amp;Deontological Ethics. </w:t>
      </w:r>
      <w:r>
        <w:rPr>
          <w:rFonts w:hint="default" w:ascii="Times New Roman" w:hAnsi="Times New Roman" w:cs="Times New Roman"/>
          <w:i/>
          <w:iCs/>
          <w:sz w:val="24"/>
          <w:szCs w:val="24"/>
        </w:rPr>
        <w:t>Journal of Humanities and Social Science</w:t>
      </w:r>
      <w:r>
        <w:rPr>
          <w:rFonts w:hint="default" w:ascii="Times New Roman" w:hAnsi="Times New Roman" w:cs="Times New Roman"/>
          <w:sz w:val="24"/>
          <w:szCs w:val="24"/>
        </w:rPr>
        <w:t>, 23(7), pp.31–38.</w:t>
      </w:r>
    </w:p>
    <w:p w14:paraId="35DAF804">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Jin, S. (2012). The Identification and Education of Civic Morality. </w:t>
      </w:r>
      <w:r>
        <w:rPr>
          <w:rFonts w:hint="default" w:ascii="Times New Roman" w:hAnsi="Times New Roman" w:cs="Times New Roman"/>
          <w:i/>
          <w:iCs/>
          <w:sz w:val="24"/>
          <w:szCs w:val="24"/>
        </w:rPr>
        <w:t>Journal of East China Normal University（Educational Sciences）</w:t>
      </w:r>
      <w:r>
        <w:rPr>
          <w:rFonts w:hint="default" w:ascii="Times New Roman" w:hAnsi="Times New Roman" w:cs="Times New Roman"/>
          <w:sz w:val="24"/>
          <w:szCs w:val="24"/>
        </w:rPr>
        <w:t>, 30(3), p.1.</w:t>
      </w:r>
    </w:p>
    <w:p w14:paraId="47D29801">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Ma, W. and Su, X. (2024). How to Define the Corporate ‘Responsibility’ from a Social Perspective?. </w:t>
      </w:r>
      <w:r>
        <w:rPr>
          <w:rFonts w:hint="default" w:ascii="Times New Roman" w:hAnsi="Times New Roman" w:cs="Times New Roman"/>
          <w:i/>
          <w:iCs/>
          <w:sz w:val="24"/>
          <w:szCs w:val="24"/>
        </w:rPr>
        <w:t>Journal of Guangxi Normal Universoty（Philosphy and Social Science Edition）</w:t>
      </w:r>
      <w:r>
        <w:rPr>
          <w:rFonts w:hint="default" w:ascii="Times New Roman" w:hAnsi="Times New Roman" w:cs="Times New Roman"/>
          <w:sz w:val="24"/>
          <w:szCs w:val="24"/>
        </w:rPr>
        <w:t>, 60(1), pp.104–113.</w:t>
      </w:r>
    </w:p>
    <w:p w14:paraId="7E1D9AAD">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Jia, M., Fang, T. and Zhang, Z. (2024). The Role of Corporate Socail Responsibility in the Age of Common Prosperity. </w:t>
      </w:r>
      <w:r>
        <w:rPr>
          <w:rFonts w:hint="default" w:ascii="Times New Roman" w:hAnsi="Times New Roman" w:cs="Times New Roman"/>
          <w:i/>
          <w:iCs/>
          <w:sz w:val="24"/>
          <w:szCs w:val="24"/>
        </w:rPr>
        <w:t>Chinese Journal of Management</w:t>
      </w:r>
      <w:r>
        <w:rPr>
          <w:rFonts w:hint="default" w:ascii="Times New Roman" w:hAnsi="Times New Roman" w:cs="Times New Roman"/>
          <w:sz w:val="24"/>
          <w:szCs w:val="24"/>
        </w:rPr>
        <w:t>, 21(2), pp.181–187.</w:t>
      </w:r>
    </w:p>
    <w:p w14:paraId="22B3954B">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Guerra, P. (2024) ‘THE FRIEDMAN DOCTRINE REVISITED: a MODERN-DAY DEFENSE OF ADAM SMITH OR a DANGEROUS BETRAYAL?’, in </w:t>
      </w:r>
      <w:r>
        <w:rPr>
          <w:rFonts w:hint="default" w:ascii="Times New Roman" w:hAnsi="Times New Roman" w:cs="Times New Roman"/>
          <w:i/>
          <w:iCs/>
          <w:sz w:val="24"/>
          <w:szCs w:val="24"/>
        </w:rPr>
        <w:t>The Friedman Doctrine Revisited</w:t>
      </w:r>
      <w:r>
        <w:rPr>
          <w:rFonts w:hint="default" w:ascii="Times New Roman" w:hAnsi="Times New Roman" w:cs="Times New Roman"/>
          <w:sz w:val="24"/>
          <w:szCs w:val="24"/>
        </w:rPr>
        <w:t xml:space="preserve">. Puerto Rico: Pontifical Catholic University of Puerto Rico; University of Central Florida, pp. 1–13. </w:t>
      </w:r>
    </w:p>
    <w:p w14:paraId="266B8E5C">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Ignacio , F., Robert, M. and Michael , H. (2014) ‘Must Milton Friedman Embrace Stakeholder Theory?’, </w:t>
      </w:r>
      <w:r>
        <w:rPr>
          <w:rFonts w:hint="default" w:ascii="Times New Roman" w:hAnsi="Times New Roman" w:cs="Times New Roman"/>
          <w:i/>
          <w:iCs/>
          <w:sz w:val="24"/>
          <w:szCs w:val="24"/>
        </w:rPr>
        <w:t>Business and Society Review</w:t>
      </w:r>
      <w:r>
        <w:rPr>
          <w:rFonts w:hint="default" w:ascii="Times New Roman" w:hAnsi="Times New Roman" w:cs="Times New Roman"/>
          <w:sz w:val="24"/>
          <w:szCs w:val="24"/>
        </w:rPr>
        <w:t>, 119(1), pp. 37–59.</w:t>
      </w:r>
    </w:p>
    <w:p w14:paraId="045D946C">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Hart O., A., Willie, E. and Enyinda , O. (2024) ‘Stakeholders, Stakeholder Theory and Corporate Social Responsibility (CSR)’, </w:t>
      </w:r>
      <w:r>
        <w:rPr>
          <w:rFonts w:hint="default" w:ascii="Times New Roman" w:hAnsi="Times New Roman" w:cs="Times New Roman"/>
          <w:i/>
          <w:iCs/>
          <w:sz w:val="24"/>
          <w:szCs w:val="24"/>
        </w:rPr>
        <w:t>International Journal of Corporate Social Responsibility</w:t>
      </w:r>
      <w:r>
        <w:rPr>
          <w:rFonts w:hint="default" w:ascii="Times New Roman" w:hAnsi="Times New Roman" w:cs="Times New Roman"/>
          <w:sz w:val="24"/>
          <w:szCs w:val="24"/>
        </w:rPr>
        <w:t>, 9(11), pp. 1–14.</w:t>
      </w:r>
    </w:p>
    <w:p w14:paraId="2FFC3F08">
      <w:pPr>
        <w:pStyle w:val="6"/>
        <w:keepNext w:val="0"/>
        <w:keepLines w:val="0"/>
        <w:widowControl/>
        <w:suppressLineNumbers w:val="0"/>
        <w:spacing w:before="0" w:beforeAutospacing="0" w:after="210" w:afterAutospacing="0" w:line="360" w:lineRule="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Freeman, R.E. and Menghwar, P.S., </w:t>
      </w:r>
      <w:r>
        <w:rPr>
          <w:rFonts w:hint="default" w:ascii="Times New Roman" w:hAnsi="Times New Roman" w:eastAsia="宋体" w:cs="Times New Roman"/>
          <w:i w:val="0"/>
          <w:iCs w:val="0"/>
          <w:caps w:val="0"/>
          <w:color w:val="222222"/>
          <w:spacing w:val="0"/>
          <w:sz w:val="24"/>
          <w:szCs w:val="24"/>
          <w:shd w:val="clear" w:fill="FFFFFF"/>
          <w:lang w:eastAsia="zh-CN"/>
        </w:rPr>
        <w:t>（</w:t>
      </w:r>
      <w:r>
        <w:rPr>
          <w:rFonts w:hint="default" w:ascii="Times New Roman" w:hAnsi="Times New Roman" w:eastAsia="宋体" w:cs="Times New Roman"/>
          <w:i w:val="0"/>
          <w:iCs w:val="0"/>
          <w:caps w:val="0"/>
          <w:color w:val="222222"/>
          <w:spacing w:val="0"/>
          <w:sz w:val="24"/>
          <w:szCs w:val="24"/>
          <w:shd w:val="clear" w:fill="FFFFFF"/>
        </w:rPr>
        <w:t>2024</w:t>
      </w:r>
      <w:r>
        <w:rPr>
          <w:rFonts w:hint="default" w:ascii="Times New Roman" w:hAnsi="Times New Roman" w:eastAsia="宋体" w:cs="Times New Roman"/>
          <w:i w:val="0"/>
          <w:iCs w:val="0"/>
          <w:caps w:val="0"/>
          <w:color w:val="222222"/>
          <w:spacing w:val="0"/>
          <w:sz w:val="24"/>
          <w:szCs w:val="24"/>
          <w:shd w:val="clear" w:fill="FFFFFF"/>
          <w:lang w:eastAsia="zh-CN"/>
        </w:rPr>
        <w:t>）</w:t>
      </w:r>
      <w:r>
        <w:rPr>
          <w:rFonts w:hint="default" w:ascii="Times New Roman" w:hAnsi="Times New Roman" w:eastAsia="宋体" w:cs="Times New Roman"/>
          <w:i w:val="0"/>
          <w:iCs w:val="0"/>
          <w:caps w:val="0"/>
          <w:color w:val="222222"/>
          <w:spacing w:val="0"/>
          <w:sz w:val="24"/>
          <w:szCs w:val="24"/>
          <w:shd w:val="clear" w:fill="FFFFFF"/>
        </w:rPr>
        <w:t>. Stakeholder theory and communities: Navigating processes of meaningful engagement with marginalized communities. In </w:t>
      </w:r>
      <w:r>
        <w:rPr>
          <w:rFonts w:hint="default" w:ascii="Times New Roman" w:hAnsi="Times New Roman" w:eastAsia="宋体" w:cs="Times New Roman"/>
          <w:i/>
          <w:iCs/>
          <w:caps w:val="0"/>
          <w:color w:val="222222"/>
          <w:spacing w:val="0"/>
          <w:sz w:val="24"/>
          <w:szCs w:val="24"/>
          <w:shd w:val="clear" w:fill="FFFFFF"/>
        </w:rPr>
        <w:t>The Routledge Handbook on Meaningful Stakeholder Engagement</w:t>
      </w:r>
      <w:r>
        <w:rPr>
          <w:rFonts w:hint="default" w:ascii="Times New Roman" w:hAnsi="Times New Roman" w:eastAsia="宋体" w:cs="Times New Roman"/>
          <w:i w:val="0"/>
          <w:iCs w:val="0"/>
          <w:caps w:val="0"/>
          <w:color w:val="222222"/>
          <w:spacing w:val="0"/>
          <w:sz w:val="24"/>
          <w:szCs w:val="24"/>
          <w:shd w:val="clear" w:fill="FFFFFF"/>
        </w:rPr>
        <w:t> (pp. 43-55). Routledge.</w:t>
      </w:r>
    </w:p>
    <w:p w14:paraId="6ED7EF4C">
      <w:pPr>
        <w:pStyle w:val="6"/>
        <w:keepNext w:val="0"/>
        <w:keepLines w:val="0"/>
        <w:widowControl/>
        <w:suppressLineNumbers w:val="0"/>
        <w:spacing w:before="0" w:beforeAutospacing="0" w:after="210" w:afterAutospacing="0" w:line="360" w:lineRule="auto"/>
        <w:rPr>
          <w:rFonts w:hint="default" w:ascii="Times New Roman" w:hAnsi="Times New Roman" w:eastAsia="宋体" w:cs="Times New Roman"/>
          <w:i w:val="0"/>
          <w:iCs w:val="0"/>
          <w:caps w:val="0"/>
          <w:color w:val="222222"/>
          <w:spacing w:val="0"/>
          <w:sz w:val="24"/>
          <w:szCs w:val="24"/>
          <w:shd w:val="clear" w:fill="FFFFFF"/>
        </w:rPr>
      </w:pPr>
    </w:p>
    <w:p w14:paraId="79E4C2B8">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Peng, Y., Bity, S.A. and Azlin, N.M. (2024) ‘Stakeholder Theory Application in Education: a Content-Analysis Based Literature Review’, </w:t>
      </w:r>
      <w:r>
        <w:rPr>
          <w:rFonts w:hint="default" w:ascii="Times New Roman" w:hAnsi="Times New Roman" w:cs="Times New Roman"/>
          <w:i/>
          <w:iCs/>
          <w:sz w:val="24"/>
          <w:szCs w:val="24"/>
        </w:rPr>
        <w:t>Educational Administration: Theory and Practice</w:t>
      </w:r>
      <w:r>
        <w:rPr>
          <w:rFonts w:hint="default" w:ascii="Times New Roman" w:hAnsi="Times New Roman" w:cs="Times New Roman"/>
          <w:sz w:val="24"/>
          <w:szCs w:val="24"/>
        </w:rPr>
        <w:t>, 30(4), pp. 10056–10058.</w:t>
      </w:r>
    </w:p>
    <w:p w14:paraId="13E0926B">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Du, J. (2004). The Objective of Financial Management and the Optimization of Enterprise Capital Structure. </w:t>
      </w:r>
      <w:r>
        <w:rPr>
          <w:rFonts w:hint="default" w:ascii="Times New Roman" w:hAnsi="Times New Roman" w:cs="Times New Roman"/>
          <w:i/>
          <w:iCs/>
          <w:sz w:val="24"/>
          <w:szCs w:val="24"/>
        </w:rPr>
        <w:t>JOURNAL OF BEIJING INSTITUTE OF TECHNOLOGY (SOCIAL SCIENCES EDITION)</w:t>
      </w:r>
      <w:r>
        <w:rPr>
          <w:rFonts w:hint="default" w:ascii="Times New Roman" w:hAnsi="Times New Roman" w:cs="Times New Roman"/>
          <w:sz w:val="24"/>
          <w:szCs w:val="24"/>
        </w:rPr>
        <w:t>, 6(5), pp.95–96.</w:t>
      </w:r>
    </w:p>
    <w:p w14:paraId="74B1D832">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Nicholas, T.M. (2024). </w:t>
      </w:r>
      <w:r>
        <w:rPr>
          <w:rFonts w:hint="default" w:ascii="Times New Roman" w:hAnsi="Times New Roman" w:cs="Times New Roman"/>
          <w:i/>
          <w:iCs/>
          <w:sz w:val="24"/>
          <w:szCs w:val="24"/>
        </w:rPr>
        <w:t>Facultad De Ciencias Económicas Y Empresariales ICADE</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Valuation Case BMW</w:t>
      </w:r>
      <w:r>
        <w:rPr>
          <w:rFonts w:hint="default" w:ascii="Times New Roman" w:hAnsi="Times New Roman" w:cs="Times New Roman"/>
          <w:sz w:val="24"/>
          <w:szCs w:val="24"/>
        </w:rPr>
        <w:t>, pp.1–6.</w:t>
      </w:r>
    </w:p>
    <w:p w14:paraId="62A280CD">
      <w:pPr>
        <w:pStyle w:val="6"/>
        <w:keepNext w:val="0"/>
        <w:keepLines w:val="0"/>
        <w:widowControl/>
        <w:numPr>
          <w:ilvl w:val="0"/>
          <w:numId w:val="0"/>
        </w:numPr>
        <w:suppressLineNumbers w:val="0"/>
        <w:spacing w:before="0" w:beforeAutospacing="0" w:after="210" w:afterAutospacing="0" w:line="360" w:lineRule="auto"/>
        <w:ind w:right="0" w:rightChars="0"/>
        <w:rPr>
          <w:rFonts w:hint="default" w:ascii="Times New Roman" w:hAnsi="Times New Roman" w:cs="Times New Roman"/>
          <w:sz w:val="24"/>
          <w:szCs w:val="24"/>
        </w:rPr>
      </w:pPr>
      <w:r>
        <w:rPr>
          <w:rFonts w:hint="default" w:ascii="Times New Roman" w:hAnsi="Times New Roman" w:cs="Times New Roman"/>
          <w:sz w:val="24"/>
          <w:szCs w:val="24"/>
        </w:rPr>
        <w:t xml:space="preserve">Malak, Q., Aliar, H. and Nasrin, S. (2024). Analysing the impact of sustainability initiatives and practices in the British Automobile Industry – A Comparison between BMW Group and Tesla . </w:t>
      </w:r>
      <w:r>
        <w:rPr>
          <w:rFonts w:hint="default" w:ascii="Times New Roman" w:hAnsi="Times New Roman" w:cs="Times New Roman"/>
          <w:i/>
          <w:iCs/>
          <w:sz w:val="24"/>
          <w:szCs w:val="24"/>
        </w:rPr>
        <w:t>The Business and Management Review</w:t>
      </w:r>
      <w:r>
        <w:rPr>
          <w:rFonts w:hint="default" w:ascii="Times New Roman" w:hAnsi="Times New Roman" w:cs="Times New Roman"/>
          <w:sz w:val="24"/>
          <w:szCs w:val="24"/>
        </w:rPr>
        <w:t>, 15(2), pp.150–154.</w:t>
      </w:r>
    </w:p>
    <w:p w14:paraId="49D1FF00">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Carolin, I. (2024). </w:t>
      </w:r>
      <w:r>
        <w:rPr>
          <w:rFonts w:hint="default" w:ascii="Times New Roman" w:hAnsi="Times New Roman" w:cs="Times New Roman"/>
          <w:i/>
          <w:iCs/>
          <w:sz w:val="24"/>
          <w:szCs w:val="24"/>
        </w:rPr>
        <w:t>Stakeholder management during a corporate crisis. VW Dieselgate case study</w:t>
      </w:r>
      <w:r>
        <w:rPr>
          <w:rFonts w:hint="default" w:ascii="Times New Roman" w:hAnsi="Times New Roman" w:cs="Times New Roman"/>
          <w:sz w:val="24"/>
          <w:szCs w:val="24"/>
        </w:rPr>
        <w:t>. Degree in Business Administration and Management with a Specialization in International Business.</w:t>
      </w:r>
    </w:p>
    <w:p w14:paraId="7CCE1A40">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Zhao, S., Xu, N., Qiao, Y. and Yang, B. (2018). Suggestions on Speeding up Recycling of Power Battery for New Energy Vehicles in China. </w:t>
      </w:r>
      <w:r>
        <w:rPr>
          <w:rFonts w:hint="default" w:ascii="Times New Roman" w:hAnsi="Times New Roman" w:cs="Times New Roman"/>
          <w:i/>
          <w:iCs/>
          <w:sz w:val="24"/>
          <w:szCs w:val="24"/>
        </w:rPr>
        <w:t>Chinese Journal of Engineering Science</w:t>
      </w:r>
      <w:r>
        <w:rPr>
          <w:rFonts w:hint="default" w:ascii="Times New Roman" w:hAnsi="Times New Roman" w:cs="Times New Roman"/>
          <w:sz w:val="24"/>
          <w:szCs w:val="24"/>
        </w:rPr>
        <w:t>, 20(1), p.144.</w:t>
      </w:r>
    </w:p>
    <w:p w14:paraId="6E09F16C">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Zhang, C. (2014). Legacy liability: concepts, characteristics and research topics. </w:t>
      </w:r>
      <w:r>
        <w:rPr>
          <w:rFonts w:hint="default" w:ascii="Times New Roman" w:hAnsi="Times New Roman" w:cs="Times New Roman"/>
          <w:i/>
          <w:iCs/>
          <w:sz w:val="24"/>
          <w:szCs w:val="24"/>
        </w:rPr>
        <w:t>Journal of Travel and Tourism</w:t>
      </w:r>
      <w:r>
        <w:rPr>
          <w:rFonts w:hint="default" w:ascii="Times New Roman" w:hAnsi="Times New Roman" w:cs="Times New Roman"/>
          <w:sz w:val="24"/>
          <w:szCs w:val="24"/>
        </w:rPr>
        <w:t>, 29(11), pp.45–51.</w:t>
      </w:r>
    </w:p>
    <w:p w14:paraId="79109AA5">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Pu, Y. (2023). Business for Peace Program of Business Education and its Spiritual Premise. </w:t>
      </w:r>
      <w:r>
        <w:rPr>
          <w:rFonts w:hint="default" w:ascii="Times New Roman" w:hAnsi="Times New Roman" w:cs="Times New Roman"/>
          <w:i/>
          <w:iCs/>
          <w:sz w:val="24"/>
          <w:szCs w:val="24"/>
        </w:rPr>
        <w:t>Program in Business education and Its Spiritual Presuppositions</w:t>
      </w:r>
      <w:r>
        <w:rPr>
          <w:rFonts w:hint="default" w:ascii="Times New Roman" w:hAnsi="Times New Roman" w:cs="Times New Roman"/>
          <w:sz w:val="24"/>
          <w:szCs w:val="24"/>
        </w:rPr>
        <w:t>, 9, pp.1–7.</w:t>
      </w:r>
    </w:p>
    <w:p w14:paraId="1CAA370F">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Chen, Cai-chi, and Chang, R.Y. (2011).Corporate Governance: Directors' Liability and Board Structure.Management Review, 30(3), pp.1-23. </w:t>
      </w:r>
    </w:p>
    <w:p w14:paraId="399C2B47">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14:paraId="6921737E">
      <w:pPr>
        <w:pStyle w:val="6"/>
        <w:keepNext w:val="0"/>
        <w:keepLines w:val="0"/>
        <w:widowControl/>
        <w:suppressLineNumbers w:val="0"/>
        <w:spacing w:before="0" w:beforeAutospacing="0" w:after="210" w:afterAutospacing="0" w:line="360" w:lineRule="auto"/>
        <w:rPr>
          <w:rFonts w:hint="default" w:ascii="Times New Roman" w:hAnsi="Times New Roman" w:eastAsia="宋体" w:cs="Times New Roman"/>
          <w:i w:val="0"/>
          <w:iCs w:val="0"/>
          <w:caps w:val="0"/>
          <w:color w:val="222222"/>
          <w:spacing w:val="0"/>
          <w:sz w:val="24"/>
          <w:szCs w:val="24"/>
          <w:shd w:val="clear" w:fill="FFFFFF"/>
        </w:rPr>
      </w:pPr>
    </w:p>
    <w:p w14:paraId="6029E2BB">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Zhang, T., Zhou, X., Liu, Z., Xu, J., Ren, M. and Hao, J. (2024). Development of Solid Waste Recycling Industry of China in the Context of Carbon Neutrality. </w:t>
      </w:r>
      <w:r>
        <w:rPr>
          <w:rFonts w:hint="default" w:ascii="Times New Roman" w:hAnsi="Times New Roman" w:cs="Times New Roman"/>
          <w:i/>
          <w:iCs/>
          <w:sz w:val="24"/>
          <w:szCs w:val="24"/>
        </w:rPr>
        <w:t>Strategic Study of CAE</w:t>
      </w:r>
      <w:r>
        <w:rPr>
          <w:rFonts w:hint="default" w:ascii="Times New Roman" w:hAnsi="Times New Roman" w:cs="Times New Roman"/>
          <w:sz w:val="24"/>
          <w:szCs w:val="24"/>
        </w:rPr>
        <w:t>, 26(1), p.80.</w:t>
      </w:r>
    </w:p>
    <w:p w14:paraId="5AD9DBD6">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Wang, L. (2022). The Undertaking and Evaluation Order of CSR from the View of Economic Ethics. </w:t>
      </w:r>
      <w:r>
        <w:rPr>
          <w:rFonts w:hint="default" w:ascii="Times New Roman" w:hAnsi="Times New Roman" w:cs="Times New Roman"/>
          <w:i/>
          <w:iCs/>
          <w:sz w:val="24"/>
          <w:szCs w:val="24"/>
        </w:rPr>
        <w:t>Studies in Ethics</w:t>
      </w:r>
      <w:r>
        <w:rPr>
          <w:rFonts w:hint="default" w:ascii="Times New Roman" w:hAnsi="Times New Roman" w:cs="Times New Roman"/>
          <w:sz w:val="24"/>
          <w:szCs w:val="24"/>
        </w:rPr>
        <w:t>, 53(3), pp.91–94.</w:t>
      </w:r>
    </w:p>
    <w:p w14:paraId="4CFF920D">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LI, J. (2012). Research on the Diversity Career Development Path for Human Resource Managers in State-Owned Enterprises Junkai LI. </w:t>
      </w:r>
      <w:r>
        <w:rPr>
          <w:rFonts w:hint="default" w:ascii="Times New Roman" w:hAnsi="Times New Roman" w:cs="Times New Roman"/>
          <w:i/>
          <w:iCs/>
          <w:sz w:val="24"/>
          <w:szCs w:val="24"/>
        </w:rPr>
        <w:t xml:space="preserve">International Conference on Engineering and Business Management </w:t>
      </w:r>
      <w:r>
        <w:rPr>
          <w:rFonts w:hint="default" w:ascii="Times New Roman" w:hAnsi="Times New Roman" w:cs="Times New Roman"/>
          <w:sz w:val="24"/>
          <w:szCs w:val="24"/>
        </w:rPr>
        <w:t>, pp.605–608.</w:t>
      </w:r>
    </w:p>
    <w:p w14:paraId="1263D492">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Wang, L. (2011). Corporate Social Responsibility in the Perspective of Economic Ethics and Its Responsibility and Rating Order. </w:t>
      </w:r>
      <w:r>
        <w:rPr>
          <w:rFonts w:hint="default" w:ascii="Times New Roman" w:hAnsi="Times New Roman" w:cs="Times New Roman"/>
          <w:i/>
          <w:iCs/>
          <w:sz w:val="24"/>
          <w:szCs w:val="24"/>
        </w:rPr>
        <w:t>Studies in Ethics</w:t>
      </w:r>
      <w:r>
        <w:rPr>
          <w:rFonts w:hint="default" w:ascii="Times New Roman" w:hAnsi="Times New Roman" w:cs="Times New Roman"/>
          <w:sz w:val="24"/>
          <w:szCs w:val="24"/>
        </w:rPr>
        <w:t>, 3(53), pp.91–94.</w:t>
      </w:r>
    </w:p>
    <w:p w14:paraId="74ECCA92">
      <w:pPr>
        <w:pStyle w:val="6"/>
        <w:keepNext w:val="0"/>
        <w:keepLines w:val="0"/>
        <w:widowControl/>
        <w:numPr>
          <w:ilvl w:val="0"/>
          <w:numId w:val="0"/>
        </w:numPr>
        <w:suppressLineNumbers w:val="0"/>
        <w:spacing w:before="0" w:beforeAutospacing="0" w:after="210" w:afterAutospacing="0" w:line="360" w:lineRule="auto"/>
        <w:ind w:right="0" w:rightChars="0"/>
        <w:rPr>
          <w:rFonts w:hint="default" w:ascii="Times New Roman" w:hAnsi="Times New Roman" w:cs="Times New Roman"/>
          <w:sz w:val="24"/>
          <w:szCs w:val="24"/>
        </w:rPr>
      </w:pPr>
      <w:r>
        <w:rPr>
          <w:rFonts w:hint="default" w:ascii="Times New Roman" w:hAnsi="Times New Roman" w:cs="Times New Roman"/>
          <w:sz w:val="24"/>
          <w:szCs w:val="24"/>
        </w:rPr>
        <w:t xml:space="preserve">Hu, Z. (2021). Thoughts on Human Resource Management of Private Enterprises in China. </w:t>
      </w:r>
      <w:r>
        <w:rPr>
          <w:rFonts w:hint="default" w:ascii="Times New Roman" w:hAnsi="Times New Roman" w:cs="Times New Roman"/>
          <w:i/>
          <w:iCs/>
          <w:sz w:val="24"/>
          <w:szCs w:val="24"/>
        </w:rPr>
        <w:t>Thoughts on Human Resource Management of Private Enterprises in China</w:t>
      </w:r>
      <w:r>
        <w:rPr>
          <w:rFonts w:hint="default" w:ascii="Times New Roman" w:hAnsi="Times New Roman" w:cs="Times New Roman"/>
          <w:sz w:val="24"/>
          <w:szCs w:val="24"/>
        </w:rPr>
        <w:t>, 166, 22 Mar., pp.596–599.</w:t>
      </w:r>
    </w:p>
    <w:p w14:paraId="76FB828C">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Shen, P., Peng, D. and Liu, M. (2024). Collaborative Governance of AI Social Responsibility in Consumer Markets: Driving Models, Mechanisms and Strategies. </w:t>
      </w:r>
      <w:r>
        <w:rPr>
          <w:rFonts w:hint="default" w:ascii="Times New Roman" w:hAnsi="Times New Roman" w:cs="Times New Roman"/>
          <w:i/>
          <w:iCs/>
          <w:sz w:val="24"/>
          <w:szCs w:val="24"/>
        </w:rPr>
        <w:t>Guizhou University of Finance and Economics</w:t>
      </w:r>
      <w:r>
        <w:rPr>
          <w:rFonts w:hint="default" w:ascii="Times New Roman" w:hAnsi="Times New Roman" w:cs="Times New Roman"/>
          <w:sz w:val="24"/>
          <w:szCs w:val="24"/>
        </w:rPr>
        <w:t>, 6(233), pp.89–99.</w:t>
      </w:r>
    </w:p>
    <w:p w14:paraId="2DCC0534">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Gao, T. and BMW Group (2024). </w:t>
      </w:r>
      <w:r>
        <w:rPr>
          <w:rFonts w:hint="default" w:ascii="Times New Roman" w:hAnsi="Times New Roman" w:cs="Times New Roman"/>
          <w:i/>
          <w:iCs/>
          <w:sz w:val="24"/>
          <w:szCs w:val="24"/>
        </w:rPr>
        <w:t>BMW’s Shenyang production base was selected as the ‘Green and Low-Carbon Public Participation Practice Base of the Year’</w:t>
      </w:r>
      <w:r>
        <w:rPr>
          <w:rFonts w:hint="default" w:ascii="Times New Roman" w:hAnsi="Times New Roman" w:cs="Times New Roman"/>
          <w:sz w:val="24"/>
          <w:szCs w:val="24"/>
        </w:rPr>
        <w:t>. [online] BMW GROUP</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news. Available at: https://www.press.bmwgroup.com/china/article/detail/T0442329ZH_CN.</w:t>
      </w:r>
    </w:p>
    <w:p w14:paraId="160DA216">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Gao, T. and BMW Group (2024). </w:t>
      </w:r>
      <w:r>
        <w:rPr>
          <w:rFonts w:hint="default" w:ascii="Times New Roman" w:hAnsi="Times New Roman" w:cs="Times New Roman"/>
          <w:i/>
          <w:iCs/>
          <w:sz w:val="24"/>
          <w:szCs w:val="24"/>
        </w:rPr>
        <w:t>AI technology helps millions of smart manufacturing. BMW Brilliance’s 6 millionth vehicle - the innovative all-electric BMW i5 rolls off the assembly line</w:t>
      </w:r>
      <w:r>
        <w:rPr>
          <w:rFonts w:hint="default" w:ascii="Times New Roman" w:hAnsi="Times New Roman" w:cs="Times New Roman"/>
          <w:sz w:val="24"/>
          <w:szCs w:val="24"/>
        </w:rPr>
        <w:t>. [online] BMW group news. Available at: https://www.press.bmwgroup.com/china/article/detail/T0442326ZH_CN.</w:t>
      </w:r>
    </w:p>
    <w:p w14:paraId="75440960">
      <w:pPr>
        <w:pStyle w:val="6"/>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p>
    <w:p w14:paraId="54BCD1F1">
      <w:pPr>
        <w:rPr>
          <w:rFonts w:hint="default" w:ascii="Times New Roman" w:hAnsi="Times New Roman" w:eastAsia="宋体" w:cs="Times New Roman"/>
          <w:bCs/>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1061AB"/>
    <w:rsid w:val="14CB202B"/>
    <w:rsid w:val="1D8611E5"/>
    <w:rsid w:val="200C50E2"/>
    <w:rsid w:val="260B45F5"/>
    <w:rsid w:val="2B8C632B"/>
    <w:rsid w:val="40453D92"/>
    <w:rsid w:val="7C0425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toc 1"/>
    <w:basedOn w:val="1"/>
    <w:next w:val="1"/>
    <w:uiPriority w:val="0"/>
  </w:style>
  <w:style w:type="paragraph" w:styleId="5">
    <w:name w:val="toc 2"/>
    <w:basedOn w:val="1"/>
    <w:next w:val="1"/>
    <w:uiPriority w:val="0"/>
    <w:pPr>
      <w:ind w:left="420" w:left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972</Words>
  <Characters>5659</Characters>
  <Lines>0</Lines>
  <Paragraphs>0</Paragraphs>
  <TotalTime>4</TotalTime>
  <ScaleCrop>false</ScaleCrop>
  <LinksUpToDate>false</LinksUpToDate>
  <CharactersWithSpaces>6626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2024-12-04T19:54:00Z</dcterms:created>
  <dc:creator>17158</dc:creator>
  <cp:lastModifiedBy>WPS_1479666331</cp:lastModifiedBy>
  <dcterms:modified xsi:type="dcterms:W3CDTF">2024-12-05T20:54:49Z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411B53CB78C14D559FEC3BFA0F93DBCB_12</vt:lpwstr>
  </property>
</Properties>
</file>