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4CF8" w14:textId="5F6D068A" w:rsidR="00674986" w:rsidRDefault="00674986" w:rsidP="00674986">
      <w:pPr>
        <w:spacing w:line="360" w:lineRule="auto"/>
        <w:jc w:val="both"/>
        <w:rPr>
          <w:rFonts w:ascii="Arial" w:hAnsi="Arial" w:cs="Arial"/>
          <w:b/>
          <w:bCs/>
          <w:sz w:val="24"/>
          <w:szCs w:val="24"/>
        </w:rPr>
      </w:pPr>
      <w:r>
        <w:rPr>
          <w:noProof/>
        </w:rPr>
        <w:drawing>
          <wp:inline distT="0" distB="0" distL="0" distR="0" wp14:anchorId="74A0C69A" wp14:editId="56F0066B">
            <wp:extent cx="3639820" cy="1816735"/>
            <wp:effectExtent l="0" t="0" r="0" b="0"/>
            <wp:docPr id="12299093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093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785EE6C2" w14:textId="77777777" w:rsidR="00674986" w:rsidRDefault="00674986" w:rsidP="00674986">
      <w:pPr>
        <w:spacing w:line="360" w:lineRule="auto"/>
        <w:jc w:val="both"/>
        <w:rPr>
          <w:rFonts w:ascii="Arial" w:hAnsi="Arial" w:cs="Arial"/>
          <w:b/>
          <w:bCs/>
          <w:sz w:val="24"/>
          <w:szCs w:val="24"/>
        </w:rPr>
      </w:pPr>
    </w:p>
    <w:p w14:paraId="038B1B6D" w14:textId="5880D409" w:rsidR="00674986" w:rsidRPr="00C7172C" w:rsidRDefault="00674986" w:rsidP="00674986">
      <w:pPr>
        <w:ind w:left="1440" w:firstLine="720"/>
        <w:rPr>
          <w:rFonts w:ascii="Times New Roman" w:hAnsi="Times New Roman" w:cs="Times New Roman"/>
          <w:sz w:val="40"/>
          <w:szCs w:val="40"/>
        </w:rPr>
      </w:pPr>
      <w:r>
        <w:rPr>
          <w:rFonts w:ascii="Times New Roman" w:hAnsi="Times New Roman" w:cs="Times New Roman"/>
          <w:sz w:val="40"/>
          <w:szCs w:val="40"/>
        </w:rPr>
        <w:t xml:space="preserve">            </w:t>
      </w:r>
      <w:r w:rsidRPr="00C7172C">
        <w:rPr>
          <w:rFonts w:ascii="Times New Roman" w:hAnsi="Times New Roman" w:cs="Times New Roman"/>
          <w:sz w:val="40"/>
          <w:szCs w:val="40"/>
        </w:rPr>
        <w:t xml:space="preserve">Assessment </w:t>
      </w:r>
      <w:r w:rsidR="009145FC">
        <w:rPr>
          <w:rFonts w:ascii="Times New Roman" w:hAnsi="Times New Roman" w:cs="Times New Roman"/>
          <w:sz w:val="40"/>
          <w:szCs w:val="40"/>
        </w:rPr>
        <w:t>2</w:t>
      </w:r>
    </w:p>
    <w:p w14:paraId="0AA7D4C8" w14:textId="77777777" w:rsidR="00674986" w:rsidRPr="00C7172C" w:rsidRDefault="00674986" w:rsidP="00674986">
      <w:pPr>
        <w:rPr>
          <w:rFonts w:ascii="Times New Roman" w:hAnsi="Times New Roman" w:cs="Times New Roman"/>
          <w:sz w:val="40"/>
          <w:szCs w:val="40"/>
        </w:rPr>
      </w:pPr>
    </w:p>
    <w:p w14:paraId="639AA843" w14:textId="77777777" w:rsidR="00674986" w:rsidRPr="006F695A" w:rsidRDefault="00674986" w:rsidP="00674986">
      <w:pPr>
        <w:rPr>
          <w:rFonts w:ascii="Times New Roman" w:hAnsi="Times New Roman" w:cs="Times New Roman"/>
          <w:sz w:val="24"/>
          <w:szCs w:val="24"/>
        </w:rPr>
      </w:pPr>
    </w:p>
    <w:p w14:paraId="3F36079A" w14:textId="77777777" w:rsidR="00674986" w:rsidRPr="00DA3455" w:rsidRDefault="00674986" w:rsidP="00674986">
      <w:pPr>
        <w:spacing w:line="360" w:lineRule="auto"/>
        <w:rPr>
          <w:rFonts w:ascii="Arial" w:hAnsi="Arial" w:cs="Arial"/>
          <w:sz w:val="24"/>
          <w:szCs w:val="24"/>
        </w:rPr>
      </w:pPr>
    </w:p>
    <w:p w14:paraId="16CE830D" w14:textId="77777777" w:rsidR="00674986" w:rsidRPr="00DA3455" w:rsidRDefault="00674986" w:rsidP="00674986">
      <w:pPr>
        <w:spacing w:line="360" w:lineRule="auto"/>
        <w:rPr>
          <w:rFonts w:ascii="Arial" w:hAnsi="Arial" w:cs="Arial"/>
          <w:sz w:val="24"/>
          <w:szCs w:val="24"/>
        </w:rPr>
      </w:pPr>
      <w:r w:rsidRPr="00DA3455">
        <w:rPr>
          <w:rFonts w:ascii="Arial" w:hAnsi="Arial" w:cs="Arial"/>
          <w:sz w:val="24"/>
          <w:szCs w:val="24"/>
        </w:rPr>
        <w:t>Name: Sorin Daniel Dascalu</w:t>
      </w:r>
    </w:p>
    <w:p w14:paraId="0B8656FA" w14:textId="77777777" w:rsidR="00674986" w:rsidRPr="00DA3455" w:rsidRDefault="00674986" w:rsidP="00674986">
      <w:pPr>
        <w:spacing w:line="360" w:lineRule="auto"/>
        <w:rPr>
          <w:rFonts w:ascii="Arial" w:hAnsi="Arial" w:cs="Arial"/>
          <w:sz w:val="24"/>
          <w:szCs w:val="24"/>
        </w:rPr>
      </w:pPr>
      <w:r w:rsidRPr="00DA3455">
        <w:rPr>
          <w:rFonts w:ascii="Arial" w:hAnsi="Arial" w:cs="Arial"/>
          <w:sz w:val="24"/>
          <w:szCs w:val="24"/>
        </w:rPr>
        <w:t>Student ID: 2237755</w:t>
      </w:r>
    </w:p>
    <w:p w14:paraId="3BC372B6" w14:textId="5879D254" w:rsidR="00674986" w:rsidRPr="00FC3C74" w:rsidRDefault="00674986" w:rsidP="00674986">
      <w:pPr>
        <w:spacing w:line="360" w:lineRule="auto"/>
        <w:rPr>
          <w:rFonts w:ascii="Arial" w:hAnsi="Arial" w:cs="Arial"/>
          <w:sz w:val="24"/>
          <w:szCs w:val="24"/>
        </w:rPr>
      </w:pPr>
      <w:r w:rsidRPr="00FC3C74">
        <w:rPr>
          <w:rFonts w:ascii="Arial" w:hAnsi="Arial" w:cs="Arial"/>
          <w:sz w:val="24"/>
          <w:szCs w:val="24"/>
        </w:rPr>
        <w:t>Module code: LCBB60</w:t>
      </w:r>
      <w:r w:rsidR="009145FC" w:rsidRPr="00FC3C74">
        <w:rPr>
          <w:rFonts w:ascii="Arial" w:hAnsi="Arial" w:cs="Arial"/>
          <w:sz w:val="24"/>
          <w:szCs w:val="24"/>
        </w:rPr>
        <w:t>22</w:t>
      </w:r>
    </w:p>
    <w:p w14:paraId="54148B4E" w14:textId="23ACD53C" w:rsidR="00674986" w:rsidRPr="009145FC" w:rsidRDefault="00674986" w:rsidP="00674986">
      <w:pPr>
        <w:spacing w:line="360" w:lineRule="auto"/>
        <w:rPr>
          <w:rFonts w:ascii="Arial" w:hAnsi="Arial" w:cs="Arial"/>
          <w:sz w:val="24"/>
          <w:szCs w:val="24"/>
        </w:rPr>
      </w:pPr>
      <w:r w:rsidRPr="009145FC">
        <w:rPr>
          <w:rFonts w:ascii="Arial" w:hAnsi="Arial" w:cs="Arial"/>
          <w:sz w:val="24"/>
          <w:szCs w:val="24"/>
        </w:rPr>
        <w:t xml:space="preserve">Module name: </w:t>
      </w:r>
      <w:r w:rsidR="009145FC" w:rsidRPr="009145FC">
        <w:rPr>
          <w:rFonts w:ascii="Arial" w:hAnsi="Arial" w:cs="Arial"/>
          <w:sz w:val="24"/>
          <w:szCs w:val="24"/>
        </w:rPr>
        <w:t>Lead</w:t>
      </w:r>
      <w:r w:rsidR="009145FC">
        <w:rPr>
          <w:rFonts w:ascii="Arial" w:hAnsi="Arial" w:cs="Arial"/>
          <w:sz w:val="24"/>
          <w:szCs w:val="24"/>
        </w:rPr>
        <w:t>ership and Management Theory and Practice</w:t>
      </w:r>
    </w:p>
    <w:p w14:paraId="33310B59" w14:textId="1B1BFC52" w:rsidR="00674986" w:rsidRPr="00DA3455" w:rsidRDefault="00674986" w:rsidP="00674986">
      <w:pPr>
        <w:spacing w:line="360" w:lineRule="auto"/>
        <w:rPr>
          <w:rFonts w:ascii="Arial" w:hAnsi="Arial" w:cs="Arial"/>
          <w:sz w:val="24"/>
          <w:szCs w:val="24"/>
        </w:rPr>
      </w:pPr>
      <w:r w:rsidRPr="00DA3455">
        <w:rPr>
          <w:rFonts w:ascii="Arial" w:hAnsi="Arial" w:cs="Arial"/>
          <w:sz w:val="24"/>
          <w:szCs w:val="24"/>
        </w:rPr>
        <w:t>Lecturer</w:t>
      </w:r>
      <w:r w:rsidR="009145FC">
        <w:rPr>
          <w:rFonts w:ascii="Arial" w:hAnsi="Arial" w:cs="Arial"/>
          <w:sz w:val="24"/>
          <w:szCs w:val="24"/>
        </w:rPr>
        <w:t xml:space="preserve">: </w:t>
      </w:r>
      <w:proofErr w:type="spellStart"/>
      <w:r w:rsidR="009145FC">
        <w:rPr>
          <w:rFonts w:ascii="Arial" w:hAnsi="Arial" w:cs="Arial"/>
          <w:sz w:val="24"/>
          <w:szCs w:val="24"/>
        </w:rPr>
        <w:t>Piyumika</w:t>
      </w:r>
      <w:proofErr w:type="spellEnd"/>
      <w:r w:rsidR="009145FC">
        <w:rPr>
          <w:rFonts w:ascii="Arial" w:hAnsi="Arial" w:cs="Arial"/>
          <w:sz w:val="24"/>
          <w:szCs w:val="24"/>
        </w:rPr>
        <w:t xml:space="preserve"> </w:t>
      </w:r>
      <w:proofErr w:type="spellStart"/>
      <w:r w:rsidR="009145FC">
        <w:rPr>
          <w:rFonts w:ascii="Arial" w:hAnsi="Arial" w:cs="Arial"/>
          <w:sz w:val="24"/>
          <w:szCs w:val="24"/>
        </w:rPr>
        <w:t>Kithulgoda</w:t>
      </w:r>
      <w:proofErr w:type="spellEnd"/>
      <w:r w:rsidR="009145FC">
        <w:rPr>
          <w:rFonts w:ascii="Arial" w:hAnsi="Arial" w:cs="Arial"/>
          <w:sz w:val="24"/>
          <w:szCs w:val="24"/>
        </w:rPr>
        <w:t xml:space="preserve"> Gamage</w:t>
      </w:r>
    </w:p>
    <w:p w14:paraId="62B158DF" w14:textId="77777777" w:rsidR="00674986" w:rsidRDefault="00674986" w:rsidP="00674986">
      <w:pPr>
        <w:spacing w:line="360" w:lineRule="auto"/>
        <w:jc w:val="both"/>
        <w:rPr>
          <w:rFonts w:ascii="Arial" w:hAnsi="Arial" w:cs="Arial"/>
          <w:b/>
          <w:bCs/>
          <w:sz w:val="24"/>
          <w:szCs w:val="24"/>
        </w:rPr>
      </w:pPr>
    </w:p>
    <w:p w14:paraId="325E2206" w14:textId="77777777" w:rsidR="00674986" w:rsidRDefault="00674986" w:rsidP="00674986">
      <w:pPr>
        <w:spacing w:line="360" w:lineRule="auto"/>
        <w:jc w:val="both"/>
        <w:rPr>
          <w:rFonts w:ascii="Arial" w:hAnsi="Arial" w:cs="Arial"/>
          <w:b/>
          <w:bCs/>
          <w:sz w:val="24"/>
          <w:szCs w:val="24"/>
        </w:rPr>
      </w:pPr>
    </w:p>
    <w:p w14:paraId="5E50745F" w14:textId="77777777" w:rsidR="00674986" w:rsidRDefault="00674986" w:rsidP="00674986">
      <w:pPr>
        <w:spacing w:line="360" w:lineRule="auto"/>
        <w:jc w:val="both"/>
        <w:rPr>
          <w:rFonts w:ascii="Arial" w:hAnsi="Arial" w:cs="Arial"/>
          <w:b/>
          <w:bCs/>
          <w:sz w:val="24"/>
          <w:szCs w:val="24"/>
        </w:rPr>
      </w:pPr>
    </w:p>
    <w:p w14:paraId="7B6E390C" w14:textId="77777777" w:rsidR="00674986" w:rsidRDefault="00674986" w:rsidP="00674986">
      <w:pPr>
        <w:spacing w:line="360" w:lineRule="auto"/>
        <w:jc w:val="both"/>
        <w:rPr>
          <w:rFonts w:ascii="Arial" w:hAnsi="Arial" w:cs="Arial"/>
          <w:b/>
          <w:bCs/>
          <w:sz w:val="24"/>
          <w:szCs w:val="24"/>
        </w:rPr>
      </w:pPr>
    </w:p>
    <w:p w14:paraId="7452ED12" w14:textId="77777777" w:rsidR="00674986" w:rsidRDefault="00674986" w:rsidP="00674986">
      <w:pPr>
        <w:spacing w:line="360" w:lineRule="auto"/>
        <w:jc w:val="both"/>
        <w:rPr>
          <w:rFonts w:ascii="Arial" w:hAnsi="Arial" w:cs="Arial"/>
          <w:b/>
          <w:bCs/>
          <w:sz w:val="24"/>
          <w:szCs w:val="24"/>
        </w:rPr>
      </w:pPr>
    </w:p>
    <w:p w14:paraId="24D6EFC7" w14:textId="77777777" w:rsidR="00674986" w:rsidRDefault="00674986" w:rsidP="00674986">
      <w:pPr>
        <w:spacing w:line="360" w:lineRule="auto"/>
        <w:jc w:val="both"/>
        <w:rPr>
          <w:rFonts w:ascii="Arial" w:hAnsi="Arial" w:cs="Arial"/>
          <w:b/>
          <w:bCs/>
          <w:sz w:val="24"/>
          <w:szCs w:val="24"/>
        </w:rPr>
      </w:pPr>
    </w:p>
    <w:p w14:paraId="35C5ECC8" w14:textId="77777777" w:rsidR="00674986" w:rsidRDefault="00674986" w:rsidP="00674986">
      <w:pPr>
        <w:spacing w:line="360" w:lineRule="auto"/>
        <w:jc w:val="both"/>
        <w:rPr>
          <w:rFonts w:ascii="Arial" w:hAnsi="Arial" w:cs="Arial"/>
          <w:b/>
          <w:bCs/>
          <w:sz w:val="24"/>
          <w:szCs w:val="24"/>
        </w:rPr>
      </w:pPr>
    </w:p>
    <w:p w14:paraId="402ED34D" w14:textId="77777777" w:rsidR="00674986" w:rsidRDefault="00674986" w:rsidP="00674986">
      <w:pPr>
        <w:spacing w:line="360" w:lineRule="auto"/>
        <w:jc w:val="both"/>
        <w:rPr>
          <w:rFonts w:ascii="Arial" w:hAnsi="Arial" w:cs="Arial"/>
          <w:b/>
          <w:bCs/>
          <w:sz w:val="24"/>
          <w:szCs w:val="24"/>
        </w:rPr>
      </w:pPr>
    </w:p>
    <w:p w14:paraId="67B58881" w14:textId="77777777" w:rsidR="00674986" w:rsidRDefault="00674986" w:rsidP="00674986">
      <w:pPr>
        <w:spacing w:line="360" w:lineRule="auto"/>
        <w:jc w:val="both"/>
        <w:rPr>
          <w:rFonts w:ascii="Arial" w:hAnsi="Arial" w:cs="Arial"/>
          <w:b/>
          <w:bCs/>
          <w:sz w:val="24"/>
          <w:szCs w:val="24"/>
        </w:rPr>
      </w:pPr>
    </w:p>
    <w:sdt>
      <w:sdtPr>
        <w:id w:val="1463260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E290EBD" w14:textId="08A3861A" w:rsidR="00FC3C74" w:rsidRDefault="00FC3C74">
          <w:pPr>
            <w:pStyle w:val="TOCHeading"/>
          </w:pPr>
          <w:r>
            <w:t>Contents</w:t>
          </w:r>
        </w:p>
        <w:p w14:paraId="40AF7323" w14:textId="1A77E5F7" w:rsidR="00FC3C74" w:rsidRDefault="00FC3C74">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109275" w:history="1">
            <w:r w:rsidRPr="005506E5">
              <w:rPr>
                <w:rStyle w:val="Hyperlink"/>
                <w:noProof/>
              </w:rPr>
              <w:t>1.</w:t>
            </w:r>
            <w:r>
              <w:rPr>
                <w:rFonts w:eastAsiaTheme="minorEastAsia"/>
                <w:noProof/>
                <w:sz w:val="24"/>
                <w:szCs w:val="24"/>
                <w:lang w:eastAsia="en-GB"/>
              </w:rPr>
              <w:tab/>
            </w:r>
            <w:r w:rsidRPr="005506E5">
              <w:rPr>
                <w:rStyle w:val="Hyperlink"/>
                <w:noProof/>
              </w:rPr>
              <w:t>Introduction</w:t>
            </w:r>
            <w:r>
              <w:rPr>
                <w:noProof/>
                <w:webHidden/>
              </w:rPr>
              <w:tab/>
            </w:r>
            <w:r>
              <w:rPr>
                <w:noProof/>
                <w:webHidden/>
              </w:rPr>
              <w:fldChar w:fldCharType="begin"/>
            </w:r>
            <w:r>
              <w:rPr>
                <w:noProof/>
                <w:webHidden/>
              </w:rPr>
              <w:instrText xml:space="preserve"> PAGEREF _Toc237109275 \h </w:instrText>
            </w:r>
            <w:r>
              <w:rPr>
                <w:noProof/>
                <w:webHidden/>
              </w:rPr>
            </w:r>
            <w:r>
              <w:rPr>
                <w:noProof/>
                <w:webHidden/>
              </w:rPr>
              <w:fldChar w:fldCharType="separate"/>
            </w:r>
            <w:r w:rsidR="00D03A12">
              <w:rPr>
                <w:noProof/>
                <w:webHidden/>
              </w:rPr>
              <w:t>3</w:t>
            </w:r>
            <w:r>
              <w:rPr>
                <w:noProof/>
                <w:webHidden/>
              </w:rPr>
              <w:fldChar w:fldCharType="end"/>
            </w:r>
          </w:hyperlink>
        </w:p>
        <w:p w14:paraId="25E0D118" w14:textId="08649E2F" w:rsidR="00FC3C74" w:rsidRDefault="00FC3C74">
          <w:pPr>
            <w:pStyle w:val="TOC1"/>
            <w:tabs>
              <w:tab w:val="left" w:pos="480"/>
              <w:tab w:val="right" w:leader="dot" w:pos="9016"/>
            </w:tabs>
            <w:rPr>
              <w:rFonts w:eastAsiaTheme="minorEastAsia"/>
              <w:noProof/>
              <w:sz w:val="24"/>
              <w:szCs w:val="24"/>
              <w:lang w:eastAsia="en-GB"/>
            </w:rPr>
          </w:pPr>
          <w:hyperlink w:anchor="_Toc237109276" w:history="1">
            <w:r w:rsidRPr="005506E5">
              <w:rPr>
                <w:rStyle w:val="Hyperlink"/>
                <w:noProof/>
              </w:rPr>
              <w:t>2.</w:t>
            </w:r>
            <w:r>
              <w:rPr>
                <w:rFonts w:eastAsiaTheme="minorEastAsia"/>
                <w:noProof/>
                <w:sz w:val="24"/>
                <w:szCs w:val="24"/>
                <w:lang w:eastAsia="en-GB"/>
              </w:rPr>
              <w:tab/>
            </w:r>
            <w:r w:rsidRPr="005506E5">
              <w:rPr>
                <w:rStyle w:val="Hyperlink"/>
                <w:noProof/>
              </w:rPr>
              <w:t>Managerial Functions</w:t>
            </w:r>
            <w:r>
              <w:rPr>
                <w:noProof/>
                <w:webHidden/>
              </w:rPr>
              <w:tab/>
            </w:r>
            <w:r>
              <w:rPr>
                <w:noProof/>
                <w:webHidden/>
              </w:rPr>
              <w:fldChar w:fldCharType="begin"/>
            </w:r>
            <w:r>
              <w:rPr>
                <w:noProof/>
                <w:webHidden/>
              </w:rPr>
              <w:instrText xml:space="preserve"> PAGEREF _Toc237109276 \h </w:instrText>
            </w:r>
            <w:r>
              <w:rPr>
                <w:noProof/>
                <w:webHidden/>
              </w:rPr>
            </w:r>
            <w:r>
              <w:rPr>
                <w:noProof/>
                <w:webHidden/>
              </w:rPr>
              <w:fldChar w:fldCharType="separate"/>
            </w:r>
            <w:r w:rsidR="00D03A12">
              <w:rPr>
                <w:noProof/>
                <w:webHidden/>
              </w:rPr>
              <w:t>3</w:t>
            </w:r>
            <w:r>
              <w:rPr>
                <w:noProof/>
                <w:webHidden/>
              </w:rPr>
              <w:fldChar w:fldCharType="end"/>
            </w:r>
          </w:hyperlink>
        </w:p>
        <w:p w14:paraId="3CC25538" w14:textId="201F92CB" w:rsidR="00FC3C74" w:rsidRDefault="00FC3C74">
          <w:pPr>
            <w:pStyle w:val="TOC1"/>
            <w:tabs>
              <w:tab w:val="left" w:pos="480"/>
              <w:tab w:val="right" w:leader="dot" w:pos="9016"/>
            </w:tabs>
            <w:rPr>
              <w:rFonts w:eastAsiaTheme="minorEastAsia"/>
              <w:noProof/>
              <w:sz w:val="24"/>
              <w:szCs w:val="24"/>
              <w:lang w:eastAsia="en-GB"/>
            </w:rPr>
          </w:pPr>
          <w:hyperlink w:anchor="_Toc237109277" w:history="1">
            <w:r w:rsidRPr="005506E5">
              <w:rPr>
                <w:rStyle w:val="Hyperlink"/>
                <w:noProof/>
              </w:rPr>
              <w:t>3.</w:t>
            </w:r>
            <w:r>
              <w:rPr>
                <w:rFonts w:eastAsiaTheme="minorEastAsia"/>
                <w:noProof/>
                <w:sz w:val="24"/>
                <w:szCs w:val="24"/>
                <w:lang w:eastAsia="en-GB"/>
              </w:rPr>
              <w:tab/>
            </w:r>
            <w:r w:rsidRPr="005506E5">
              <w:rPr>
                <w:rStyle w:val="Hyperlink"/>
                <w:noProof/>
              </w:rPr>
              <w:t xml:space="preserve">Why Controlling is Essential </w:t>
            </w:r>
            <w:r w:rsidRPr="00D03A12">
              <w:rPr>
                <w:rStyle w:val="Hyperlink"/>
                <w:rFonts w:ascii="Arial" w:hAnsi="Arial" w:cs="Arial"/>
                <w:noProof/>
                <w:sz w:val="24"/>
                <w:szCs w:val="24"/>
              </w:rPr>
              <w:t>in</w:t>
            </w:r>
            <w:r w:rsidRPr="005506E5">
              <w:rPr>
                <w:rStyle w:val="Hyperlink"/>
                <w:noProof/>
              </w:rPr>
              <w:t xml:space="preserve"> Organisations</w:t>
            </w:r>
            <w:r>
              <w:rPr>
                <w:noProof/>
                <w:webHidden/>
              </w:rPr>
              <w:tab/>
            </w:r>
            <w:r>
              <w:rPr>
                <w:noProof/>
                <w:webHidden/>
              </w:rPr>
              <w:fldChar w:fldCharType="begin"/>
            </w:r>
            <w:r>
              <w:rPr>
                <w:noProof/>
                <w:webHidden/>
              </w:rPr>
              <w:instrText xml:space="preserve"> PAGEREF _Toc237109277 \h </w:instrText>
            </w:r>
            <w:r>
              <w:rPr>
                <w:noProof/>
                <w:webHidden/>
              </w:rPr>
            </w:r>
            <w:r>
              <w:rPr>
                <w:noProof/>
                <w:webHidden/>
              </w:rPr>
              <w:fldChar w:fldCharType="separate"/>
            </w:r>
            <w:r w:rsidR="00D03A12">
              <w:rPr>
                <w:noProof/>
                <w:webHidden/>
              </w:rPr>
              <w:t>4</w:t>
            </w:r>
            <w:r>
              <w:rPr>
                <w:noProof/>
                <w:webHidden/>
              </w:rPr>
              <w:fldChar w:fldCharType="end"/>
            </w:r>
          </w:hyperlink>
        </w:p>
        <w:p w14:paraId="064C1479" w14:textId="5AEF47B3" w:rsidR="00FC3C74" w:rsidRDefault="00FC3C74">
          <w:pPr>
            <w:pStyle w:val="TOC1"/>
            <w:tabs>
              <w:tab w:val="left" w:pos="480"/>
              <w:tab w:val="right" w:leader="dot" w:pos="9016"/>
            </w:tabs>
            <w:rPr>
              <w:rFonts w:eastAsiaTheme="minorEastAsia"/>
              <w:noProof/>
              <w:sz w:val="24"/>
              <w:szCs w:val="24"/>
              <w:lang w:eastAsia="en-GB"/>
            </w:rPr>
          </w:pPr>
          <w:hyperlink w:anchor="_Toc237109278" w:history="1">
            <w:r w:rsidRPr="005506E5">
              <w:rPr>
                <w:rStyle w:val="Hyperlink"/>
                <w:noProof/>
              </w:rPr>
              <w:t>4.</w:t>
            </w:r>
            <w:r>
              <w:rPr>
                <w:rFonts w:eastAsiaTheme="minorEastAsia"/>
                <w:noProof/>
                <w:sz w:val="24"/>
                <w:szCs w:val="24"/>
                <w:lang w:eastAsia="en-GB"/>
              </w:rPr>
              <w:tab/>
            </w:r>
            <w:r w:rsidRPr="005506E5">
              <w:rPr>
                <w:rStyle w:val="Hyperlink"/>
                <w:noProof/>
              </w:rPr>
              <w:t>Challenges Associated with Controlling</w:t>
            </w:r>
            <w:r>
              <w:rPr>
                <w:noProof/>
                <w:webHidden/>
              </w:rPr>
              <w:tab/>
            </w:r>
            <w:r>
              <w:rPr>
                <w:noProof/>
                <w:webHidden/>
              </w:rPr>
              <w:fldChar w:fldCharType="begin"/>
            </w:r>
            <w:r>
              <w:rPr>
                <w:noProof/>
                <w:webHidden/>
              </w:rPr>
              <w:instrText xml:space="preserve"> PAGEREF _Toc237109278 \h </w:instrText>
            </w:r>
            <w:r>
              <w:rPr>
                <w:noProof/>
                <w:webHidden/>
              </w:rPr>
            </w:r>
            <w:r>
              <w:rPr>
                <w:noProof/>
                <w:webHidden/>
              </w:rPr>
              <w:fldChar w:fldCharType="separate"/>
            </w:r>
            <w:r w:rsidR="00D03A12">
              <w:rPr>
                <w:noProof/>
                <w:webHidden/>
              </w:rPr>
              <w:t>6</w:t>
            </w:r>
            <w:r>
              <w:rPr>
                <w:noProof/>
                <w:webHidden/>
              </w:rPr>
              <w:fldChar w:fldCharType="end"/>
            </w:r>
          </w:hyperlink>
        </w:p>
        <w:p w14:paraId="2FBA123E" w14:textId="62DC4C25" w:rsidR="00FC3C74" w:rsidRDefault="00FC3C74">
          <w:pPr>
            <w:pStyle w:val="TOC1"/>
            <w:tabs>
              <w:tab w:val="left" w:pos="480"/>
              <w:tab w:val="right" w:leader="dot" w:pos="9016"/>
            </w:tabs>
            <w:rPr>
              <w:rFonts w:eastAsiaTheme="minorEastAsia"/>
              <w:noProof/>
              <w:sz w:val="24"/>
              <w:szCs w:val="24"/>
              <w:lang w:eastAsia="en-GB"/>
            </w:rPr>
          </w:pPr>
          <w:hyperlink w:anchor="_Toc237109279" w:history="1">
            <w:r w:rsidRPr="005506E5">
              <w:rPr>
                <w:rStyle w:val="Hyperlink"/>
                <w:noProof/>
              </w:rPr>
              <w:t>5.</w:t>
            </w:r>
            <w:r>
              <w:rPr>
                <w:rFonts w:eastAsiaTheme="minorEastAsia"/>
                <w:noProof/>
                <w:sz w:val="24"/>
                <w:szCs w:val="24"/>
                <w:lang w:eastAsia="en-GB"/>
              </w:rPr>
              <w:tab/>
            </w:r>
            <w:r w:rsidRPr="005506E5">
              <w:rPr>
                <w:rStyle w:val="Hyperlink"/>
                <w:noProof/>
              </w:rPr>
              <w:t>How Managers Can Mitigate the Challenges</w:t>
            </w:r>
            <w:r>
              <w:rPr>
                <w:noProof/>
                <w:webHidden/>
              </w:rPr>
              <w:tab/>
            </w:r>
            <w:r>
              <w:rPr>
                <w:noProof/>
                <w:webHidden/>
              </w:rPr>
              <w:fldChar w:fldCharType="begin"/>
            </w:r>
            <w:r>
              <w:rPr>
                <w:noProof/>
                <w:webHidden/>
              </w:rPr>
              <w:instrText xml:space="preserve"> PAGEREF _Toc237109279 \h </w:instrText>
            </w:r>
            <w:r>
              <w:rPr>
                <w:noProof/>
                <w:webHidden/>
              </w:rPr>
            </w:r>
            <w:r>
              <w:rPr>
                <w:noProof/>
                <w:webHidden/>
              </w:rPr>
              <w:fldChar w:fldCharType="separate"/>
            </w:r>
            <w:r w:rsidR="00D03A12">
              <w:rPr>
                <w:noProof/>
                <w:webHidden/>
              </w:rPr>
              <w:t>7</w:t>
            </w:r>
            <w:r>
              <w:rPr>
                <w:noProof/>
                <w:webHidden/>
              </w:rPr>
              <w:fldChar w:fldCharType="end"/>
            </w:r>
          </w:hyperlink>
        </w:p>
        <w:p w14:paraId="105A956A" w14:textId="26D18B0C" w:rsidR="00FC3C74" w:rsidRDefault="00FC3C74">
          <w:pPr>
            <w:pStyle w:val="TOC1"/>
            <w:tabs>
              <w:tab w:val="left" w:pos="480"/>
              <w:tab w:val="right" w:leader="dot" w:pos="9016"/>
            </w:tabs>
            <w:rPr>
              <w:rFonts w:eastAsiaTheme="minorEastAsia"/>
              <w:noProof/>
              <w:sz w:val="24"/>
              <w:szCs w:val="24"/>
              <w:lang w:eastAsia="en-GB"/>
            </w:rPr>
          </w:pPr>
          <w:hyperlink w:anchor="_Toc237109280" w:history="1">
            <w:r w:rsidRPr="005506E5">
              <w:rPr>
                <w:rStyle w:val="Hyperlink"/>
                <w:noProof/>
              </w:rPr>
              <w:t>6.</w:t>
            </w:r>
            <w:r>
              <w:rPr>
                <w:rFonts w:eastAsiaTheme="minorEastAsia"/>
                <w:noProof/>
                <w:sz w:val="24"/>
                <w:szCs w:val="24"/>
                <w:lang w:eastAsia="en-GB"/>
              </w:rPr>
              <w:tab/>
            </w:r>
            <w:r w:rsidRPr="005506E5">
              <w:rPr>
                <w:rStyle w:val="Hyperlink"/>
                <w:noProof/>
              </w:rPr>
              <w:t>Conclusion</w:t>
            </w:r>
            <w:r>
              <w:rPr>
                <w:noProof/>
                <w:webHidden/>
              </w:rPr>
              <w:tab/>
            </w:r>
            <w:r>
              <w:rPr>
                <w:noProof/>
                <w:webHidden/>
              </w:rPr>
              <w:fldChar w:fldCharType="begin"/>
            </w:r>
            <w:r>
              <w:rPr>
                <w:noProof/>
                <w:webHidden/>
              </w:rPr>
              <w:instrText xml:space="preserve"> PAGEREF _Toc237109280 \h </w:instrText>
            </w:r>
            <w:r>
              <w:rPr>
                <w:noProof/>
                <w:webHidden/>
              </w:rPr>
            </w:r>
            <w:r>
              <w:rPr>
                <w:noProof/>
                <w:webHidden/>
              </w:rPr>
              <w:fldChar w:fldCharType="separate"/>
            </w:r>
            <w:r w:rsidR="00D03A12">
              <w:rPr>
                <w:noProof/>
                <w:webHidden/>
              </w:rPr>
              <w:t>8</w:t>
            </w:r>
            <w:r>
              <w:rPr>
                <w:noProof/>
                <w:webHidden/>
              </w:rPr>
              <w:fldChar w:fldCharType="end"/>
            </w:r>
          </w:hyperlink>
        </w:p>
        <w:p w14:paraId="7E22C285" w14:textId="7EF669C8" w:rsidR="00FC3C74" w:rsidRDefault="00FC3C74">
          <w:pPr>
            <w:pStyle w:val="TOC1"/>
            <w:tabs>
              <w:tab w:val="left" w:pos="480"/>
              <w:tab w:val="right" w:leader="dot" w:pos="9016"/>
            </w:tabs>
            <w:rPr>
              <w:rFonts w:eastAsiaTheme="minorEastAsia"/>
              <w:noProof/>
              <w:sz w:val="24"/>
              <w:szCs w:val="24"/>
              <w:lang w:eastAsia="en-GB"/>
            </w:rPr>
          </w:pPr>
          <w:hyperlink w:anchor="_Toc237109281" w:history="1">
            <w:r w:rsidRPr="005506E5">
              <w:rPr>
                <w:rStyle w:val="Hyperlink"/>
                <w:noProof/>
              </w:rPr>
              <w:t>7.</w:t>
            </w:r>
            <w:r>
              <w:rPr>
                <w:rFonts w:eastAsiaTheme="minorEastAsia"/>
                <w:noProof/>
                <w:sz w:val="24"/>
                <w:szCs w:val="24"/>
                <w:lang w:eastAsia="en-GB"/>
              </w:rPr>
              <w:tab/>
            </w:r>
            <w:r w:rsidRPr="005506E5">
              <w:rPr>
                <w:rStyle w:val="Hyperlink"/>
                <w:noProof/>
              </w:rPr>
              <w:t>References</w:t>
            </w:r>
            <w:r>
              <w:rPr>
                <w:noProof/>
                <w:webHidden/>
              </w:rPr>
              <w:tab/>
            </w:r>
            <w:r>
              <w:rPr>
                <w:noProof/>
                <w:webHidden/>
              </w:rPr>
              <w:fldChar w:fldCharType="begin"/>
            </w:r>
            <w:r>
              <w:rPr>
                <w:noProof/>
                <w:webHidden/>
              </w:rPr>
              <w:instrText xml:space="preserve"> PAGEREF _Toc237109281 \h </w:instrText>
            </w:r>
            <w:r>
              <w:rPr>
                <w:noProof/>
                <w:webHidden/>
              </w:rPr>
            </w:r>
            <w:r>
              <w:rPr>
                <w:noProof/>
                <w:webHidden/>
              </w:rPr>
              <w:fldChar w:fldCharType="separate"/>
            </w:r>
            <w:r w:rsidR="00D03A12">
              <w:rPr>
                <w:noProof/>
                <w:webHidden/>
              </w:rPr>
              <w:t>10</w:t>
            </w:r>
            <w:r>
              <w:rPr>
                <w:noProof/>
                <w:webHidden/>
              </w:rPr>
              <w:fldChar w:fldCharType="end"/>
            </w:r>
          </w:hyperlink>
        </w:p>
        <w:p w14:paraId="48274725" w14:textId="168D5F4E" w:rsidR="00FC3C74" w:rsidRDefault="00FC3C74">
          <w:r>
            <w:rPr>
              <w:b/>
              <w:bCs/>
              <w:noProof/>
            </w:rPr>
            <w:fldChar w:fldCharType="end"/>
          </w:r>
        </w:p>
      </w:sdtContent>
    </w:sdt>
    <w:p w14:paraId="00D31DC0" w14:textId="77777777" w:rsidR="00FC3C74" w:rsidRDefault="00FC3C74" w:rsidP="00FC3C74">
      <w:pPr>
        <w:pStyle w:val="Heading1"/>
      </w:pPr>
    </w:p>
    <w:p w14:paraId="7FD8FD51" w14:textId="77777777" w:rsidR="00FC3C74" w:rsidRDefault="00FC3C74" w:rsidP="00FC3C74"/>
    <w:p w14:paraId="05CB6C60" w14:textId="77777777" w:rsidR="00FC3C74" w:rsidRDefault="00FC3C74" w:rsidP="00FC3C74"/>
    <w:p w14:paraId="39C09F43" w14:textId="77777777" w:rsidR="00FC3C74" w:rsidRDefault="00FC3C74" w:rsidP="00FC3C74"/>
    <w:p w14:paraId="4C6ACB9D" w14:textId="77777777" w:rsidR="00FC3C74" w:rsidRDefault="00FC3C74" w:rsidP="00FC3C74"/>
    <w:p w14:paraId="41660ED7" w14:textId="77777777" w:rsidR="00FC3C74" w:rsidRDefault="00FC3C74" w:rsidP="00FC3C74"/>
    <w:p w14:paraId="4DA3F82B" w14:textId="77777777" w:rsidR="00FC3C74" w:rsidRDefault="00FC3C74" w:rsidP="00FC3C74"/>
    <w:p w14:paraId="1079D3DD" w14:textId="77777777" w:rsidR="00FC3C74" w:rsidRDefault="00FC3C74" w:rsidP="00FC3C74"/>
    <w:p w14:paraId="2774AC60" w14:textId="77777777" w:rsidR="00FC3C74" w:rsidRDefault="00FC3C74" w:rsidP="00FC3C74"/>
    <w:p w14:paraId="3E6B1668" w14:textId="77777777" w:rsidR="00FC3C74" w:rsidRDefault="00FC3C74" w:rsidP="00FC3C74"/>
    <w:p w14:paraId="48F683D2" w14:textId="77777777" w:rsidR="00FC3C74" w:rsidRDefault="00FC3C74" w:rsidP="00FC3C74"/>
    <w:p w14:paraId="50843549" w14:textId="77777777" w:rsidR="00FC3C74" w:rsidRDefault="00FC3C74" w:rsidP="00FC3C74"/>
    <w:p w14:paraId="1D1F71A5" w14:textId="77777777" w:rsidR="00FC3C74" w:rsidRDefault="00FC3C74" w:rsidP="00FC3C74"/>
    <w:p w14:paraId="23CFB891" w14:textId="77777777" w:rsidR="00FC3C74" w:rsidRDefault="00FC3C74" w:rsidP="00FC3C74"/>
    <w:p w14:paraId="41FDFFF0" w14:textId="77777777" w:rsidR="00FC3C74" w:rsidRDefault="00FC3C74" w:rsidP="00FC3C74"/>
    <w:p w14:paraId="330BD085" w14:textId="77777777" w:rsidR="00FC3C74" w:rsidRDefault="00FC3C74" w:rsidP="00FC3C74"/>
    <w:p w14:paraId="08ADB234" w14:textId="77777777" w:rsidR="00FC3C74" w:rsidRDefault="00FC3C74" w:rsidP="00FC3C74"/>
    <w:p w14:paraId="7D81B111" w14:textId="77777777" w:rsidR="00FC3C74" w:rsidRDefault="00FC3C74" w:rsidP="00FC3C74"/>
    <w:p w14:paraId="116F8420" w14:textId="77777777" w:rsidR="00FC3C74" w:rsidRPr="00FC3C74" w:rsidRDefault="00FC3C74" w:rsidP="00FC3C74"/>
    <w:p w14:paraId="4BBC9C97" w14:textId="29569C1B" w:rsidR="00674986" w:rsidRPr="00674986" w:rsidRDefault="00674986" w:rsidP="00FC3C74">
      <w:pPr>
        <w:pStyle w:val="Heading1"/>
        <w:numPr>
          <w:ilvl w:val="0"/>
          <w:numId w:val="1"/>
        </w:numPr>
      </w:pPr>
      <w:bookmarkStart w:id="0" w:name="_Toc237109275"/>
      <w:r w:rsidRPr="00674986">
        <w:lastRenderedPageBreak/>
        <w:t>Introduction</w:t>
      </w:r>
      <w:bookmarkEnd w:id="0"/>
    </w:p>
    <w:p w14:paraId="1DD01C48"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Management involves coordinating people and resources to achieve organisational objectives. Coordinating people and resources effectively and efficiently is essential for achieving organisational objectives. effectively and efficiently. One of the most common ways of understanding managerial work is through the four functions of planning, organising, leading and controlling. These functions remain important in contemporary organisations, where managers operate in environments shaped by technological change, increasing stakeholder expectations, uncertainty and pressure to demonstrate measurable results.</w:t>
      </w:r>
    </w:p>
    <w:p w14:paraId="53D9BE50"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Controlling is sometimes understood simply as supervising employees. However, its role is broader than that of a supervisor. It involves setting standards, monitoring actual performance, comparing outcomes with expectations and taking corrective action when necessary. It is therefore closely linked to planning, since managers cannot assess performance unless objectives have first been established. At the same time, control is not automatically positive. Systems that are too rigid, too focused on numerical targets or poorly suited to the organisation may reduce autonomy, create resistance and encourage undesirable behaviour. This essay argues that controlling is essential because it supports strategic alignment, accountability, risk management, quality and organisational learning. However, its effectiveness depends on how managers design and apply control systems. Effective control therefore requires a balance between formal accountability, employee participation, leadership and managerial judgement.</w:t>
      </w:r>
    </w:p>
    <w:p w14:paraId="6366D9D4" w14:textId="079E8F18" w:rsidR="00674986" w:rsidRPr="00674986" w:rsidRDefault="00674986" w:rsidP="00FC3C74">
      <w:pPr>
        <w:pStyle w:val="Heading1"/>
        <w:numPr>
          <w:ilvl w:val="0"/>
          <w:numId w:val="1"/>
        </w:numPr>
      </w:pPr>
      <w:bookmarkStart w:id="1" w:name="_Toc237109276"/>
      <w:r w:rsidRPr="00674986">
        <w:t>Managerial Functions</w:t>
      </w:r>
      <w:bookmarkEnd w:id="1"/>
    </w:p>
    <w:p w14:paraId="7BBF80E4"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The four managerial functions are interconnected. Planning establishes what the organisation wants to achieve and how it intends to do so. Organising involves allocating people, responsibilities and resources, while leading focuses on motivating and directing employees. Controlling then allows managers to assess whether actual performance is consistent with the organisation’s plans. In this sense, control creates a feedback loop, as information about performance can influence future planning and managerial decisions. Otley (1999) similarly identifies objectives, strategies, targets, incentives and feedback as key elements of management control.</w:t>
      </w:r>
    </w:p>
    <w:p w14:paraId="7CC093B9"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lastRenderedPageBreak/>
        <w:t>However, these four functions should not be viewed as a fixed sequence that managers follow every day. Mintzberg (1973) argued that managerial work often involves fragmentation, reactivity, and a heavy reliance on interpersonal interaction. This is important because performance information rarely explains itself. For example, failing to meet a target may result from poor employee performance, unrealistic expectations, changing market conditions, or inadequate resources. For example, poor employee performance, unrealistic expectations, changing market conditions, or inadequate resources may cause a failure to meet a target. Such failures can be caused by poor employee performance, unrealistic expectations, changing market conditions, or inadequate resources. Managers therefore need judgement when interpreting control information. As a result, combining control with leadership and communication yields the most effective results. with leadership and communication. Too much emphasis on control can create a compliance culture, while leadership without control may lack accountability. The four functions are therefore most useful when understood as complementary parts of management rather than separate activities.</w:t>
      </w:r>
    </w:p>
    <w:p w14:paraId="02F02BCD" w14:textId="335BAF49" w:rsidR="00674986" w:rsidRPr="00674986" w:rsidRDefault="00674986" w:rsidP="00FC3C74">
      <w:pPr>
        <w:pStyle w:val="Heading1"/>
        <w:numPr>
          <w:ilvl w:val="0"/>
          <w:numId w:val="1"/>
        </w:numPr>
      </w:pPr>
      <w:bookmarkStart w:id="2" w:name="_Toc237109277"/>
      <w:r w:rsidRPr="00674986">
        <w:t>Why Controlling is Essential in Organisations</w:t>
      </w:r>
      <w:bookmarkEnd w:id="2"/>
    </w:p>
    <w:p w14:paraId="52CD1A3C"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One of the main reasons controlling is essential is that it links organisational plans to actual performance. Otley (1999) argues that management control requires organisations to clarify objectives, establish targets, and use feedback to assess whether they are achieving the expected results. Without this process, managers may continue using resources inefficiently or fail to identify problems until they become more serious. Evidence from the public sector also shows that this principle applies beyond commercial businesses. Felício, </w:t>
      </w:r>
      <w:proofErr w:type="spellStart"/>
      <w:r w:rsidRPr="00674986">
        <w:rPr>
          <w:rFonts w:ascii="Arial" w:hAnsi="Arial" w:cs="Arial"/>
          <w:sz w:val="24"/>
          <w:szCs w:val="24"/>
        </w:rPr>
        <w:t>Samagaio</w:t>
      </w:r>
      <w:proofErr w:type="spellEnd"/>
      <w:r w:rsidRPr="00674986">
        <w:rPr>
          <w:rFonts w:ascii="Arial" w:hAnsi="Arial" w:cs="Arial"/>
          <w:sz w:val="24"/>
          <w:szCs w:val="24"/>
        </w:rPr>
        <w:t xml:space="preserve"> and Rodrigues (2021) found that combinations of management control practices were associated with the achievement of objectives in public-sector organisations. This suggests that although private firms and public organisations define success differently, both need systems that allow managers to compare intended and actual outcomes.</w:t>
      </w:r>
    </w:p>
    <w:p w14:paraId="21744392"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Control also plays an important role in risk management and governance. Rana, Wickramasinghe, and Bracci (2019) contend that the amalgamation of risk management and management control can enhance decision-making and accountability in public organisations. The collapse of Carillion provides a clear </w:t>
      </w:r>
      <w:r w:rsidRPr="00674986">
        <w:rPr>
          <w:rFonts w:ascii="Arial" w:hAnsi="Arial" w:cs="Arial"/>
          <w:sz w:val="24"/>
          <w:szCs w:val="24"/>
        </w:rPr>
        <w:lastRenderedPageBreak/>
        <w:t>example of what can happen when formal control mechanisms fail to provide meaningful challenge. A joint UK parliamentary investigation found serious weaknesses in accountability, professionalism and board oversight, while internal and external checks failed to prevent the company’s deterioration (House of Commons, 2018). This indicates that control is not limited to operational monitoring. It also provides a way to question assumptions, assess risks and challenge managerial decisions before problems become unmanageable. However, Carillion also demonstrates that simply having formal control structures is not enough; managers and boards must be willing to use them critically.</w:t>
      </w:r>
    </w:p>
    <w:p w14:paraId="0451055E"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Controlling can also support innovation and organisational learning, although the outcome depends on how the control system is used. Control can also foster innovation and organisational learning, but the outcome hinges on the effective use of control systems. Bedford (2015), drawing on evidence from 400 firms, found that different combinations of diagnostic and interactive controls were linked to better performance under different forms of innovation. Similarly, </w:t>
      </w:r>
      <w:proofErr w:type="spellStart"/>
      <w:r w:rsidRPr="00674986">
        <w:rPr>
          <w:rFonts w:ascii="Arial" w:hAnsi="Arial" w:cs="Arial"/>
          <w:sz w:val="24"/>
          <w:szCs w:val="24"/>
        </w:rPr>
        <w:t>Wijethilake</w:t>
      </w:r>
      <w:proofErr w:type="spellEnd"/>
      <w:r w:rsidRPr="00674986">
        <w:rPr>
          <w:rFonts w:ascii="Arial" w:hAnsi="Arial" w:cs="Arial"/>
          <w:sz w:val="24"/>
          <w:szCs w:val="24"/>
        </w:rPr>
        <w:t xml:space="preserve">, Munir and </w:t>
      </w:r>
      <w:proofErr w:type="spellStart"/>
      <w:r w:rsidRPr="00674986">
        <w:rPr>
          <w:rFonts w:ascii="Arial" w:hAnsi="Arial" w:cs="Arial"/>
          <w:sz w:val="24"/>
          <w:szCs w:val="24"/>
        </w:rPr>
        <w:t>Appuhami</w:t>
      </w:r>
      <w:proofErr w:type="spellEnd"/>
      <w:r w:rsidRPr="00674986">
        <w:rPr>
          <w:rFonts w:ascii="Arial" w:hAnsi="Arial" w:cs="Arial"/>
          <w:sz w:val="24"/>
          <w:szCs w:val="24"/>
        </w:rPr>
        <w:t xml:space="preserve"> (2018) found that enabling uses of management control supported the relationship between environmental innovation strategy and organisational performance. These results go against the idea that stricter control always leads to better results. Instead, control appears to be most valuable when it fits the organisation’s strategy and supports learning rather than simply enforcing compliance. Otley’s (2016) contingency perspective supports this view by arguing that there is no single control system that works equally well in every organisational setting.</w:t>
      </w:r>
    </w:p>
    <w:p w14:paraId="3347AC02"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The importance of control The diverse range of organisations across different sectors further illustrates the importance of control. The diverse range of organisations points to the importance of control across various sectors. Taylor and Baines (2012), for example, found that the Balanced Scorecard could support strategy monitoring and evaluation in UK universities, although implementation and motivation remained challenges. In the private sector, Toyota exemplifies the use of control in conjunction with continuous improvement and active employee involvement. Sohal, Samson and Ramsay (1994) identified standardisation, quality control, training and employee participation as important parts of Toyota Motor Corporation Australia’s quality approach. These examples show that effective control does not simply mean increasing supervision. Its value comes from making performance visible, identifying </w:t>
      </w:r>
      <w:r w:rsidRPr="00674986">
        <w:rPr>
          <w:rFonts w:ascii="Arial" w:hAnsi="Arial" w:cs="Arial"/>
          <w:sz w:val="24"/>
          <w:szCs w:val="24"/>
        </w:rPr>
        <w:lastRenderedPageBreak/>
        <w:t>problems and supporting improvement. The need for control is therefore common across organisations, even though the type of control required varies according to its purpose and context.</w:t>
      </w:r>
    </w:p>
    <w:p w14:paraId="5F9E9FCB" w14:textId="71E28294" w:rsidR="00674986" w:rsidRPr="00674986" w:rsidRDefault="00674986" w:rsidP="00FC3C74">
      <w:pPr>
        <w:pStyle w:val="Heading1"/>
        <w:numPr>
          <w:ilvl w:val="0"/>
          <w:numId w:val="1"/>
        </w:numPr>
      </w:pPr>
      <w:bookmarkStart w:id="3" w:name="_Toc237109278"/>
      <w:r w:rsidRPr="00674986">
        <w:t>Challenges Associated with Controlling</w:t>
      </w:r>
      <w:bookmarkEnd w:id="3"/>
    </w:p>
    <w:p w14:paraId="63650B21"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Despite its importance, control can also create problems. One major challenge is that performance measures may encourage employees to focus on the indicators rather than on the actual organisational objectives. </w:t>
      </w:r>
      <w:proofErr w:type="spellStart"/>
      <w:r w:rsidRPr="00674986">
        <w:rPr>
          <w:rFonts w:ascii="Arial" w:hAnsi="Arial" w:cs="Arial"/>
          <w:sz w:val="24"/>
          <w:szCs w:val="24"/>
        </w:rPr>
        <w:t>Siverbo</w:t>
      </w:r>
      <w:proofErr w:type="spellEnd"/>
      <w:r w:rsidRPr="00674986">
        <w:rPr>
          <w:rFonts w:ascii="Arial" w:hAnsi="Arial" w:cs="Arial"/>
          <w:sz w:val="24"/>
          <w:szCs w:val="24"/>
        </w:rPr>
        <w:t xml:space="preserve">, </w:t>
      </w:r>
      <w:proofErr w:type="spellStart"/>
      <w:r w:rsidRPr="00674986">
        <w:rPr>
          <w:rFonts w:ascii="Arial" w:hAnsi="Arial" w:cs="Arial"/>
          <w:sz w:val="24"/>
          <w:szCs w:val="24"/>
        </w:rPr>
        <w:t>Cäker</w:t>
      </w:r>
      <w:proofErr w:type="spellEnd"/>
      <w:r w:rsidRPr="00674986">
        <w:rPr>
          <w:rFonts w:ascii="Arial" w:hAnsi="Arial" w:cs="Arial"/>
          <w:sz w:val="24"/>
          <w:szCs w:val="24"/>
        </w:rPr>
        <w:t xml:space="preserve"> and Åkesson (2019) explain how dysfunctional effects can arise from the interaction between the design of performance measures, the way managers use them and the wider organisational context. Shang, Wang and Zu (2023) also found that difficult performance targets were associated with dysfunctional employee behaviour. This indicates that control systems influence behaviour as well as measure it. Targets can improve focus, but when they are too narrow or unrealistic, they may encourage employees to manipulate results, hide problems or focus only on short-term outcomes.</w:t>
      </w:r>
    </w:p>
    <w:p w14:paraId="3668EFC5"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The Wells Fargo sales-practices scandal is a strong example of this problem. US regulators found that sales targets and incentive systems encouraged employees to open unauthorised customer accounts in order to meet performance expectations (CFPB, 2016). On paper, such practices could make sales performance appear successful, even though the behaviour was damaging to customers and the organisation’s reputation. The case demonstrates how employees may pursue the measured target while ignoring the real purpose behind it. It also highlights the connection between controlling and leadership. If managers communicate that achieving a number matters more than how that number is achieved, control can reinforce unethical behaviour rather than prevent it.</w:t>
      </w:r>
    </w:p>
    <w:p w14:paraId="72C318ED"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Another difficulty is that organisational performance cannot always be captured through a small number of numerical indicators. Chang (2007), examining the NHS, found that political and organisational factors could reduce the usefulness of formal performance measures. Taylor and Baines (2012) also identified implementation and motivational difficulties in UK universities. Outcomes such as service quality, employee development, professional judgement and long-term capability are important, but they are often harder to quantify. This creates the risk that managers concentrate on what </w:t>
      </w:r>
      <w:r w:rsidRPr="00674986">
        <w:rPr>
          <w:rFonts w:ascii="Arial" w:hAnsi="Arial" w:cs="Arial"/>
          <w:sz w:val="24"/>
          <w:szCs w:val="24"/>
        </w:rPr>
        <w:lastRenderedPageBreak/>
        <w:t>is easy to measure rather than what is genuinely important. As a result, even apparently objective control systems still depend on managerial judgement because somebody must decide which measures should be used and how results should be interpreted.</w:t>
      </w:r>
    </w:p>
    <w:p w14:paraId="41A03D6D"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A further challenge is finding the right balance between accountability and employee autonomy. Ahrens and Chapman (2004) distinguish between coercive controls, which emphasise compliance and centralisation, and enabling controls, which help employees respond to operational problems. Excessively rigid control may therefore discourage initiative and flexibility, particularly where employees rely on professional knowledge or creativity. On the other hand, complete autonomy is not realistic because organisations still need standards, accountability, safety and compliance. The real issue is therefore not whether control or autonomy is better, but how much of each is appropriate in a particular situation. This reinforces Otley’s (2016) argument that effective control depends heavily on the organisational context.</w:t>
      </w:r>
    </w:p>
    <w:p w14:paraId="3B6145DB" w14:textId="5496F5A3" w:rsidR="00674986" w:rsidRPr="00674986" w:rsidRDefault="00674986" w:rsidP="00FC3C74">
      <w:pPr>
        <w:pStyle w:val="Heading1"/>
        <w:numPr>
          <w:ilvl w:val="0"/>
          <w:numId w:val="1"/>
        </w:numPr>
      </w:pPr>
      <w:bookmarkStart w:id="4" w:name="_Toc237109279"/>
      <w:r w:rsidRPr="00674986">
        <w:t>How Managers Can Mitigate the Challenges</w:t>
      </w:r>
      <w:bookmarkEnd w:id="4"/>
    </w:p>
    <w:p w14:paraId="1DC1B26F"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Managers can reduce these problems by designing control systems that employees experience as supportive rather than purely restrictive. Van der </w:t>
      </w:r>
      <w:proofErr w:type="spellStart"/>
      <w:r w:rsidRPr="00674986">
        <w:rPr>
          <w:rFonts w:ascii="Arial" w:hAnsi="Arial" w:cs="Arial"/>
          <w:sz w:val="24"/>
          <w:szCs w:val="24"/>
        </w:rPr>
        <w:t>Hauwaert</w:t>
      </w:r>
      <w:proofErr w:type="spellEnd"/>
      <w:r w:rsidRPr="00674986">
        <w:rPr>
          <w:rFonts w:ascii="Arial" w:hAnsi="Arial" w:cs="Arial"/>
          <w:sz w:val="24"/>
          <w:szCs w:val="24"/>
        </w:rPr>
        <w:t xml:space="preserve"> et al. (2022) found that enabling performance measurement could support autonomous motivation and managerial performance by satisfying psychological needs such as autonomy and competence. </w:t>
      </w:r>
      <w:proofErr w:type="spellStart"/>
      <w:r w:rsidRPr="00674986">
        <w:rPr>
          <w:rFonts w:ascii="Arial" w:hAnsi="Arial" w:cs="Arial"/>
          <w:sz w:val="24"/>
          <w:szCs w:val="24"/>
        </w:rPr>
        <w:t>Cäker</w:t>
      </w:r>
      <w:proofErr w:type="spellEnd"/>
      <w:r w:rsidRPr="00674986">
        <w:rPr>
          <w:rFonts w:ascii="Arial" w:hAnsi="Arial" w:cs="Arial"/>
          <w:sz w:val="24"/>
          <w:szCs w:val="24"/>
        </w:rPr>
        <w:t xml:space="preserve">, </w:t>
      </w:r>
      <w:proofErr w:type="spellStart"/>
      <w:r w:rsidRPr="00674986">
        <w:rPr>
          <w:rFonts w:ascii="Arial" w:hAnsi="Arial" w:cs="Arial"/>
          <w:sz w:val="24"/>
          <w:szCs w:val="24"/>
        </w:rPr>
        <w:t>Siverbo</w:t>
      </w:r>
      <w:proofErr w:type="spellEnd"/>
      <w:r w:rsidRPr="00674986">
        <w:rPr>
          <w:rFonts w:ascii="Arial" w:hAnsi="Arial" w:cs="Arial"/>
          <w:sz w:val="24"/>
          <w:szCs w:val="24"/>
        </w:rPr>
        <w:t xml:space="preserve"> and Åkesson (2022) similarly found that performance measurement can support accountability while still being experienced as enabling when managers use the information appropriately. This suggests that the problem is not necessarily measurement itself, but how managers use it. Performance data should therefore support coaching, learning and problem-solving rather than being used only to judge or punish employees.</w:t>
      </w:r>
    </w:p>
    <w:p w14:paraId="2AE717EE"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Control systems can become more effective with employee involvement. Wouters and </w:t>
      </w:r>
      <w:proofErr w:type="spellStart"/>
      <w:r w:rsidRPr="00674986">
        <w:rPr>
          <w:rFonts w:ascii="Arial" w:hAnsi="Arial" w:cs="Arial"/>
          <w:sz w:val="24"/>
          <w:szCs w:val="24"/>
        </w:rPr>
        <w:t>Wilderom</w:t>
      </w:r>
      <w:proofErr w:type="spellEnd"/>
      <w:r w:rsidRPr="00674986">
        <w:rPr>
          <w:rFonts w:ascii="Arial" w:hAnsi="Arial" w:cs="Arial"/>
          <w:sz w:val="24"/>
          <w:szCs w:val="24"/>
        </w:rPr>
        <w:t xml:space="preserve"> (2008) found that performance measurement systems were more likely to be viewed as enabling when their development included employee experience and experimentation. Janka (2021) likewise identifies flexibility, transparency and the ability to repair or adjust controls as important characteristics of enabling systems. In practical terms, managers can involve employees in setting or reviewing performance </w:t>
      </w:r>
      <w:r w:rsidRPr="00674986">
        <w:rPr>
          <w:rFonts w:ascii="Arial" w:hAnsi="Arial" w:cs="Arial"/>
          <w:sz w:val="24"/>
          <w:szCs w:val="24"/>
        </w:rPr>
        <w:lastRenderedPageBreak/>
        <w:t>measures, explain why controls are being used and allow employees to challenge indicators that no longer reflect operational reality. This is consistent with Simons’ (1995) distinction between diagnostic controls, which track performance against targets, and interactive controls, which encourage discussion and learning. Employee participation does not remove managerial control; instead, it can improve the quality and credibility of that control.</w:t>
      </w:r>
    </w:p>
    <w:p w14:paraId="7E8DC380"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Managers should also pay close attention to how targets and incentives are designed. Targets need to be challenging enough to provide direction but realistic enough that employees do not feel pressured to manipulate results. They should also be reviewed when circumstances change. Ethical leadership is particularly important because employees need to understand that achieving targets does not justify behaviour that conflicts with organisational values. However, such a conclusion does not mean that all restrictive control should be removed. Beuren and Santos (2019) found that enabling and coercive controls can coexist and that coercive control was not always harmful to organisational resilience. This means that tighter control may be appropriate in areas involving safety, regulation or high financial risk, whereas greater discretion may be more suitable in work that depends on innovation and professional judgement.</w:t>
      </w:r>
    </w:p>
    <w:p w14:paraId="1F91EEA0"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Finally, managers should avoid relying too heavily on financial or purely quantitative measures. The Balanced Scorecard offers one approach by combining financial and non-financial indicators, and </w:t>
      </w:r>
      <w:proofErr w:type="spellStart"/>
      <w:r w:rsidRPr="00674986">
        <w:rPr>
          <w:rFonts w:ascii="Arial" w:hAnsi="Arial" w:cs="Arial"/>
          <w:sz w:val="24"/>
          <w:szCs w:val="24"/>
        </w:rPr>
        <w:t>Ratnaningrum</w:t>
      </w:r>
      <w:proofErr w:type="spellEnd"/>
      <w:r w:rsidRPr="00674986">
        <w:rPr>
          <w:rFonts w:ascii="Arial" w:hAnsi="Arial" w:cs="Arial"/>
          <w:sz w:val="24"/>
          <w:szCs w:val="24"/>
        </w:rPr>
        <w:t>, Aryani and Setiawan (2020) show that it has been applied across a variety of organisational contexts. However, Chang (2007) demonstrates that imposing balanced performance systems without sufficient consideration of context can lead to bureaucratic or symbolic outcomes. without sufficient consideration of context. Therefore, simply introducing another management tool will not solve the problem. Managers need to use a range of measures, regularly review their effects and combine formal data with professional judgement and discussion. The most effective control system is, therefore, not necessarily the most complex one but the one that remains relevant, proportionate and adaptable.</w:t>
      </w:r>
    </w:p>
    <w:p w14:paraId="3C7C43F8" w14:textId="7825F10D" w:rsidR="00674986" w:rsidRPr="00674986" w:rsidRDefault="00674986" w:rsidP="00FC3C74">
      <w:pPr>
        <w:pStyle w:val="Heading1"/>
        <w:numPr>
          <w:ilvl w:val="0"/>
          <w:numId w:val="1"/>
        </w:numPr>
      </w:pPr>
      <w:bookmarkStart w:id="5" w:name="_Toc237109280"/>
      <w:r w:rsidRPr="00674986">
        <w:t>Conclusion</w:t>
      </w:r>
      <w:bookmarkEnd w:id="5"/>
    </w:p>
    <w:p w14:paraId="064864C1" w14:textId="77777777" w:rsidR="00674986" w:rsidRPr="00674986" w:rsidRDefault="00674986" w:rsidP="00674986">
      <w:pPr>
        <w:spacing w:line="360" w:lineRule="auto"/>
        <w:jc w:val="both"/>
        <w:rPr>
          <w:rFonts w:ascii="Arial" w:hAnsi="Arial" w:cs="Arial"/>
          <w:sz w:val="24"/>
          <w:szCs w:val="24"/>
        </w:rPr>
      </w:pPr>
      <w:r w:rsidRPr="00674986">
        <w:rPr>
          <w:rFonts w:ascii="Arial" w:hAnsi="Arial" w:cs="Arial"/>
          <w:sz w:val="24"/>
          <w:szCs w:val="24"/>
        </w:rPr>
        <w:t xml:space="preserve">Controlling is essential because organisations need to know whether plans are being achieved, resources are being used effectively and risks are being managed </w:t>
      </w:r>
      <w:r w:rsidRPr="00674986">
        <w:rPr>
          <w:rFonts w:ascii="Arial" w:hAnsi="Arial" w:cs="Arial"/>
          <w:sz w:val="24"/>
          <w:szCs w:val="24"/>
        </w:rPr>
        <w:lastRenderedPageBreak/>
        <w:t>appropriately. Evidence from private, public and educational organisations shows that well-designed control systems can support strategic alignment, accountability, learning, quality and performance. However, control can also create problems when targets are too narrow, systems are overly restrictive or managers focus on numerical results without considering behaviour and context. Wells Fargo demonstrates how performance pressure can encourage damaging behaviour, while Carillion shows that formal checks are ineffective when genuine challenges are absent.</w:t>
      </w:r>
    </w:p>
    <w:p w14:paraId="224DE38E" w14:textId="77777777" w:rsidR="00674986" w:rsidRDefault="00674986" w:rsidP="00674986">
      <w:pPr>
        <w:spacing w:line="360" w:lineRule="auto"/>
        <w:jc w:val="both"/>
        <w:rPr>
          <w:rFonts w:ascii="Arial" w:hAnsi="Arial" w:cs="Arial"/>
          <w:sz w:val="24"/>
          <w:szCs w:val="24"/>
        </w:rPr>
      </w:pPr>
      <w:r w:rsidRPr="00674986">
        <w:rPr>
          <w:rFonts w:ascii="Arial" w:hAnsi="Arial" w:cs="Arial"/>
          <w:sz w:val="24"/>
          <w:szCs w:val="24"/>
        </w:rPr>
        <w:t>The main issue for managers is not how to maximise control, but how to design controls that suit the organisation and the situation. Enabling systems, employee participation, transparent communication, ethical leadership and balanced performance measures can help maintain accountability without unnecessarily reducing autonomy or flexibility. Ultimately, controlling is most effective when it operates as a process of feedback and learning rather than simple supervision. Managers must therefore balance accountability with trust, standardisation with flexibility and clear direction with appropriate employee discretion.</w:t>
      </w:r>
    </w:p>
    <w:p w14:paraId="0A04D1CA" w14:textId="77777777" w:rsidR="00FC3C74" w:rsidRDefault="00FC3C74" w:rsidP="00674986">
      <w:pPr>
        <w:spacing w:line="360" w:lineRule="auto"/>
        <w:jc w:val="both"/>
        <w:rPr>
          <w:rFonts w:ascii="Arial" w:hAnsi="Arial" w:cs="Arial"/>
          <w:sz w:val="24"/>
          <w:szCs w:val="24"/>
        </w:rPr>
      </w:pPr>
    </w:p>
    <w:p w14:paraId="38BFB74A" w14:textId="77777777" w:rsidR="00FC3C74" w:rsidRDefault="00FC3C74" w:rsidP="00674986">
      <w:pPr>
        <w:spacing w:line="360" w:lineRule="auto"/>
        <w:jc w:val="both"/>
        <w:rPr>
          <w:rFonts w:ascii="Arial" w:hAnsi="Arial" w:cs="Arial"/>
          <w:sz w:val="24"/>
          <w:szCs w:val="24"/>
        </w:rPr>
      </w:pPr>
    </w:p>
    <w:p w14:paraId="202E0020" w14:textId="77777777" w:rsidR="00FC3C74" w:rsidRDefault="00FC3C74" w:rsidP="00674986">
      <w:pPr>
        <w:spacing w:line="360" w:lineRule="auto"/>
        <w:jc w:val="both"/>
        <w:rPr>
          <w:rFonts w:ascii="Arial" w:hAnsi="Arial" w:cs="Arial"/>
          <w:sz w:val="24"/>
          <w:szCs w:val="24"/>
        </w:rPr>
      </w:pPr>
    </w:p>
    <w:p w14:paraId="460FFB56" w14:textId="77777777" w:rsidR="00FC3C74" w:rsidRDefault="00FC3C74" w:rsidP="00674986">
      <w:pPr>
        <w:spacing w:line="360" w:lineRule="auto"/>
        <w:jc w:val="both"/>
        <w:rPr>
          <w:rFonts w:ascii="Arial" w:hAnsi="Arial" w:cs="Arial"/>
          <w:sz w:val="24"/>
          <w:szCs w:val="24"/>
        </w:rPr>
      </w:pPr>
    </w:p>
    <w:p w14:paraId="5BBF975D" w14:textId="77777777" w:rsidR="00FC3C74" w:rsidRDefault="00FC3C74" w:rsidP="00674986">
      <w:pPr>
        <w:spacing w:line="360" w:lineRule="auto"/>
        <w:jc w:val="both"/>
        <w:rPr>
          <w:rFonts w:ascii="Arial" w:hAnsi="Arial" w:cs="Arial"/>
          <w:sz w:val="24"/>
          <w:szCs w:val="24"/>
        </w:rPr>
      </w:pPr>
    </w:p>
    <w:p w14:paraId="1727AB8D" w14:textId="77777777" w:rsidR="00FC3C74" w:rsidRDefault="00FC3C74" w:rsidP="00674986">
      <w:pPr>
        <w:spacing w:line="360" w:lineRule="auto"/>
        <w:jc w:val="both"/>
        <w:rPr>
          <w:rFonts w:ascii="Arial" w:hAnsi="Arial" w:cs="Arial"/>
          <w:sz w:val="24"/>
          <w:szCs w:val="24"/>
        </w:rPr>
      </w:pPr>
    </w:p>
    <w:p w14:paraId="0BB204A5" w14:textId="77777777" w:rsidR="00FC3C74" w:rsidRDefault="00FC3C74" w:rsidP="00674986">
      <w:pPr>
        <w:spacing w:line="360" w:lineRule="auto"/>
        <w:jc w:val="both"/>
        <w:rPr>
          <w:rFonts w:ascii="Arial" w:hAnsi="Arial" w:cs="Arial"/>
          <w:sz w:val="24"/>
          <w:szCs w:val="24"/>
        </w:rPr>
      </w:pPr>
    </w:p>
    <w:p w14:paraId="20C17355" w14:textId="77777777" w:rsidR="00FC3C74" w:rsidRDefault="00FC3C74" w:rsidP="00674986">
      <w:pPr>
        <w:spacing w:line="360" w:lineRule="auto"/>
        <w:jc w:val="both"/>
        <w:rPr>
          <w:rFonts w:ascii="Arial" w:hAnsi="Arial" w:cs="Arial"/>
          <w:sz w:val="24"/>
          <w:szCs w:val="24"/>
        </w:rPr>
      </w:pPr>
    </w:p>
    <w:p w14:paraId="15FDF378" w14:textId="77777777" w:rsidR="00FC3C74" w:rsidRDefault="00FC3C74" w:rsidP="00674986">
      <w:pPr>
        <w:spacing w:line="360" w:lineRule="auto"/>
        <w:jc w:val="both"/>
        <w:rPr>
          <w:rFonts w:ascii="Arial" w:hAnsi="Arial" w:cs="Arial"/>
          <w:sz w:val="24"/>
          <w:szCs w:val="24"/>
        </w:rPr>
      </w:pPr>
    </w:p>
    <w:p w14:paraId="109266DF" w14:textId="77777777" w:rsidR="00FC3C74" w:rsidRDefault="00FC3C74" w:rsidP="00674986">
      <w:pPr>
        <w:spacing w:line="360" w:lineRule="auto"/>
        <w:jc w:val="both"/>
        <w:rPr>
          <w:rFonts w:ascii="Arial" w:hAnsi="Arial" w:cs="Arial"/>
          <w:sz w:val="24"/>
          <w:szCs w:val="24"/>
        </w:rPr>
      </w:pPr>
    </w:p>
    <w:p w14:paraId="282A8E4F" w14:textId="77777777" w:rsidR="00FC3C74" w:rsidRDefault="00FC3C74" w:rsidP="00674986">
      <w:pPr>
        <w:spacing w:line="360" w:lineRule="auto"/>
        <w:jc w:val="both"/>
        <w:rPr>
          <w:rFonts w:ascii="Arial" w:hAnsi="Arial" w:cs="Arial"/>
          <w:sz w:val="24"/>
          <w:szCs w:val="24"/>
        </w:rPr>
      </w:pPr>
    </w:p>
    <w:p w14:paraId="02EEF404" w14:textId="77777777" w:rsidR="00FC3C74" w:rsidRDefault="00FC3C74" w:rsidP="00674986">
      <w:pPr>
        <w:spacing w:line="360" w:lineRule="auto"/>
        <w:jc w:val="both"/>
        <w:rPr>
          <w:rFonts w:ascii="Arial" w:hAnsi="Arial" w:cs="Arial"/>
          <w:sz w:val="24"/>
          <w:szCs w:val="24"/>
        </w:rPr>
      </w:pPr>
    </w:p>
    <w:p w14:paraId="70DF45B1" w14:textId="19220AA7" w:rsidR="00FC3C74" w:rsidRPr="00FC3C74" w:rsidRDefault="00FC3C74" w:rsidP="00FC3C74">
      <w:pPr>
        <w:pStyle w:val="Heading1"/>
        <w:numPr>
          <w:ilvl w:val="0"/>
          <w:numId w:val="1"/>
        </w:numPr>
      </w:pPr>
      <w:bookmarkStart w:id="6" w:name="_Toc237109281"/>
      <w:r w:rsidRPr="00FC3C74">
        <w:lastRenderedPageBreak/>
        <w:t>References</w:t>
      </w:r>
      <w:bookmarkEnd w:id="6"/>
    </w:p>
    <w:p w14:paraId="408190AF"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Ahrens, T. and Chapman, C.S. (2004) ‘Accounting for flexibility and efficiency: A field study of management control systems in a restaurant chain’, </w:t>
      </w:r>
      <w:r w:rsidRPr="00FC3C74">
        <w:rPr>
          <w:rFonts w:ascii="Arial" w:hAnsi="Arial" w:cs="Arial"/>
          <w:i/>
          <w:iCs/>
          <w:sz w:val="24"/>
          <w:szCs w:val="24"/>
        </w:rPr>
        <w:t>Contemporary Accounting Research</w:t>
      </w:r>
      <w:r w:rsidRPr="00FC3C74">
        <w:rPr>
          <w:rFonts w:ascii="Arial" w:hAnsi="Arial" w:cs="Arial"/>
          <w:sz w:val="24"/>
          <w:szCs w:val="24"/>
        </w:rPr>
        <w:t xml:space="preserve">, 21(2), pp. 271–301. </w:t>
      </w:r>
      <w:proofErr w:type="spellStart"/>
      <w:r w:rsidRPr="00FC3C74">
        <w:rPr>
          <w:rFonts w:ascii="Arial" w:hAnsi="Arial" w:cs="Arial"/>
          <w:sz w:val="24"/>
          <w:szCs w:val="24"/>
        </w:rPr>
        <w:t>doi</w:t>
      </w:r>
      <w:proofErr w:type="spellEnd"/>
      <w:r w:rsidRPr="00FC3C74">
        <w:rPr>
          <w:rFonts w:ascii="Arial" w:hAnsi="Arial" w:cs="Arial"/>
          <w:sz w:val="24"/>
          <w:szCs w:val="24"/>
        </w:rPr>
        <w:t>: 10.1506/VJR6-RP75-7GUX-XH0X.</w:t>
      </w:r>
    </w:p>
    <w:p w14:paraId="45986D4E"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Bedford, D.S. (2015) ‘Management control systems across different modes of innovation: Implications for firm performance’, </w:t>
      </w:r>
      <w:r w:rsidRPr="00FC3C74">
        <w:rPr>
          <w:rFonts w:ascii="Arial" w:hAnsi="Arial" w:cs="Arial"/>
          <w:i/>
          <w:iCs/>
          <w:sz w:val="24"/>
          <w:szCs w:val="24"/>
        </w:rPr>
        <w:t>Management Accounting Research</w:t>
      </w:r>
      <w:r w:rsidRPr="00FC3C74">
        <w:rPr>
          <w:rFonts w:ascii="Arial" w:hAnsi="Arial" w:cs="Arial"/>
          <w:sz w:val="24"/>
          <w:szCs w:val="24"/>
        </w:rPr>
        <w:t xml:space="preserve">, 28, pp. 12–30. </w:t>
      </w:r>
      <w:proofErr w:type="spellStart"/>
      <w:r w:rsidRPr="00FC3C74">
        <w:rPr>
          <w:rFonts w:ascii="Arial" w:hAnsi="Arial" w:cs="Arial"/>
          <w:sz w:val="24"/>
          <w:szCs w:val="24"/>
        </w:rPr>
        <w:t>doi</w:t>
      </w:r>
      <w:proofErr w:type="spellEnd"/>
      <w:r w:rsidRPr="00FC3C74">
        <w:rPr>
          <w:rFonts w:ascii="Arial" w:hAnsi="Arial" w:cs="Arial"/>
          <w:sz w:val="24"/>
          <w:szCs w:val="24"/>
        </w:rPr>
        <w:t>: 10.1016/j.mar.2015.04.003.</w:t>
      </w:r>
    </w:p>
    <w:p w14:paraId="03A61A1D"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Beuren, I.M. and Santos, V. dos (2019) ‘Enabling and coercive management control systems and organizational resilience’, </w:t>
      </w:r>
      <w:r w:rsidRPr="00FC3C74">
        <w:rPr>
          <w:rFonts w:ascii="Arial" w:hAnsi="Arial" w:cs="Arial"/>
          <w:i/>
          <w:iCs/>
          <w:sz w:val="24"/>
          <w:szCs w:val="24"/>
        </w:rPr>
        <w:t xml:space="preserve">Revista </w:t>
      </w:r>
      <w:proofErr w:type="spellStart"/>
      <w:r w:rsidRPr="00FC3C74">
        <w:rPr>
          <w:rFonts w:ascii="Arial" w:hAnsi="Arial" w:cs="Arial"/>
          <w:i/>
          <w:iCs/>
          <w:sz w:val="24"/>
          <w:szCs w:val="24"/>
        </w:rPr>
        <w:t>Contabilidade</w:t>
      </w:r>
      <w:proofErr w:type="spellEnd"/>
      <w:r w:rsidRPr="00FC3C74">
        <w:rPr>
          <w:rFonts w:ascii="Arial" w:hAnsi="Arial" w:cs="Arial"/>
          <w:i/>
          <w:iCs/>
          <w:sz w:val="24"/>
          <w:szCs w:val="24"/>
        </w:rPr>
        <w:t xml:space="preserve"> &amp; </w:t>
      </w:r>
      <w:proofErr w:type="spellStart"/>
      <w:r w:rsidRPr="00FC3C74">
        <w:rPr>
          <w:rFonts w:ascii="Arial" w:hAnsi="Arial" w:cs="Arial"/>
          <w:i/>
          <w:iCs/>
          <w:sz w:val="24"/>
          <w:szCs w:val="24"/>
        </w:rPr>
        <w:t>Finanças</w:t>
      </w:r>
      <w:proofErr w:type="spellEnd"/>
      <w:r w:rsidRPr="00FC3C74">
        <w:rPr>
          <w:rFonts w:ascii="Arial" w:hAnsi="Arial" w:cs="Arial"/>
          <w:sz w:val="24"/>
          <w:szCs w:val="24"/>
        </w:rPr>
        <w:t xml:space="preserve">, 30(81), pp. 307–323. </w:t>
      </w:r>
      <w:proofErr w:type="spellStart"/>
      <w:r w:rsidRPr="00FC3C74">
        <w:rPr>
          <w:rFonts w:ascii="Arial" w:hAnsi="Arial" w:cs="Arial"/>
          <w:sz w:val="24"/>
          <w:szCs w:val="24"/>
        </w:rPr>
        <w:t>doi</w:t>
      </w:r>
      <w:proofErr w:type="spellEnd"/>
      <w:r w:rsidRPr="00FC3C74">
        <w:rPr>
          <w:rFonts w:ascii="Arial" w:hAnsi="Arial" w:cs="Arial"/>
          <w:sz w:val="24"/>
          <w:szCs w:val="24"/>
        </w:rPr>
        <w:t>: 10.1590/1808-057x201908210.</w:t>
      </w:r>
    </w:p>
    <w:p w14:paraId="164476AC" w14:textId="77777777" w:rsidR="00FC3C74" w:rsidRPr="00FC3C74" w:rsidRDefault="00FC3C74" w:rsidP="00FC3C74">
      <w:pPr>
        <w:spacing w:line="360" w:lineRule="auto"/>
        <w:jc w:val="both"/>
        <w:rPr>
          <w:rFonts w:ascii="Arial" w:hAnsi="Arial" w:cs="Arial"/>
          <w:sz w:val="24"/>
          <w:szCs w:val="24"/>
        </w:rPr>
      </w:pPr>
      <w:proofErr w:type="spellStart"/>
      <w:r w:rsidRPr="00FC3C74">
        <w:rPr>
          <w:rFonts w:ascii="Arial" w:hAnsi="Arial" w:cs="Arial"/>
          <w:sz w:val="24"/>
          <w:szCs w:val="24"/>
        </w:rPr>
        <w:t>Cäker</w:t>
      </w:r>
      <w:proofErr w:type="spellEnd"/>
      <w:r w:rsidRPr="00FC3C74">
        <w:rPr>
          <w:rFonts w:ascii="Arial" w:hAnsi="Arial" w:cs="Arial"/>
          <w:sz w:val="24"/>
          <w:szCs w:val="24"/>
        </w:rPr>
        <w:t xml:space="preserve">, M., </w:t>
      </w:r>
      <w:proofErr w:type="spellStart"/>
      <w:r w:rsidRPr="00FC3C74">
        <w:rPr>
          <w:rFonts w:ascii="Arial" w:hAnsi="Arial" w:cs="Arial"/>
          <w:sz w:val="24"/>
          <w:szCs w:val="24"/>
        </w:rPr>
        <w:t>Siverbo</w:t>
      </w:r>
      <w:proofErr w:type="spellEnd"/>
      <w:r w:rsidRPr="00FC3C74">
        <w:rPr>
          <w:rFonts w:ascii="Arial" w:hAnsi="Arial" w:cs="Arial"/>
          <w:sz w:val="24"/>
          <w:szCs w:val="24"/>
        </w:rPr>
        <w:t xml:space="preserve">, S. and Åkesson, J. (2022) ‘Performance measurement systems, hierarchical accountability and enabling control’, </w:t>
      </w:r>
      <w:r w:rsidRPr="00FC3C74">
        <w:rPr>
          <w:rFonts w:ascii="Arial" w:hAnsi="Arial" w:cs="Arial"/>
          <w:i/>
          <w:iCs/>
          <w:sz w:val="24"/>
          <w:szCs w:val="24"/>
        </w:rPr>
        <w:t>Accounting and Business Research</w:t>
      </w:r>
      <w:r w:rsidRPr="00FC3C74">
        <w:rPr>
          <w:rFonts w:ascii="Arial" w:hAnsi="Arial" w:cs="Arial"/>
          <w:sz w:val="24"/>
          <w:szCs w:val="24"/>
        </w:rPr>
        <w:t xml:space="preserve">, 52(7), pp. 865–889. </w:t>
      </w:r>
      <w:proofErr w:type="spellStart"/>
      <w:r w:rsidRPr="00FC3C74">
        <w:rPr>
          <w:rFonts w:ascii="Arial" w:hAnsi="Arial" w:cs="Arial"/>
          <w:sz w:val="24"/>
          <w:szCs w:val="24"/>
        </w:rPr>
        <w:t>doi</w:t>
      </w:r>
      <w:proofErr w:type="spellEnd"/>
      <w:r w:rsidRPr="00FC3C74">
        <w:rPr>
          <w:rFonts w:ascii="Arial" w:hAnsi="Arial" w:cs="Arial"/>
          <w:sz w:val="24"/>
          <w:szCs w:val="24"/>
        </w:rPr>
        <w:t>: 10.1080/00014788.2021.1940076.</w:t>
      </w:r>
    </w:p>
    <w:p w14:paraId="5B89576F"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Chang, L.-C. (2007) ‘The NHS performance assessment framework as a balanced scorecard approach: Limitations and implications’, </w:t>
      </w:r>
      <w:r w:rsidRPr="00FC3C74">
        <w:rPr>
          <w:rFonts w:ascii="Arial" w:hAnsi="Arial" w:cs="Arial"/>
          <w:i/>
          <w:iCs/>
          <w:sz w:val="24"/>
          <w:szCs w:val="24"/>
        </w:rPr>
        <w:t>International Journal of Public Sector Management</w:t>
      </w:r>
      <w:r w:rsidRPr="00FC3C74">
        <w:rPr>
          <w:rFonts w:ascii="Arial" w:hAnsi="Arial" w:cs="Arial"/>
          <w:sz w:val="24"/>
          <w:szCs w:val="24"/>
        </w:rPr>
        <w:t xml:space="preserve">, 20(2), pp. 101–117. </w:t>
      </w:r>
      <w:proofErr w:type="spellStart"/>
      <w:r w:rsidRPr="00FC3C74">
        <w:rPr>
          <w:rFonts w:ascii="Arial" w:hAnsi="Arial" w:cs="Arial"/>
          <w:sz w:val="24"/>
          <w:szCs w:val="24"/>
        </w:rPr>
        <w:t>doi</w:t>
      </w:r>
      <w:proofErr w:type="spellEnd"/>
      <w:r w:rsidRPr="00FC3C74">
        <w:rPr>
          <w:rFonts w:ascii="Arial" w:hAnsi="Arial" w:cs="Arial"/>
          <w:sz w:val="24"/>
          <w:szCs w:val="24"/>
        </w:rPr>
        <w:t>: 10.1108/09513550710731472.</w:t>
      </w:r>
    </w:p>
    <w:p w14:paraId="3EEC2AF2"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Consumer Financial Protection Bureau (CFPB) (2016) ‘Consumer Financial Protection Bureau fines Wells Fargo $100 million for widespread illegal practice of secretly opening unauthorized accounts’, 8 September. Available from the Consumer Financial Protection Bureau website (Accessed: 8 August 2026).</w:t>
      </w:r>
    </w:p>
    <w:p w14:paraId="053855CB"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Felício, T., </w:t>
      </w:r>
      <w:proofErr w:type="spellStart"/>
      <w:r w:rsidRPr="00FC3C74">
        <w:rPr>
          <w:rFonts w:ascii="Arial" w:hAnsi="Arial" w:cs="Arial"/>
          <w:sz w:val="24"/>
          <w:szCs w:val="24"/>
        </w:rPr>
        <w:t>Samagaio</w:t>
      </w:r>
      <w:proofErr w:type="spellEnd"/>
      <w:r w:rsidRPr="00FC3C74">
        <w:rPr>
          <w:rFonts w:ascii="Arial" w:hAnsi="Arial" w:cs="Arial"/>
          <w:sz w:val="24"/>
          <w:szCs w:val="24"/>
        </w:rPr>
        <w:t xml:space="preserve">, A. and Rodrigues, R. (2021) ‘Adoption of management control systems and performance in public sector organizations’, </w:t>
      </w:r>
      <w:r w:rsidRPr="00FC3C74">
        <w:rPr>
          <w:rFonts w:ascii="Arial" w:hAnsi="Arial" w:cs="Arial"/>
          <w:i/>
          <w:iCs/>
          <w:sz w:val="24"/>
          <w:szCs w:val="24"/>
        </w:rPr>
        <w:t>Journal of Business Research</w:t>
      </w:r>
      <w:r w:rsidRPr="00FC3C74">
        <w:rPr>
          <w:rFonts w:ascii="Arial" w:hAnsi="Arial" w:cs="Arial"/>
          <w:sz w:val="24"/>
          <w:szCs w:val="24"/>
        </w:rPr>
        <w:t xml:space="preserve">, 124, pp. 593–602. </w:t>
      </w:r>
      <w:proofErr w:type="spellStart"/>
      <w:r w:rsidRPr="00FC3C74">
        <w:rPr>
          <w:rFonts w:ascii="Arial" w:hAnsi="Arial" w:cs="Arial"/>
          <w:sz w:val="24"/>
          <w:szCs w:val="24"/>
        </w:rPr>
        <w:t>doi</w:t>
      </w:r>
      <w:proofErr w:type="spellEnd"/>
      <w:r w:rsidRPr="00FC3C74">
        <w:rPr>
          <w:rFonts w:ascii="Arial" w:hAnsi="Arial" w:cs="Arial"/>
          <w:sz w:val="24"/>
          <w:szCs w:val="24"/>
        </w:rPr>
        <w:t>: 10.1016/j.jbusres.2020.10.069.</w:t>
      </w:r>
    </w:p>
    <w:p w14:paraId="5D3FF1FC"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House of Commons (2018) </w:t>
      </w:r>
      <w:r w:rsidRPr="00FC3C74">
        <w:rPr>
          <w:rFonts w:ascii="Arial" w:hAnsi="Arial" w:cs="Arial"/>
          <w:i/>
          <w:iCs/>
          <w:sz w:val="24"/>
          <w:szCs w:val="24"/>
        </w:rPr>
        <w:t>Carillion</w:t>
      </w:r>
      <w:r w:rsidRPr="00FC3C74">
        <w:rPr>
          <w:rFonts w:ascii="Arial" w:hAnsi="Arial" w:cs="Arial"/>
          <w:sz w:val="24"/>
          <w:szCs w:val="24"/>
        </w:rPr>
        <w:t>. Second Joint Report of the Business, Energy and Industrial Strategy and Work and Pensions Committees, Session 2017–19, HC 769. London: House of Commons.</w:t>
      </w:r>
    </w:p>
    <w:p w14:paraId="793334F3"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Janka, M. (2021) ‘Enabling formal MCS design and use: A meta-synthesis of qualitative research’, </w:t>
      </w:r>
      <w:r w:rsidRPr="00FC3C74">
        <w:rPr>
          <w:rFonts w:ascii="Arial" w:hAnsi="Arial" w:cs="Arial"/>
          <w:i/>
          <w:iCs/>
          <w:sz w:val="24"/>
          <w:szCs w:val="24"/>
        </w:rPr>
        <w:t>Journal of Accounting &amp; Organizational Change</w:t>
      </w:r>
      <w:r w:rsidRPr="00FC3C74">
        <w:rPr>
          <w:rFonts w:ascii="Arial" w:hAnsi="Arial" w:cs="Arial"/>
          <w:sz w:val="24"/>
          <w:szCs w:val="24"/>
        </w:rPr>
        <w:t xml:space="preserve">, 17(2), pp. 133–163. </w:t>
      </w:r>
      <w:proofErr w:type="spellStart"/>
      <w:r w:rsidRPr="00FC3C74">
        <w:rPr>
          <w:rFonts w:ascii="Arial" w:hAnsi="Arial" w:cs="Arial"/>
          <w:sz w:val="24"/>
          <w:szCs w:val="24"/>
        </w:rPr>
        <w:t>doi</w:t>
      </w:r>
      <w:proofErr w:type="spellEnd"/>
      <w:r w:rsidRPr="00FC3C74">
        <w:rPr>
          <w:rFonts w:ascii="Arial" w:hAnsi="Arial" w:cs="Arial"/>
          <w:sz w:val="24"/>
          <w:szCs w:val="24"/>
        </w:rPr>
        <w:t>: 10.1108/JAOC-01-2019-0002.</w:t>
      </w:r>
    </w:p>
    <w:p w14:paraId="3C833767"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Mintzberg, H. (1973) </w:t>
      </w:r>
      <w:r w:rsidRPr="00FC3C74">
        <w:rPr>
          <w:rFonts w:ascii="Arial" w:hAnsi="Arial" w:cs="Arial"/>
          <w:i/>
          <w:iCs/>
          <w:sz w:val="24"/>
          <w:szCs w:val="24"/>
        </w:rPr>
        <w:t>The Nature of Managerial Work</w:t>
      </w:r>
      <w:r w:rsidRPr="00FC3C74">
        <w:rPr>
          <w:rFonts w:ascii="Arial" w:hAnsi="Arial" w:cs="Arial"/>
          <w:sz w:val="24"/>
          <w:szCs w:val="24"/>
        </w:rPr>
        <w:t>. New York: Harper &amp; Row.</w:t>
      </w:r>
    </w:p>
    <w:p w14:paraId="10F13E44"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lastRenderedPageBreak/>
        <w:t xml:space="preserve">Otley, D.T. (1999) ‘Performance management: A framework for management control systems research’, </w:t>
      </w:r>
      <w:r w:rsidRPr="00FC3C74">
        <w:rPr>
          <w:rFonts w:ascii="Arial" w:hAnsi="Arial" w:cs="Arial"/>
          <w:i/>
          <w:iCs/>
          <w:sz w:val="24"/>
          <w:szCs w:val="24"/>
        </w:rPr>
        <w:t>Management Accounting Research</w:t>
      </w:r>
      <w:r w:rsidRPr="00FC3C74">
        <w:rPr>
          <w:rFonts w:ascii="Arial" w:hAnsi="Arial" w:cs="Arial"/>
          <w:sz w:val="24"/>
          <w:szCs w:val="24"/>
        </w:rPr>
        <w:t xml:space="preserve">, 10(4), pp. 363–382. </w:t>
      </w:r>
      <w:proofErr w:type="spellStart"/>
      <w:r w:rsidRPr="00FC3C74">
        <w:rPr>
          <w:rFonts w:ascii="Arial" w:hAnsi="Arial" w:cs="Arial"/>
          <w:sz w:val="24"/>
          <w:szCs w:val="24"/>
        </w:rPr>
        <w:t>doi</w:t>
      </w:r>
      <w:proofErr w:type="spellEnd"/>
      <w:r w:rsidRPr="00FC3C74">
        <w:rPr>
          <w:rFonts w:ascii="Arial" w:hAnsi="Arial" w:cs="Arial"/>
          <w:sz w:val="24"/>
          <w:szCs w:val="24"/>
        </w:rPr>
        <w:t>: 10.1006/mare.1999.0115.</w:t>
      </w:r>
    </w:p>
    <w:p w14:paraId="11EE73FF"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Otley, D.T. (2016) ‘The contingency theory of management accounting and control: 1980–2014’, </w:t>
      </w:r>
      <w:r w:rsidRPr="00FC3C74">
        <w:rPr>
          <w:rFonts w:ascii="Arial" w:hAnsi="Arial" w:cs="Arial"/>
          <w:i/>
          <w:iCs/>
          <w:sz w:val="24"/>
          <w:szCs w:val="24"/>
        </w:rPr>
        <w:t>Management Accounting Research</w:t>
      </w:r>
      <w:r w:rsidRPr="00FC3C74">
        <w:rPr>
          <w:rFonts w:ascii="Arial" w:hAnsi="Arial" w:cs="Arial"/>
          <w:sz w:val="24"/>
          <w:szCs w:val="24"/>
        </w:rPr>
        <w:t xml:space="preserve">, 31, pp. 45–62. </w:t>
      </w:r>
      <w:proofErr w:type="spellStart"/>
      <w:r w:rsidRPr="00FC3C74">
        <w:rPr>
          <w:rFonts w:ascii="Arial" w:hAnsi="Arial" w:cs="Arial"/>
          <w:sz w:val="24"/>
          <w:szCs w:val="24"/>
        </w:rPr>
        <w:t>doi</w:t>
      </w:r>
      <w:proofErr w:type="spellEnd"/>
      <w:r w:rsidRPr="00FC3C74">
        <w:rPr>
          <w:rFonts w:ascii="Arial" w:hAnsi="Arial" w:cs="Arial"/>
          <w:sz w:val="24"/>
          <w:szCs w:val="24"/>
        </w:rPr>
        <w:t>: 10.1016/j.mar.2016.02.001.</w:t>
      </w:r>
    </w:p>
    <w:p w14:paraId="03E4C772"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Rana, T., Wickramasinghe, D. and Bracci, E. (2019) ‘New development: Integrating risk management in management control systems—lessons for public sector managers’, </w:t>
      </w:r>
      <w:r w:rsidRPr="00FC3C74">
        <w:rPr>
          <w:rFonts w:ascii="Arial" w:hAnsi="Arial" w:cs="Arial"/>
          <w:i/>
          <w:iCs/>
          <w:sz w:val="24"/>
          <w:szCs w:val="24"/>
        </w:rPr>
        <w:t>Public Money &amp; Management</w:t>
      </w:r>
      <w:r w:rsidRPr="00FC3C74">
        <w:rPr>
          <w:rFonts w:ascii="Arial" w:hAnsi="Arial" w:cs="Arial"/>
          <w:sz w:val="24"/>
          <w:szCs w:val="24"/>
        </w:rPr>
        <w:t xml:space="preserve">, 39(2), pp. 148–151. </w:t>
      </w:r>
      <w:proofErr w:type="spellStart"/>
      <w:r w:rsidRPr="00FC3C74">
        <w:rPr>
          <w:rFonts w:ascii="Arial" w:hAnsi="Arial" w:cs="Arial"/>
          <w:sz w:val="24"/>
          <w:szCs w:val="24"/>
        </w:rPr>
        <w:t>doi</w:t>
      </w:r>
      <w:proofErr w:type="spellEnd"/>
      <w:r w:rsidRPr="00FC3C74">
        <w:rPr>
          <w:rFonts w:ascii="Arial" w:hAnsi="Arial" w:cs="Arial"/>
          <w:sz w:val="24"/>
          <w:szCs w:val="24"/>
        </w:rPr>
        <w:t>: 10.1080/09540962.2019.1580921.</w:t>
      </w:r>
    </w:p>
    <w:p w14:paraId="7AC410AA" w14:textId="77777777" w:rsidR="00FC3C74" w:rsidRPr="00FC3C74" w:rsidRDefault="00FC3C74" w:rsidP="00FC3C74">
      <w:pPr>
        <w:spacing w:line="360" w:lineRule="auto"/>
        <w:jc w:val="both"/>
        <w:rPr>
          <w:rFonts w:ascii="Arial" w:hAnsi="Arial" w:cs="Arial"/>
          <w:sz w:val="24"/>
          <w:szCs w:val="24"/>
        </w:rPr>
      </w:pPr>
      <w:proofErr w:type="spellStart"/>
      <w:r w:rsidRPr="00FC3C74">
        <w:rPr>
          <w:rFonts w:ascii="Arial" w:hAnsi="Arial" w:cs="Arial"/>
          <w:sz w:val="24"/>
          <w:szCs w:val="24"/>
        </w:rPr>
        <w:t>Ratnaningrum</w:t>
      </w:r>
      <w:proofErr w:type="spellEnd"/>
      <w:r w:rsidRPr="00FC3C74">
        <w:rPr>
          <w:rFonts w:ascii="Arial" w:hAnsi="Arial" w:cs="Arial"/>
          <w:sz w:val="24"/>
          <w:szCs w:val="24"/>
        </w:rPr>
        <w:t xml:space="preserve">, Aryani, Y.A. and Setiawan, D. (2020) ‘Balanced Scorecard: Is it beneficial enough? A literature review’, </w:t>
      </w:r>
      <w:r w:rsidRPr="00FC3C74">
        <w:rPr>
          <w:rFonts w:ascii="Arial" w:hAnsi="Arial" w:cs="Arial"/>
          <w:i/>
          <w:iCs/>
          <w:sz w:val="24"/>
          <w:szCs w:val="24"/>
        </w:rPr>
        <w:t>Asian Journal of Accounting Perspectives</w:t>
      </w:r>
      <w:r w:rsidRPr="00FC3C74">
        <w:rPr>
          <w:rFonts w:ascii="Arial" w:hAnsi="Arial" w:cs="Arial"/>
          <w:sz w:val="24"/>
          <w:szCs w:val="24"/>
        </w:rPr>
        <w:t xml:space="preserve">, 13(1), pp. 65–84. </w:t>
      </w:r>
      <w:proofErr w:type="spellStart"/>
      <w:r w:rsidRPr="00FC3C74">
        <w:rPr>
          <w:rFonts w:ascii="Arial" w:hAnsi="Arial" w:cs="Arial"/>
          <w:sz w:val="24"/>
          <w:szCs w:val="24"/>
        </w:rPr>
        <w:t>doi</w:t>
      </w:r>
      <w:proofErr w:type="spellEnd"/>
      <w:r w:rsidRPr="00FC3C74">
        <w:rPr>
          <w:rFonts w:ascii="Arial" w:hAnsi="Arial" w:cs="Arial"/>
          <w:sz w:val="24"/>
          <w:szCs w:val="24"/>
        </w:rPr>
        <w:t>: 10.22452/AJAP.vol13no1.4.</w:t>
      </w:r>
    </w:p>
    <w:p w14:paraId="4EC0490F"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Shang, R., Wang, Z. and Zu, Y. (2023) ‘Manager narcissism, target difficulty, and employee dysfunctional </w:t>
      </w:r>
      <w:proofErr w:type="spellStart"/>
      <w:r w:rsidRPr="00FC3C74">
        <w:rPr>
          <w:rFonts w:ascii="Arial" w:hAnsi="Arial" w:cs="Arial"/>
          <w:sz w:val="24"/>
          <w:szCs w:val="24"/>
        </w:rPr>
        <w:t>behavior</w:t>
      </w:r>
      <w:proofErr w:type="spellEnd"/>
      <w:r w:rsidRPr="00FC3C74">
        <w:rPr>
          <w:rFonts w:ascii="Arial" w:hAnsi="Arial" w:cs="Arial"/>
          <w:sz w:val="24"/>
          <w:szCs w:val="24"/>
        </w:rPr>
        <w:t xml:space="preserve">’, </w:t>
      </w:r>
      <w:r w:rsidRPr="00FC3C74">
        <w:rPr>
          <w:rFonts w:ascii="Arial" w:hAnsi="Arial" w:cs="Arial"/>
          <w:i/>
          <w:iCs/>
          <w:sz w:val="24"/>
          <w:szCs w:val="24"/>
        </w:rPr>
        <w:t>Contemporary Accounting Research</w:t>
      </w:r>
      <w:r w:rsidRPr="00FC3C74">
        <w:rPr>
          <w:rFonts w:ascii="Arial" w:hAnsi="Arial" w:cs="Arial"/>
          <w:sz w:val="24"/>
          <w:szCs w:val="24"/>
        </w:rPr>
        <w:t xml:space="preserve">, 40(3), pp. 1795–1822. </w:t>
      </w:r>
      <w:proofErr w:type="spellStart"/>
      <w:r w:rsidRPr="00FC3C74">
        <w:rPr>
          <w:rFonts w:ascii="Arial" w:hAnsi="Arial" w:cs="Arial"/>
          <w:sz w:val="24"/>
          <w:szCs w:val="24"/>
        </w:rPr>
        <w:t>doi</w:t>
      </w:r>
      <w:proofErr w:type="spellEnd"/>
      <w:r w:rsidRPr="00FC3C74">
        <w:rPr>
          <w:rFonts w:ascii="Arial" w:hAnsi="Arial" w:cs="Arial"/>
          <w:sz w:val="24"/>
          <w:szCs w:val="24"/>
        </w:rPr>
        <w:t>: 10.1111/1911-3846.12864.</w:t>
      </w:r>
    </w:p>
    <w:p w14:paraId="41BFB5AB"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Simons, R. (1995) </w:t>
      </w:r>
      <w:r w:rsidRPr="00FC3C74">
        <w:rPr>
          <w:rFonts w:ascii="Arial" w:hAnsi="Arial" w:cs="Arial"/>
          <w:i/>
          <w:iCs/>
          <w:sz w:val="24"/>
          <w:szCs w:val="24"/>
        </w:rPr>
        <w:t>Levers of Control: How Managers Use Innovative Control Systems to Drive Strategic Renewal</w:t>
      </w:r>
      <w:r w:rsidRPr="00FC3C74">
        <w:rPr>
          <w:rFonts w:ascii="Arial" w:hAnsi="Arial" w:cs="Arial"/>
          <w:sz w:val="24"/>
          <w:szCs w:val="24"/>
        </w:rPr>
        <w:t>. Boston, MA: Harvard Business School Press.</w:t>
      </w:r>
    </w:p>
    <w:p w14:paraId="72A92634" w14:textId="77777777" w:rsidR="00FC3C74" w:rsidRPr="00FC3C74" w:rsidRDefault="00FC3C74" w:rsidP="00FC3C74">
      <w:pPr>
        <w:spacing w:line="360" w:lineRule="auto"/>
        <w:jc w:val="both"/>
        <w:rPr>
          <w:rFonts w:ascii="Arial" w:hAnsi="Arial" w:cs="Arial"/>
          <w:sz w:val="24"/>
          <w:szCs w:val="24"/>
        </w:rPr>
      </w:pPr>
      <w:proofErr w:type="spellStart"/>
      <w:r w:rsidRPr="00FC3C74">
        <w:rPr>
          <w:rFonts w:ascii="Arial" w:hAnsi="Arial" w:cs="Arial"/>
          <w:sz w:val="24"/>
          <w:szCs w:val="24"/>
        </w:rPr>
        <w:t>Siverbo</w:t>
      </w:r>
      <w:proofErr w:type="spellEnd"/>
      <w:r w:rsidRPr="00FC3C74">
        <w:rPr>
          <w:rFonts w:ascii="Arial" w:hAnsi="Arial" w:cs="Arial"/>
          <w:sz w:val="24"/>
          <w:szCs w:val="24"/>
        </w:rPr>
        <w:t xml:space="preserve">, S., </w:t>
      </w:r>
      <w:proofErr w:type="spellStart"/>
      <w:r w:rsidRPr="00FC3C74">
        <w:rPr>
          <w:rFonts w:ascii="Arial" w:hAnsi="Arial" w:cs="Arial"/>
          <w:sz w:val="24"/>
          <w:szCs w:val="24"/>
        </w:rPr>
        <w:t>Cäker</w:t>
      </w:r>
      <w:proofErr w:type="spellEnd"/>
      <w:r w:rsidRPr="00FC3C74">
        <w:rPr>
          <w:rFonts w:ascii="Arial" w:hAnsi="Arial" w:cs="Arial"/>
          <w:sz w:val="24"/>
          <w:szCs w:val="24"/>
        </w:rPr>
        <w:t xml:space="preserve">, M. and Åkesson, J. (2019) ‘Conceptualizing dysfunctional consequences of performance measurement in the public sector’, </w:t>
      </w:r>
      <w:r w:rsidRPr="00FC3C74">
        <w:rPr>
          <w:rFonts w:ascii="Arial" w:hAnsi="Arial" w:cs="Arial"/>
          <w:i/>
          <w:iCs/>
          <w:sz w:val="24"/>
          <w:szCs w:val="24"/>
        </w:rPr>
        <w:t>Public Management Review</w:t>
      </w:r>
      <w:r w:rsidRPr="00FC3C74">
        <w:rPr>
          <w:rFonts w:ascii="Arial" w:hAnsi="Arial" w:cs="Arial"/>
          <w:sz w:val="24"/>
          <w:szCs w:val="24"/>
        </w:rPr>
        <w:t xml:space="preserve">, 21(12), pp. 1801–1823. </w:t>
      </w:r>
      <w:proofErr w:type="spellStart"/>
      <w:r w:rsidRPr="00FC3C74">
        <w:rPr>
          <w:rFonts w:ascii="Arial" w:hAnsi="Arial" w:cs="Arial"/>
          <w:sz w:val="24"/>
          <w:szCs w:val="24"/>
        </w:rPr>
        <w:t>doi</w:t>
      </w:r>
      <w:proofErr w:type="spellEnd"/>
      <w:r w:rsidRPr="00FC3C74">
        <w:rPr>
          <w:rFonts w:ascii="Arial" w:hAnsi="Arial" w:cs="Arial"/>
          <w:sz w:val="24"/>
          <w:szCs w:val="24"/>
        </w:rPr>
        <w:t>: 10.1080/14719037.2019.1577906.</w:t>
      </w:r>
    </w:p>
    <w:p w14:paraId="5E2B84DC"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Sohal, A.S., Samson, D. and Ramsay, L. (1994) ‘Toyota Motor Corporation Australia: A case study’, </w:t>
      </w:r>
      <w:r w:rsidRPr="00FC3C74">
        <w:rPr>
          <w:rFonts w:ascii="Arial" w:hAnsi="Arial" w:cs="Arial"/>
          <w:i/>
          <w:iCs/>
          <w:sz w:val="24"/>
          <w:szCs w:val="24"/>
        </w:rPr>
        <w:t>Total Quality Management</w:t>
      </w:r>
      <w:r w:rsidRPr="00FC3C74">
        <w:rPr>
          <w:rFonts w:ascii="Arial" w:hAnsi="Arial" w:cs="Arial"/>
          <w:sz w:val="24"/>
          <w:szCs w:val="24"/>
        </w:rPr>
        <w:t xml:space="preserve">, 5(6), pp. 431–440. </w:t>
      </w:r>
      <w:proofErr w:type="spellStart"/>
      <w:r w:rsidRPr="00FC3C74">
        <w:rPr>
          <w:rFonts w:ascii="Arial" w:hAnsi="Arial" w:cs="Arial"/>
          <w:sz w:val="24"/>
          <w:szCs w:val="24"/>
        </w:rPr>
        <w:t>doi</w:t>
      </w:r>
      <w:proofErr w:type="spellEnd"/>
      <w:r w:rsidRPr="00FC3C74">
        <w:rPr>
          <w:rFonts w:ascii="Arial" w:hAnsi="Arial" w:cs="Arial"/>
          <w:sz w:val="24"/>
          <w:szCs w:val="24"/>
        </w:rPr>
        <w:t>: 10.1080/09544129400000062.</w:t>
      </w:r>
    </w:p>
    <w:p w14:paraId="4694E262"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Taylor, J. and Baines, C. (2012) ‘Performance management in UK universities: Implementing the Balanced Scorecard’, </w:t>
      </w:r>
      <w:r w:rsidRPr="00FC3C74">
        <w:rPr>
          <w:rFonts w:ascii="Arial" w:hAnsi="Arial" w:cs="Arial"/>
          <w:i/>
          <w:iCs/>
          <w:sz w:val="24"/>
          <w:szCs w:val="24"/>
        </w:rPr>
        <w:t>Journal of Higher Education Policy and Management</w:t>
      </w:r>
      <w:r w:rsidRPr="00FC3C74">
        <w:rPr>
          <w:rFonts w:ascii="Arial" w:hAnsi="Arial" w:cs="Arial"/>
          <w:sz w:val="24"/>
          <w:szCs w:val="24"/>
        </w:rPr>
        <w:t xml:space="preserve">, 34(2), pp. 111–124. </w:t>
      </w:r>
      <w:proofErr w:type="spellStart"/>
      <w:r w:rsidRPr="00FC3C74">
        <w:rPr>
          <w:rFonts w:ascii="Arial" w:hAnsi="Arial" w:cs="Arial"/>
          <w:sz w:val="24"/>
          <w:szCs w:val="24"/>
        </w:rPr>
        <w:t>doi</w:t>
      </w:r>
      <w:proofErr w:type="spellEnd"/>
      <w:r w:rsidRPr="00FC3C74">
        <w:rPr>
          <w:rFonts w:ascii="Arial" w:hAnsi="Arial" w:cs="Arial"/>
          <w:sz w:val="24"/>
          <w:szCs w:val="24"/>
        </w:rPr>
        <w:t>: 10.1080/1360080X.2012.662737.</w:t>
      </w:r>
    </w:p>
    <w:p w14:paraId="58BDAA1C"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Van der Hauwaert, E., </w:t>
      </w:r>
      <w:proofErr w:type="spellStart"/>
      <w:r w:rsidRPr="00FC3C74">
        <w:rPr>
          <w:rFonts w:ascii="Arial" w:hAnsi="Arial" w:cs="Arial"/>
          <w:sz w:val="24"/>
          <w:szCs w:val="24"/>
        </w:rPr>
        <w:t>Hoozée</w:t>
      </w:r>
      <w:proofErr w:type="spellEnd"/>
      <w:r w:rsidRPr="00FC3C74">
        <w:rPr>
          <w:rFonts w:ascii="Arial" w:hAnsi="Arial" w:cs="Arial"/>
          <w:sz w:val="24"/>
          <w:szCs w:val="24"/>
        </w:rPr>
        <w:t xml:space="preserve">, S., </w:t>
      </w:r>
      <w:proofErr w:type="spellStart"/>
      <w:r w:rsidRPr="00FC3C74">
        <w:rPr>
          <w:rFonts w:ascii="Arial" w:hAnsi="Arial" w:cs="Arial"/>
          <w:sz w:val="24"/>
          <w:szCs w:val="24"/>
        </w:rPr>
        <w:t>Maussen</w:t>
      </w:r>
      <w:proofErr w:type="spellEnd"/>
      <w:r w:rsidRPr="00FC3C74">
        <w:rPr>
          <w:rFonts w:ascii="Arial" w:hAnsi="Arial" w:cs="Arial"/>
          <w:sz w:val="24"/>
          <w:szCs w:val="24"/>
        </w:rPr>
        <w:t xml:space="preserve">, S. and Bruggeman, W. (2022) ‘The impact of enabling performance measurement on managers’ autonomous work </w:t>
      </w:r>
      <w:r w:rsidRPr="00FC3C74">
        <w:rPr>
          <w:rFonts w:ascii="Arial" w:hAnsi="Arial" w:cs="Arial"/>
          <w:sz w:val="24"/>
          <w:szCs w:val="24"/>
        </w:rPr>
        <w:lastRenderedPageBreak/>
        <w:t xml:space="preserve">motivation and performance’, </w:t>
      </w:r>
      <w:r w:rsidRPr="00FC3C74">
        <w:rPr>
          <w:rFonts w:ascii="Arial" w:hAnsi="Arial" w:cs="Arial"/>
          <w:i/>
          <w:iCs/>
          <w:sz w:val="24"/>
          <w:szCs w:val="24"/>
        </w:rPr>
        <w:t>Management Accounting Research</w:t>
      </w:r>
      <w:r w:rsidRPr="00FC3C74">
        <w:rPr>
          <w:rFonts w:ascii="Arial" w:hAnsi="Arial" w:cs="Arial"/>
          <w:sz w:val="24"/>
          <w:szCs w:val="24"/>
        </w:rPr>
        <w:t xml:space="preserve">, 55, article 100780. </w:t>
      </w:r>
      <w:proofErr w:type="spellStart"/>
      <w:r w:rsidRPr="00FC3C74">
        <w:rPr>
          <w:rFonts w:ascii="Arial" w:hAnsi="Arial" w:cs="Arial"/>
          <w:sz w:val="24"/>
          <w:szCs w:val="24"/>
        </w:rPr>
        <w:t>doi</w:t>
      </w:r>
      <w:proofErr w:type="spellEnd"/>
      <w:r w:rsidRPr="00FC3C74">
        <w:rPr>
          <w:rFonts w:ascii="Arial" w:hAnsi="Arial" w:cs="Arial"/>
          <w:sz w:val="24"/>
          <w:szCs w:val="24"/>
        </w:rPr>
        <w:t>: 10.1016/j.mar.2021.100780.</w:t>
      </w:r>
    </w:p>
    <w:p w14:paraId="7F33CC36" w14:textId="77777777" w:rsidR="00FC3C74" w:rsidRPr="00FC3C74" w:rsidRDefault="00FC3C74" w:rsidP="00FC3C74">
      <w:pPr>
        <w:spacing w:line="360" w:lineRule="auto"/>
        <w:jc w:val="both"/>
        <w:rPr>
          <w:rFonts w:ascii="Arial" w:hAnsi="Arial" w:cs="Arial"/>
          <w:sz w:val="24"/>
          <w:szCs w:val="24"/>
        </w:rPr>
      </w:pPr>
      <w:proofErr w:type="spellStart"/>
      <w:r w:rsidRPr="00FC3C74">
        <w:rPr>
          <w:rFonts w:ascii="Arial" w:hAnsi="Arial" w:cs="Arial"/>
          <w:sz w:val="24"/>
          <w:szCs w:val="24"/>
        </w:rPr>
        <w:t>Wijethilake</w:t>
      </w:r>
      <w:proofErr w:type="spellEnd"/>
      <w:r w:rsidRPr="00FC3C74">
        <w:rPr>
          <w:rFonts w:ascii="Arial" w:hAnsi="Arial" w:cs="Arial"/>
          <w:sz w:val="24"/>
          <w:szCs w:val="24"/>
        </w:rPr>
        <w:t xml:space="preserve">, C., Munir, R. and </w:t>
      </w:r>
      <w:proofErr w:type="spellStart"/>
      <w:r w:rsidRPr="00FC3C74">
        <w:rPr>
          <w:rFonts w:ascii="Arial" w:hAnsi="Arial" w:cs="Arial"/>
          <w:sz w:val="24"/>
          <w:szCs w:val="24"/>
        </w:rPr>
        <w:t>Appuhami</w:t>
      </w:r>
      <w:proofErr w:type="spellEnd"/>
      <w:r w:rsidRPr="00FC3C74">
        <w:rPr>
          <w:rFonts w:ascii="Arial" w:hAnsi="Arial" w:cs="Arial"/>
          <w:sz w:val="24"/>
          <w:szCs w:val="24"/>
        </w:rPr>
        <w:t xml:space="preserve">, R. (2018) ‘Environmental innovation strategy and organizational performance: Enabling and controlling uses of management control systems’, </w:t>
      </w:r>
      <w:r w:rsidRPr="00FC3C74">
        <w:rPr>
          <w:rFonts w:ascii="Arial" w:hAnsi="Arial" w:cs="Arial"/>
          <w:i/>
          <w:iCs/>
          <w:sz w:val="24"/>
          <w:szCs w:val="24"/>
        </w:rPr>
        <w:t>Journal of Business Ethics</w:t>
      </w:r>
      <w:r w:rsidRPr="00FC3C74">
        <w:rPr>
          <w:rFonts w:ascii="Arial" w:hAnsi="Arial" w:cs="Arial"/>
          <w:sz w:val="24"/>
          <w:szCs w:val="24"/>
        </w:rPr>
        <w:t xml:space="preserve">, 151(4), pp. 1139–1160. </w:t>
      </w:r>
      <w:proofErr w:type="spellStart"/>
      <w:r w:rsidRPr="00FC3C74">
        <w:rPr>
          <w:rFonts w:ascii="Arial" w:hAnsi="Arial" w:cs="Arial"/>
          <w:sz w:val="24"/>
          <w:szCs w:val="24"/>
        </w:rPr>
        <w:t>doi</w:t>
      </w:r>
      <w:proofErr w:type="spellEnd"/>
      <w:r w:rsidRPr="00FC3C74">
        <w:rPr>
          <w:rFonts w:ascii="Arial" w:hAnsi="Arial" w:cs="Arial"/>
          <w:sz w:val="24"/>
          <w:szCs w:val="24"/>
        </w:rPr>
        <w:t>: 10.1007/s10551-016-3259-7.</w:t>
      </w:r>
    </w:p>
    <w:p w14:paraId="012E1DDF" w14:textId="77777777" w:rsidR="00FC3C74" w:rsidRPr="00FC3C74" w:rsidRDefault="00FC3C74" w:rsidP="00FC3C74">
      <w:pPr>
        <w:spacing w:line="360" w:lineRule="auto"/>
        <w:jc w:val="both"/>
        <w:rPr>
          <w:rFonts w:ascii="Arial" w:hAnsi="Arial" w:cs="Arial"/>
          <w:sz w:val="24"/>
          <w:szCs w:val="24"/>
        </w:rPr>
      </w:pPr>
      <w:r w:rsidRPr="00FC3C74">
        <w:rPr>
          <w:rFonts w:ascii="Arial" w:hAnsi="Arial" w:cs="Arial"/>
          <w:sz w:val="24"/>
          <w:szCs w:val="24"/>
        </w:rPr>
        <w:t xml:space="preserve">Wouters, M. and </w:t>
      </w:r>
      <w:proofErr w:type="spellStart"/>
      <w:r w:rsidRPr="00FC3C74">
        <w:rPr>
          <w:rFonts w:ascii="Arial" w:hAnsi="Arial" w:cs="Arial"/>
          <w:sz w:val="24"/>
          <w:szCs w:val="24"/>
        </w:rPr>
        <w:t>Wilderom</w:t>
      </w:r>
      <w:proofErr w:type="spellEnd"/>
      <w:r w:rsidRPr="00FC3C74">
        <w:rPr>
          <w:rFonts w:ascii="Arial" w:hAnsi="Arial" w:cs="Arial"/>
          <w:sz w:val="24"/>
          <w:szCs w:val="24"/>
        </w:rPr>
        <w:t xml:space="preserve">, C.P.M. (2008) ‘Developing performance-measurement systems as enabling formalization: A longitudinal field study of a logistics department’, </w:t>
      </w:r>
      <w:r w:rsidRPr="00FC3C74">
        <w:rPr>
          <w:rFonts w:ascii="Arial" w:hAnsi="Arial" w:cs="Arial"/>
          <w:i/>
          <w:iCs/>
          <w:sz w:val="24"/>
          <w:szCs w:val="24"/>
        </w:rPr>
        <w:t>Accounting, Organizations and Society</w:t>
      </w:r>
      <w:r w:rsidRPr="00FC3C74">
        <w:rPr>
          <w:rFonts w:ascii="Arial" w:hAnsi="Arial" w:cs="Arial"/>
          <w:sz w:val="24"/>
          <w:szCs w:val="24"/>
        </w:rPr>
        <w:t xml:space="preserve">, 33(4–5), pp. 488–516. </w:t>
      </w:r>
      <w:proofErr w:type="spellStart"/>
      <w:r w:rsidRPr="00FC3C74">
        <w:rPr>
          <w:rFonts w:ascii="Arial" w:hAnsi="Arial" w:cs="Arial"/>
          <w:sz w:val="24"/>
          <w:szCs w:val="24"/>
        </w:rPr>
        <w:t>doi</w:t>
      </w:r>
      <w:proofErr w:type="spellEnd"/>
      <w:r w:rsidRPr="00FC3C74">
        <w:rPr>
          <w:rFonts w:ascii="Arial" w:hAnsi="Arial" w:cs="Arial"/>
          <w:sz w:val="24"/>
          <w:szCs w:val="24"/>
        </w:rPr>
        <w:t>: 10.1016/j.aos.2007.05.002.</w:t>
      </w:r>
    </w:p>
    <w:p w14:paraId="5C9F88B8" w14:textId="77777777" w:rsidR="00FC3C74" w:rsidRPr="00674986" w:rsidRDefault="00FC3C74" w:rsidP="00674986">
      <w:pPr>
        <w:spacing w:line="360" w:lineRule="auto"/>
        <w:jc w:val="both"/>
        <w:rPr>
          <w:rFonts w:ascii="Arial" w:hAnsi="Arial" w:cs="Arial"/>
          <w:sz w:val="24"/>
          <w:szCs w:val="24"/>
        </w:rPr>
      </w:pPr>
    </w:p>
    <w:p w14:paraId="61B2B99B" w14:textId="77777777" w:rsidR="00E94A6B" w:rsidRDefault="00E94A6B"/>
    <w:sectPr w:rsidR="00E94A6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7141C" w14:textId="77777777" w:rsidR="007A5DF8" w:rsidRDefault="007A5DF8" w:rsidP="00FC3C74">
      <w:pPr>
        <w:spacing w:after="0" w:line="240" w:lineRule="auto"/>
      </w:pPr>
      <w:r>
        <w:separator/>
      </w:r>
    </w:p>
  </w:endnote>
  <w:endnote w:type="continuationSeparator" w:id="0">
    <w:p w14:paraId="24811253" w14:textId="77777777" w:rsidR="007A5DF8" w:rsidRDefault="007A5DF8" w:rsidP="00FC3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424790"/>
      <w:docPartObj>
        <w:docPartGallery w:val="Page Numbers (Bottom of Page)"/>
        <w:docPartUnique/>
      </w:docPartObj>
    </w:sdtPr>
    <w:sdtContent>
      <w:p w14:paraId="60132497" w14:textId="7007467E" w:rsidR="00FC3C74" w:rsidRDefault="00FC3C74">
        <w:pPr>
          <w:pStyle w:val="Footer"/>
        </w:pPr>
        <w:r>
          <w:rPr>
            <w:noProof/>
          </w:rPr>
          <mc:AlternateContent>
            <mc:Choice Requires="wps">
              <w:drawing>
                <wp:anchor distT="0" distB="0" distL="114300" distR="114300" simplePos="0" relativeHeight="251659264" behindDoc="0" locked="0" layoutInCell="1" allowOverlap="1" wp14:anchorId="0E8BED4A" wp14:editId="19D6CB37">
                  <wp:simplePos x="0" y="0"/>
                  <wp:positionH relativeFrom="rightMargin">
                    <wp:align>center</wp:align>
                  </wp:positionH>
                  <wp:positionV relativeFrom="bottomMargin">
                    <wp:align>top</wp:align>
                  </wp:positionV>
                  <wp:extent cx="762000" cy="895350"/>
                  <wp:effectExtent l="0" t="0" r="0" b="0"/>
                  <wp:wrapNone/>
                  <wp:docPr id="194456548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14:paraId="291AEAA1" w14:textId="77777777" w:rsidR="00FC3C74" w:rsidRDefault="00FC3C74">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BED4A" id="Rectangle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Content>
                          <w:sdt>
                            <w:sdtPr>
                              <w:rPr>
                                <w:rFonts w:asciiTheme="majorHAnsi" w:eastAsiaTheme="majorEastAsia" w:hAnsiTheme="majorHAnsi" w:cstheme="majorBidi"/>
                                <w:sz w:val="48"/>
                                <w:szCs w:val="48"/>
                              </w:rPr>
                              <w:id w:val="-1904517296"/>
                              <w:docPartObj>
                                <w:docPartGallery w:val="Page Numbers (Margins)"/>
                                <w:docPartUnique/>
                              </w:docPartObj>
                            </w:sdtPr>
                            <w:sdtContent>
                              <w:p w14:paraId="291AEAA1" w14:textId="77777777" w:rsidR="00FC3C74" w:rsidRDefault="00FC3C74">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211FD" w14:textId="77777777" w:rsidR="007A5DF8" w:rsidRDefault="007A5DF8" w:rsidP="00FC3C74">
      <w:pPr>
        <w:spacing w:after="0" w:line="240" w:lineRule="auto"/>
      </w:pPr>
      <w:r>
        <w:separator/>
      </w:r>
    </w:p>
  </w:footnote>
  <w:footnote w:type="continuationSeparator" w:id="0">
    <w:p w14:paraId="1050DA1B" w14:textId="77777777" w:rsidR="007A5DF8" w:rsidRDefault="007A5DF8" w:rsidP="00FC3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AE3925"/>
    <w:multiLevelType w:val="hybridMultilevel"/>
    <w:tmpl w:val="CD747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9770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986"/>
    <w:rsid w:val="00674986"/>
    <w:rsid w:val="007A5DF8"/>
    <w:rsid w:val="009145FC"/>
    <w:rsid w:val="00C006B0"/>
    <w:rsid w:val="00C85E11"/>
    <w:rsid w:val="00D03A12"/>
    <w:rsid w:val="00E94A6B"/>
    <w:rsid w:val="00FC3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D6653"/>
  <w15:chartTrackingRefBased/>
  <w15:docId w15:val="{9AF26F6A-A2DA-49DF-A20E-20CFB3EB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9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49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49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49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9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9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49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49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49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9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986"/>
    <w:rPr>
      <w:rFonts w:eastAsiaTheme="majorEastAsia" w:cstheme="majorBidi"/>
      <w:color w:val="272727" w:themeColor="text1" w:themeTint="D8"/>
    </w:rPr>
  </w:style>
  <w:style w:type="paragraph" w:styleId="Title">
    <w:name w:val="Title"/>
    <w:basedOn w:val="Normal"/>
    <w:next w:val="Normal"/>
    <w:link w:val="TitleChar"/>
    <w:uiPriority w:val="10"/>
    <w:qFormat/>
    <w:rsid w:val="00674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986"/>
    <w:pPr>
      <w:spacing w:before="160"/>
      <w:jc w:val="center"/>
    </w:pPr>
    <w:rPr>
      <w:i/>
      <w:iCs/>
      <w:color w:val="404040" w:themeColor="text1" w:themeTint="BF"/>
    </w:rPr>
  </w:style>
  <w:style w:type="character" w:customStyle="1" w:styleId="QuoteChar">
    <w:name w:val="Quote Char"/>
    <w:basedOn w:val="DefaultParagraphFont"/>
    <w:link w:val="Quote"/>
    <w:uiPriority w:val="29"/>
    <w:rsid w:val="00674986"/>
    <w:rPr>
      <w:i/>
      <w:iCs/>
      <w:color w:val="404040" w:themeColor="text1" w:themeTint="BF"/>
    </w:rPr>
  </w:style>
  <w:style w:type="paragraph" w:styleId="ListParagraph">
    <w:name w:val="List Paragraph"/>
    <w:basedOn w:val="Normal"/>
    <w:uiPriority w:val="34"/>
    <w:qFormat/>
    <w:rsid w:val="00674986"/>
    <w:pPr>
      <w:ind w:left="720"/>
      <w:contextualSpacing/>
    </w:pPr>
  </w:style>
  <w:style w:type="character" w:styleId="IntenseEmphasis">
    <w:name w:val="Intense Emphasis"/>
    <w:basedOn w:val="DefaultParagraphFont"/>
    <w:uiPriority w:val="21"/>
    <w:qFormat/>
    <w:rsid w:val="00674986"/>
    <w:rPr>
      <w:i/>
      <w:iCs/>
      <w:color w:val="2F5496" w:themeColor="accent1" w:themeShade="BF"/>
    </w:rPr>
  </w:style>
  <w:style w:type="paragraph" w:styleId="IntenseQuote">
    <w:name w:val="Intense Quote"/>
    <w:basedOn w:val="Normal"/>
    <w:next w:val="Normal"/>
    <w:link w:val="IntenseQuoteChar"/>
    <w:uiPriority w:val="30"/>
    <w:qFormat/>
    <w:rsid w:val="006749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986"/>
    <w:rPr>
      <w:i/>
      <w:iCs/>
      <w:color w:val="2F5496" w:themeColor="accent1" w:themeShade="BF"/>
    </w:rPr>
  </w:style>
  <w:style w:type="character" w:styleId="IntenseReference">
    <w:name w:val="Intense Reference"/>
    <w:basedOn w:val="DefaultParagraphFont"/>
    <w:uiPriority w:val="32"/>
    <w:qFormat/>
    <w:rsid w:val="00674986"/>
    <w:rPr>
      <w:b/>
      <w:bCs/>
      <w:smallCaps/>
      <w:color w:val="2F5496" w:themeColor="accent1" w:themeShade="BF"/>
      <w:spacing w:val="5"/>
    </w:rPr>
  </w:style>
  <w:style w:type="paragraph" w:styleId="TOCHeading">
    <w:name w:val="TOC Heading"/>
    <w:basedOn w:val="Heading1"/>
    <w:next w:val="Normal"/>
    <w:uiPriority w:val="39"/>
    <w:unhideWhenUsed/>
    <w:qFormat/>
    <w:rsid w:val="00FC3C7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C3C74"/>
    <w:pPr>
      <w:spacing w:after="100"/>
    </w:pPr>
  </w:style>
  <w:style w:type="character" w:styleId="Hyperlink">
    <w:name w:val="Hyperlink"/>
    <w:basedOn w:val="DefaultParagraphFont"/>
    <w:uiPriority w:val="99"/>
    <w:unhideWhenUsed/>
    <w:rsid w:val="00FC3C74"/>
    <w:rPr>
      <w:color w:val="0563C1" w:themeColor="hyperlink"/>
      <w:u w:val="single"/>
    </w:rPr>
  </w:style>
  <w:style w:type="paragraph" w:styleId="Header">
    <w:name w:val="header"/>
    <w:basedOn w:val="Normal"/>
    <w:link w:val="HeaderChar"/>
    <w:uiPriority w:val="99"/>
    <w:unhideWhenUsed/>
    <w:rsid w:val="00FC3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C74"/>
  </w:style>
  <w:style w:type="paragraph" w:styleId="Footer">
    <w:name w:val="footer"/>
    <w:basedOn w:val="Normal"/>
    <w:link w:val="FooterChar"/>
    <w:uiPriority w:val="99"/>
    <w:unhideWhenUsed/>
    <w:rsid w:val="00FC3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761E30-B90E-464B-AD7C-5DC1780CF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3192</Words>
  <Characters>18200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3</cp:revision>
  <dcterms:created xsi:type="dcterms:W3CDTF">2026-08-08T08:08:00Z</dcterms:created>
  <dcterms:modified xsi:type="dcterms:W3CDTF">2026-08-08T18:23:00Z</dcterms:modified>
</cp:coreProperties>
</file>