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F3003" w14:textId="77777777" w:rsidR="004D3C15" w:rsidRDefault="004D3C15"/>
    <w:p w14:paraId="17C9475F" w14:textId="77777777" w:rsidR="004D3C15" w:rsidRDefault="004D3C15"/>
    <w:p w14:paraId="34959A50" w14:textId="77777777" w:rsidR="004D3C15" w:rsidRDefault="004D3C15"/>
    <w:p w14:paraId="7598B35E" w14:textId="1FC3C627" w:rsidR="004D3C15" w:rsidRDefault="004D3C15">
      <w:r>
        <w:rPr>
          <w:noProof/>
        </w:rPr>
        <w:drawing>
          <wp:inline distT="0" distB="0" distL="0" distR="0" wp14:anchorId="0A3D05BF" wp14:editId="62123013">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81AA245" w14:textId="77777777" w:rsidR="004D3C15" w:rsidRDefault="004D3C15"/>
    <w:p w14:paraId="4BDBD0CC" w14:textId="78BB7823" w:rsidR="004D3C15" w:rsidRPr="00293C0A" w:rsidRDefault="00293C0A" w:rsidP="004D3C15">
      <w:pPr>
        <w:tabs>
          <w:tab w:val="left" w:pos="6540"/>
        </w:tabs>
        <w:spacing w:line="360" w:lineRule="auto"/>
        <w:rPr>
          <w:rFonts w:ascii="Arial" w:hAnsi="Arial" w:cs="Arial"/>
          <w:b/>
          <w:bCs/>
          <w:sz w:val="28"/>
          <w:szCs w:val="28"/>
        </w:rPr>
      </w:pPr>
      <w:r w:rsidRPr="00293C0A">
        <w:rPr>
          <w:rFonts w:ascii="Arial" w:hAnsi="Arial" w:cs="Arial"/>
          <w:b/>
          <w:bCs/>
          <w:sz w:val="28"/>
          <w:szCs w:val="28"/>
        </w:rPr>
        <w:t xml:space="preserve">             </w:t>
      </w:r>
      <w:r>
        <w:rPr>
          <w:rFonts w:ascii="Arial" w:hAnsi="Arial" w:cs="Arial"/>
          <w:b/>
          <w:bCs/>
          <w:sz w:val="28"/>
          <w:szCs w:val="28"/>
        </w:rPr>
        <w:t xml:space="preserve">   </w:t>
      </w:r>
      <w:r w:rsidRPr="00293C0A">
        <w:rPr>
          <w:rFonts w:ascii="Arial" w:hAnsi="Arial" w:cs="Arial"/>
          <w:b/>
          <w:bCs/>
          <w:sz w:val="28"/>
          <w:szCs w:val="28"/>
        </w:rPr>
        <w:t xml:space="preserve"> BSc (Hons) Health and Social Care</w:t>
      </w:r>
    </w:p>
    <w:p w14:paraId="4AE5F5A7" w14:textId="4DA2A177" w:rsidR="004D3C15" w:rsidRPr="00293C0A" w:rsidRDefault="004D3C15" w:rsidP="004D3C15">
      <w:pPr>
        <w:tabs>
          <w:tab w:val="left" w:pos="6540"/>
        </w:tabs>
        <w:spacing w:line="360" w:lineRule="auto"/>
        <w:rPr>
          <w:rFonts w:ascii="Arial" w:hAnsi="Arial" w:cs="Arial"/>
          <w:b/>
          <w:bCs/>
          <w:sz w:val="28"/>
          <w:szCs w:val="28"/>
          <w:lang w:val="nl-NL"/>
        </w:rPr>
      </w:pPr>
      <w:r w:rsidRPr="00293C0A">
        <w:rPr>
          <w:rFonts w:ascii="Arial" w:hAnsi="Arial" w:cs="Arial"/>
          <w:b/>
          <w:bCs/>
          <w:sz w:val="28"/>
          <w:szCs w:val="28"/>
          <w:lang w:val="nl-NL"/>
        </w:rPr>
        <w:t xml:space="preserve">Module name: </w:t>
      </w:r>
      <w:r w:rsidR="00293C0A" w:rsidRPr="00293C0A">
        <w:rPr>
          <w:rFonts w:ascii="Arial" w:hAnsi="Arial" w:cs="Arial"/>
          <w:b/>
          <w:bCs/>
          <w:sz w:val="28"/>
          <w:szCs w:val="28"/>
        </w:rPr>
        <w:t>Introduction to Independent Research Skills</w:t>
      </w:r>
    </w:p>
    <w:p w14:paraId="730DF5CF" w14:textId="3470456F" w:rsidR="004D3C15" w:rsidRPr="00293C0A" w:rsidRDefault="004D3C15" w:rsidP="004D3C15">
      <w:pPr>
        <w:tabs>
          <w:tab w:val="left" w:pos="6540"/>
        </w:tabs>
        <w:spacing w:line="360" w:lineRule="auto"/>
        <w:rPr>
          <w:rFonts w:ascii="Arial" w:hAnsi="Arial" w:cs="Arial"/>
          <w:b/>
          <w:bCs/>
          <w:sz w:val="28"/>
          <w:szCs w:val="28"/>
        </w:rPr>
      </w:pPr>
      <w:r w:rsidRPr="00293C0A">
        <w:rPr>
          <w:rFonts w:ascii="Arial" w:hAnsi="Arial" w:cs="Arial"/>
          <w:b/>
          <w:bCs/>
          <w:sz w:val="28"/>
          <w:szCs w:val="28"/>
        </w:rPr>
        <w:t>Module code:</w:t>
      </w:r>
      <w:r w:rsidR="00293C0A" w:rsidRPr="00293C0A">
        <w:rPr>
          <w:rFonts w:ascii="Arial" w:hAnsi="Arial" w:cs="Arial"/>
          <w:b/>
          <w:bCs/>
          <w:sz w:val="28"/>
          <w:szCs w:val="28"/>
        </w:rPr>
        <w:t xml:space="preserve"> BMHP5019</w:t>
      </w:r>
    </w:p>
    <w:p w14:paraId="799C06D9" w14:textId="611CA68F" w:rsidR="004D3C15" w:rsidRPr="00293C0A" w:rsidRDefault="00293C0A" w:rsidP="004D3C15">
      <w:pPr>
        <w:tabs>
          <w:tab w:val="left" w:pos="6540"/>
        </w:tabs>
        <w:spacing w:line="360" w:lineRule="auto"/>
        <w:rPr>
          <w:rFonts w:ascii="Arial" w:hAnsi="Arial" w:cs="Arial"/>
          <w:b/>
          <w:bCs/>
          <w:sz w:val="28"/>
          <w:szCs w:val="28"/>
          <w:lang w:val="nl-NL"/>
        </w:rPr>
      </w:pPr>
      <w:r w:rsidRPr="00293C0A">
        <w:rPr>
          <w:rFonts w:ascii="Arial" w:hAnsi="Arial" w:cs="Arial"/>
          <w:b/>
          <w:bCs/>
          <w:sz w:val="28"/>
          <w:szCs w:val="28"/>
        </w:rPr>
        <w:t>Lecturer: Bianca Sanfilippo</w:t>
      </w:r>
    </w:p>
    <w:p w14:paraId="71BFAE63" w14:textId="5DAE13D5" w:rsidR="004D3C15" w:rsidRPr="00293C0A" w:rsidRDefault="004D3C15" w:rsidP="004D3C15">
      <w:pPr>
        <w:tabs>
          <w:tab w:val="left" w:pos="6540"/>
        </w:tabs>
        <w:spacing w:line="360" w:lineRule="auto"/>
        <w:rPr>
          <w:rFonts w:ascii="Arial" w:hAnsi="Arial" w:cs="Arial"/>
          <w:b/>
          <w:bCs/>
          <w:sz w:val="28"/>
          <w:szCs w:val="28"/>
          <w:lang w:val="nl-NL"/>
        </w:rPr>
      </w:pPr>
      <w:r w:rsidRPr="00293C0A">
        <w:rPr>
          <w:rFonts w:ascii="Arial" w:hAnsi="Arial" w:cs="Arial"/>
          <w:b/>
          <w:bCs/>
          <w:sz w:val="28"/>
          <w:szCs w:val="28"/>
          <w:lang w:val="nl-NL"/>
        </w:rPr>
        <w:t>Student name:</w:t>
      </w:r>
      <w:r w:rsidR="00293C0A" w:rsidRPr="00293C0A">
        <w:rPr>
          <w:rFonts w:ascii="Arial" w:hAnsi="Arial" w:cs="Arial"/>
          <w:b/>
          <w:bCs/>
          <w:sz w:val="28"/>
          <w:szCs w:val="28"/>
          <w:lang w:val="nl-NL"/>
        </w:rPr>
        <w:t>Diyana Vasileva</w:t>
      </w:r>
    </w:p>
    <w:p w14:paraId="6191FA08" w14:textId="6281F043" w:rsidR="004D3C15" w:rsidRPr="00293C0A" w:rsidRDefault="004D3C15" w:rsidP="004D3C15">
      <w:pPr>
        <w:tabs>
          <w:tab w:val="left" w:pos="6540"/>
        </w:tabs>
        <w:spacing w:line="360" w:lineRule="auto"/>
        <w:rPr>
          <w:rFonts w:ascii="Arial" w:hAnsi="Arial" w:cs="Arial"/>
          <w:b/>
          <w:bCs/>
          <w:sz w:val="28"/>
          <w:szCs w:val="28"/>
          <w:lang w:val="nl-NL"/>
        </w:rPr>
      </w:pPr>
      <w:r w:rsidRPr="00293C0A">
        <w:rPr>
          <w:rFonts w:ascii="Arial" w:hAnsi="Arial" w:cs="Arial"/>
          <w:b/>
          <w:bCs/>
          <w:sz w:val="28"/>
          <w:szCs w:val="28"/>
          <w:lang w:val="nl-NL"/>
        </w:rPr>
        <w:t>Student ID:</w:t>
      </w:r>
      <w:r w:rsidR="00293C0A" w:rsidRPr="00293C0A">
        <w:rPr>
          <w:rFonts w:ascii="Arial" w:hAnsi="Arial" w:cs="Arial"/>
          <w:b/>
          <w:bCs/>
          <w:sz w:val="28"/>
          <w:szCs w:val="28"/>
          <w:lang w:val="nl-NL"/>
        </w:rPr>
        <w:t>2328440</w:t>
      </w:r>
    </w:p>
    <w:p w14:paraId="3831FEAA" w14:textId="77777777" w:rsidR="004D3C15" w:rsidRDefault="004D3C15" w:rsidP="004D3C15">
      <w:pPr>
        <w:tabs>
          <w:tab w:val="left" w:pos="6540"/>
        </w:tabs>
        <w:spacing w:line="360" w:lineRule="auto"/>
        <w:rPr>
          <w:rFonts w:ascii="Arial" w:hAnsi="Arial" w:cs="Arial"/>
          <w:sz w:val="28"/>
          <w:szCs w:val="28"/>
          <w:lang w:val="nl-NL"/>
        </w:rPr>
      </w:pPr>
    </w:p>
    <w:p w14:paraId="71039FF7" w14:textId="77777777" w:rsidR="004D3C15" w:rsidRDefault="004D3C15" w:rsidP="004D3C15">
      <w:pPr>
        <w:tabs>
          <w:tab w:val="left" w:pos="6540"/>
        </w:tabs>
        <w:spacing w:line="360" w:lineRule="auto"/>
        <w:rPr>
          <w:rFonts w:ascii="Arial" w:hAnsi="Arial" w:cs="Arial"/>
          <w:sz w:val="28"/>
          <w:szCs w:val="28"/>
        </w:rPr>
      </w:pPr>
      <w:r>
        <w:rPr>
          <w:rFonts w:ascii="Arial" w:hAnsi="Arial" w:cs="Arial"/>
          <w:b/>
          <w:bCs/>
          <w:sz w:val="28"/>
          <w:szCs w:val="28"/>
        </w:rPr>
        <w:t>Word count</w:t>
      </w:r>
      <w:r>
        <w:rPr>
          <w:rFonts w:ascii="Arial" w:hAnsi="Arial" w:cs="Arial"/>
          <w:sz w:val="28"/>
          <w:szCs w:val="28"/>
        </w:rPr>
        <w:t>:</w:t>
      </w:r>
    </w:p>
    <w:p w14:paraId="48441101" w14:textId="77777777" w:rsidR="0020785D" w:rsidRDefault="0020785D" w:rsidP="004D3C15">
      <w:pPr>
        <w:tabs>
          <w:tab w:val="left" w:pos="6540"/>
        </w:tabs>
        <w:spacing w:line="360" w:lineRule="auto"/>
        <w:rPr>
          <w:rFonts w:ascii="Arial" w:hAnsi="Arial" w:cs="Arial"/>
          <w:sz w:val="28"/>
          <w:szCs w:val="28"/>
        </w:rPr>
      </w:pPr>
    </w:p>
    <w:p w14:paraId="0830E80F" w14:textId="77777777" w:rsidR="0020785D" w:rsidRDefault="0020785D" w:rsidP="004D3C15">
      <w:pPr>
        <w:tabs>
          <w:tab w:val="left" w:pos="6540"/>
        </w:tabs>
        <w:spacing w:line="360" w:lineRule="auto"/>
        <w:rPr>
          <w:rFonts w:ascii="Arial" w:hAnsi="Arial" w:cs="Arial"/>
          <w:sz w:val="28"/>
          <w:szCs w:val="28"/>
        </w:rPr>
      </w:pPr>
    </w:p>
    <w:p w14:paraId="4B3DD07E" w14:textId="77777777" w:rsidR="0020785D" w:rsidRDefault="0020785D" w:rsidP="004D3C15">
      <w:pPr>
        <w:tabs>
          <w:tab w:val="left" w:pos="6540"/>
        </w:tabs>
        <w:spacing w:line="360" w:lineRule="auto"/>
        <w:rPr>
          <w:rFonts w:ascii="Arial" w:hAnsi="Arial" w:cs="Arial"/>
          <w:sz w:val="28"/>
          <w:szCs w:val="28"/>
        </w:rPr>
      </w:pPr>
    </w:p>
    <w:p w14:paraId="0F85EEBB" w14:textId="365557BD" w:rsidR="0020785D" w:rsidRDefault="0020785D" w:rsidP="004D3C15">
      <w:pPr>
        <w:tabs>
          <w:tab w:val="left" w:pos="6540"/>
        </w:tabs>
        <w:spacing w:line="360" w:lineRule="auto"/>
        <w:rPr>
          <w:rFonts w:ascii="Arial" w:hAnsi="Arial" w:cs="Arial"/>
          <w:b/>
          <w:bCs/>
          <w:color w:val="000000"/>
          <w:kern w:val="0"/>
          <w:sz w:val="32"/>
          <w:szCs w:val="32"/>
          <w14:ligatures w14:val="none"/>
        </w:rPr>
      </w:pPr>
      <w:r>
        <w:rPr>
          <w:rFonts w:ascii="Arial" w:hAnsi="Arial" w:cs="Arial"/>
          <w:b/>
          <w:bCs/>
          <w:color w:val="000000"/>
          <w:kern w:val="0"/>
          <w:sz w:val="32"/>
          <w:szCs w:val="32"/>
          <w14:ligatures w14:val="none"/>
        </w:rPr>
        <w:t>The impact and importance of nutrition for adult people with autoimmune disease living in the UK</w:t>
      </w:r>
    </w:p>
    <w:p w14:paraId="6890E02C" w14:textId="77777777" w:rsidR="002901EF" w:rsidRDefault="002901EF" w:rsidP="004D3C15">
      <w:pPr>
        <w:tabs>
          <w:tab w:val="left" w:pos="6540"/>
        </w:tabs>
        <w:spacing w:line="360" w:lineRule="auto"/>
        <w:rPr>
          <w:rFonts w:ascii="Arial" w:hAnsi="Arial" w:cs="Arial"/>
          <w:b/>
          <w:bCs/>
          <w:color w:val="000000"/>
          <w:kern w:val="0"/>
          <w:sz w:val="32"/>
          <w:szCs w:val="32"/>
          <w14:ligatures w14:val="none"/>
        </w:rPr>
      </w:pPr>
    </w:p>
    <w:p w14:paraId="1C1098F3" w14:textId="73B1E849" w:rsidR="002901EF" w:rsidRDefault="002901EF" w:rsidP="004D3C15">
      <w:pPr>
        <w:tabs>
          <w:tab w:val="left" w:pos="6540"/>
        </w:tabs>
        <w:spacing w:line="360" w:lineRule="auto"/>
        <w:rPr>
          <w:rFonts w:ascii="Arial" w:hAnsi="Arial" w:cs="Arial"/>
          <w:b/>
          <w:bCs/>
          <w:color w:val="000000"/>
          <w:kern w:val="0"/>
          <w:sz w:val="32"/>
          <w:szCs w:val="32"/>
          <w14:ligatures w14:val="none"/>
        </w:rPr>
      </w:pPr>
    </w:p>
    <w:p w14:paraId="45BA16D1" w14:textId="77777777" w:rsidR="002901EF" w:rsidRDefault="002901EF" w:rsidP="004D3C15">
      <w:pPr>
        <w:tabs>
          <w:tab w:val="left" w:pos="6540"/>
        </w:tabs>
        <w:spacing w:line="360" w:lineRule="auto"/>
        <w:rPr>
          <w:rFonts w:ascii="Arial" w:hAnsi="Arial" w:cs="Arial"/>
          <w:b/>
          <w:bCs/>
          <w:color w:val="000000"/>
          <w:kern w:val="0"/>
          <w:sz w:val="32"/>
          <w:szCs w:val="32"/>
          <w14:ligatures w14:val="none"/>
        </w:rPr>
      </w:pPr>
    </w:p>
    <w:sdt>
      <w:sdtPr>
        <w:id w:val="-14712402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1295858" w14:textId="1CD90EF9" w:rsidR="00831C72" w:rsidRDefault="008E7218">
          <w:pPr>
            <w:pStyle w:val="TOCHeading"/>
          </w:pPr>
          <w:r>
            <w:t xml:space="preserve">Table of </w:t>
          </w:r>
          <w:r w:rsidR="00831C72">
            <w:t>Contents</w:t>
          </w:r>
        </w:p>
        <w:p w14:paraId="3E45A68B" w14:textId="423D1933" w:rsidR="00831C72" w:rsidRDefault="00831C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7310899" w:history="1">
            <w:r w:rsidRPr="004F7674">
              <w:rPr>
                <w:rStyle w:val="Hyperlink"/>
                <w:noProof/>
              </w:rPr>
              <w:t>ABSTRACT</w:t>
            </w:r>
            <w:r>
              <w:rPr>
                <w:noProof/>
                <w:webHidden/>
              </w:rPr>
              <w:tab/>
            </w:r>
            <w:r>
              <w:rPr>
                <w:noProof/>
                <w:webHidden/>
              </w:rPr>
              <w:fldChar w:fldCharType="begin"/>
            </w:r>
            <w:r>
              <w:rPr>
                <w:noProof/>
                <w:webHidden/>
              </w:rPr>
              <w:instrText xml:space="preserve"> PAGEREF _Toc227310899 \h </w:instrText>
            </w:r>
            <w:r>
              <w:rPr>
                <w:noProof/>
                <w:webHidden/>
              </w:rPr>
            </w:r>
            <w:r>
              <w:rPr>
                <w:noProof/>
                <w:webHidden/>
              </w:rPr>
              <w:fldChar w:fldCharType="separate"/>
            </w:r>
            <w:r>
              <w:rPr>
                <w:noProof/>
                <w:webHidden/>
              </w:rPr>
              <w:t>3</w:t>
            </w:r>
            <w:r>
              <w:rPr>
                <w:noProof/>
                <w:webHidden/>
              </w:rPr>
              <w:fldChar w:fldCharType="end"/>
            </w:r>
          </w:hyperlink>
        </w:p>
        <w:p w14:paraId="11130A5A" w14:textId="3D83B34A" w:rsidR="00831C72" w:rsidRDefault="00831C72">
          <w:pPr>
            <w:pStyle w:val="TOC1"/>
            <w:tabs>
              <w:tab w:val="right" w:leader="dot" w:pos="9016"/>
            </w:tabs>
            <w:rPr>
              <w:rFonts w:eastAsiaTheme="minorEastAsia"/>
              <w:noProof/>
              <w:lang w:eastAsia="en-GB"/>
            </w:rPr>
          </w:pPr>
          <w:hyperlink w:anchor="_Toc227310900" w:history="1">
            <w:r w:rsidRPr="004F7674">
              <w:rPr>
                <w:rStyle w:val="Hyperlink"/>
                <w:noProof/>
              </w:rPr>
              <w:t>1.INTRODUCTION</w:t>
            </w:r>
            <w:r>
              <w:rPr>
                <w:noProof/>
                <w:webHidden/>
              </w:rPr>
              <w:tab/>
            </w:r>
            <w:r>
              <w:rPr>
                <w:noProof/>
                <w:webHidden/>
              </w:rPr>
              <w:fldChar w:fldCharType="begin"/>
            </w:r>
            <w:r>
              <w:rPr>
                <w:noProof/>
                <w:webHidden/>
              </w:rPr>
              <w:instrText xml:space="preserve"> PAGEREF _Toc227310900 \h </w:instrText>
            </w:r>
            <w:r>
              <w:rPr>
                <w:noProof/>
                <w:webHidden/>
              </w:rPr>
            </w:r>
            <w:r>
              <w:rPr>
                <w:noProof/>
                <w:webHidden/>
              </w:rPr>
              <w:fldChar w:fldCharType="separate"/>
            </w:r>
            <w:r>
              <w:rPr>
                <w:noProof/>
                <w:webHidden/>
              </w:rPr>
              <w:t>4</w:t>
            </w:r>
            <w:r>
              <w:rPr>
                <w:noProof/>
                <w:webHidden/>
              </w:rPr>
              <w:fldChar w:fldCharType="end"/>
            </w:r>
          </w:hyperlink>
        </w:p>
        <w:p w14:paraId="2280C8BB" w14:textId="16A73342" w:rsidR="00831C72" w:rsidRDefault="00831C72">
          <w:pPr>
            <w:pStyle w:val="TOC2"/>
            <w:tabs>
              <w:tab w:val="right" w:leader="dot" w:pos="9016"/>
            </w:tabs>
            <w:rPr>
              <w:rFonts w:eastAsiaTheme="minorEastAsia"/>
              <w:noProof/>
              <w:lang w:eastAsia="en-GB"/>
            </w:rPr>
          </w:pPr>
          <w:hyperlink w:anchor="_Toc227310901" w:history="1">
            <w:r w:rsidRPr="004F7674">
              <w:rPr>
                <w:rStyle w:val="Hyperlink"/>
                <w:noProof/>
              </w:rPr>
              <w:t>Main conception</w:t>
            </w:r>
            <w:r>
              <w:rPr>
                <w:noProof/>
                <w:webHidden/>
              </w:rPr>
              <w:tab/>
            </w:r>
            <w:r>
              <w:rPr>
                <w:noProof/>
                <w:webHidden/>
              </w:rPr>
              <w:fldChar w:fldCharType="begin"/>
            </w:r>
            <w:r>
              <w:rPr>
                <w:noProof/>
                <w:webHidden/>
              </w:rPr>
              <w:instrText xml:space="preserve"> PAGEREF _Toc227310901 \h </w:instrText>
            </w:r>
            <w:r>
              <w:rPr>
                <w:noProof/>
                <w:webHidden/>
              </w:rPr>
            </w:r>
            <w:r>
              <w:rPr>
                <w:noProof/>
                <w:webHidden/>
              </w:rPr>
              <w:fldChar w:fldCharType="separate"/>
            </w:r>
            <w:r>
              <w:rPr>
                <w:noProof/>
                <w:webHidden/>
              </w:rPr>
              <w:t>4</w:t>
            </w:r>
            <w:r>
              <w:rPr>
                <w:noProof/>
                <w:webHidden/>
              </w:rPr>
              <w:fldChar w:fldCharType="end"/>
            </w:r>
          </w:hyperlink>
        </w:p>
        <w:p w14:paraId="41A183F4" w14:textId="16A7C2EB" w:rsidR="00831C72" w:rsidRDefault="00831C72">
          <w:pPr>
            <w:pStyle w:val="TOC2"/>
            <w:tabs>
              <w:tab w:val="right" w:leader="dot" w:pos="9016"/>
            </w:tabs>
            <w:rPr>
              <w:rFonts w:eastAsiaTheme="minorEastAsia"/>
              <w:noProof/>
              <w:lang w:eastAsia="en-GB"/>
            </w:rPr>
          </w:pPr>
          <w:hyperlink w:anchor="_Toc227310902" w:history="1">
            <w:r w:rsidRPr="004F7674">
              <w:rPr>
                <w:rStyle w:val="Hyperlink"/>
                <w:noProof/>
              </w:rPr>
              <w:t>Rationale</w:t>
            </w:r>
            <w:r>
              <w:rPr>
                <w:noProof/>
                <w:webHidden/>
              </w:rPr>
              <w:tab/>
            </w:r>
            <w:r>
              <w:rPr>
                <w:noProof/>
                <w:webHidden/>
              </w:rPr>
              <w:fldChar w:fldCharType="begin"/>
            </w:r>
            <w:r>
              <w:rPr>
                <w:noProof/>
                <w:webHidden/>
              </w:rPr>
              <w:instrText xml:space="preserve"> PAGEREF _Toc227310902 \h </w:instrText>
            </w:r>
            <w:r>
              <w:rPr>
                <w:noProof/>
                <w:webHidden/>
              </w:rPr>
            </w:r>
            <w:r>
              <w:rPr>
                <w:noProof/>
                <w:webHidden/>
              </w:rPr>
              <w:fldChar w:fldCharType="separate"/>
            </w:r>
            <w:r>
              <w:rPr>
                <w:noProof/>
                <w:webHidden/>
              </w:rPr>
              <w:t>4</w:t>
            </w:r>
            <w:r>
              <w:rPr>
                <w:noProof/>
                <w:webHidden/>
              </w:rPr>
              <w:fldChar w:fldCharType="end"/>
            </w:r>
          </w:hyperlink>
        </w:p>
        <w:p w14:paraId="6C4FEF32" w14:textId="79164804" w:rsidR="00831C72" w:rsidRDefault="00831C72">
          <w:pPr>
            <w:pStyle w:val="TOC2"/>
            <w:tabs>
              <w:tab w:val="right" w:leader="dot" w:pos="9016"/>
            </w:tabs>
            <w:rPr>
              <w:rFonts w:eastAsiaTheme="minorEastAsia"/>
              <w:noProof/>
              <w:lang w:eastAsia="en-GB"/>
            </w:rPr>
          </w:pPr>
          <w:hyperlink w:anchor="_Toc227310903" w:history="1">
            <w:r w:rsidRPr="004F7674">
              <w:rPr>
                <w:rStyle w:val="Hyperlink"/>
                <w:noProof/>
              </w:rPr>
              <w:t>Review questions</w:t>
            </w:r>
            <w:r>
              <w:rPr>
                <w:noProof/>
                <w:webHidden/>
              </w:rPr>
              <w:tab/>
            </w:r>
            <w:r>
              <w:rPr>
                <w:noProof/>
                <w:webHidden/>
              </w:rPr>
              <w:fldChar w:fldCharType="begin"/>
            </w:r>
            <w:r>
              <w:rPr>
                <w:noProof/>
                <w:webHidden/>
              </w:rPr>
              <w:instrText xml:space="preserve"> PAGEREF _Toc227310903 \h </w:instrText>
            </w:r>
            <w:r>
              <w:rPr>
                <w:noProof/>
                <w:webHidden/>
              </w:rPr>
            </w:r>
            <w:r>
              <w:rPr>
                <w:noProof/>
                <w:webHidden/>
              </w:rPr>
              <w:fldChar w:fldCharType="separate"/>
            </w:r>
            <w:r>
              <w:rPr>
                <w:noProof/>
                <w:webHidden/>
              </w:rPr>
              <w:t>5</w:t>
            </w:r>
            <w:r>
              <w:rPr>
                <w:noProof/>
                <w:webHidden/>
              </w:rPr>
              <w:fldChar w:fldCharType="end"/>
            </w:r>
          </w:hyperlink>
        </w:p>
        <w:p w14:paraId="51983CE9" w14:textId="2FCC8EB7" w:rsidR="00831C72" w:rsidRDefault="00831C72">
          <w:pPr>
            <w:pStyle w:val="TOC2"/>
            <w:tabs>
              <w:tab w:val="right" w:leader="dot" w:pos="9016"/>
            </w:tabs>
            <w:rPr>
              <w:rFonts w:eastAsiaTheme="minorEastAsia"/>
              <w:noProof/>
              <w:lang w:eastAsia="en-GB"/>
            </w:rPr>
          </w:pPr>
          <w:hyperlink w:anchor="_Toc227310904" w:history="1">
            <w:r w:rsidRPr="004F7674">
              <w:rPr>
                <w:rStyle w:val="Hyperlink"/>
                <w:noProof/>
              </w:rPr>
              <w:t>Objectives</w:t>
            </w:r>
            <w:r>
              <w:rPr>
                <w:noProof/>
                <w:webHidden/>
              </w:rPr>
              <w:tab/>
            </w:r>
            <w:r>
              <w:rPr>
                <w:noProof/>
                <w:webHidden/>
              </w:rPr>
              <w:fldChar w:fldCharType="begin"/>
            </w:r>
            <w:r>
              <w:rPr>
                <w:noProof/>
                <w:webHidden/>
              </w:rPr>
              <w:instrText xml:space="preserve"> PAGEREF _Toc227310904 \h </w:instrText>
            </w:r>
            <w:r>
              <w:rPr>
                <w:noProof/>
                <w:webHidden/>
              </w:rPr>
            </w:r>
            <w:r>
              <w:rPr>
                <w:noProof/>
                <w:webHidden/>
              </w:rPr>
              <w:fldChar w:fldCharType="separate"/>
            </w:r>
            <w:r>
              <w:rPr>
                <w:noProof/>
                <w:webHidden/>
              </w:rPr>
              <w:t>5</w:t>
            </w:r>
            <w:r>
              <w:rPr>
                <w:noProof/>
                <w:webHidden/>
              </w:rPr>
              <w:fldChar w:fldCharType="end"/>
            </w:r>
          </w:hyperlink>
        </w:p>
        <w:p w14:paraId="58659846" w14:textId="704B3612" w:rsidR="00831C72" w:rsidRDefault="00831C72">
          <w:pPr>
            <w:pStyle w:val="TOC1"/>
            <w:tabs>
              <w:tab w:val="right" w:leader="dot" w:pos="9016"/>
            </w:tabs>
            <w:rPr>
              <w:rFonts w:eastAsiaTheme="minorEastAsia"/>
              <w:noProof/>
              <w:lang w:eastAsia="en-GB"/>
            </w:rPr>
          </w:pPr>
          <w:hyperlink w:anchor="_Toc227310905" w:history="1">
            <w:r w:rsidRPr="004F7674">
              <w:rPr>
                <w:rStyle w:val="Hyperlink"/>
                <w:noProof/>
              </w:rPr>
              <w:t>2. BACKGROUND</w:t>
            </w:r>
            <w:r>
              <w:rPr>
                <w:noProof/>
                <w:webHidden/>
              </w:rPr>
              <w:tab/>
            </w:r>
            <w:r>
              <w:rPr>
                <w:noProof/>
                <w:webHidden/>
              </w:rPr>
              <w:fldChar w:fldCharType="begin"/>
            </w:r>
            <w:r>
              <w:rPr>
                <w:noProof/>
                <w:webHidden/>
              </w:rPr>
              <w:instrText xml:space="preserve"> PAGEREF _Toc227310905 \h </w:instrText>
            </w:r>
            <w:r>
              <w:rPr>
                <w:noProof/>
                <w:webHidden/>
              </w:rPr>
            </w:r>
            <w:r>
              <w:rPr>
                <w:noProof/>
                <w:webHidden/>
              </w:rPr>
              <w:fldChar w:fldCharType="separate"/>
            </w:r>
            <w:r>
              <w:rPr>
                <w:noProof/>
                <w:webHidden/>
              </w:rPr>
              <w:t>5</w:t>
            </w:r>
            <w:r>
              <w:rPr>
                <w:noProof/>
                <w:webHidden/>
              </w:rPr>
              <w:fldChar w:fldCharType="end"/>
            </w:r>
          </w:hyperlink>
        </w:p>
        <w:p w14:paraId="4C8FA945" w14:textId="40EF324A" w:rsidR="00831C72" w:rsidRDefault="00831C72">
          <w:pPr>
            <w:pStyle w:val="TOC2"/>
            <w:tabs>
              <w:tab w:val="right" w:leader="dot" w:pos="9016"/>
            </w:tabs>
            <w:rPr>
              <w:rFonts w:eastAsiaTheme="minorEastAsia"/>
              <w:noProof/>
              <w:lang w:eastAsia="en-GB"/>
            </w:rPr>
          </w:pPr>
          <w:hyperlink w:anchor="_Toc227310906" w:history="1">
            <w:r w:rsidRPr="004F7674">
              <w:rPr>
                <w:rStyle w:val="Hyperlink"/>
                <w:noProof/>
              </w:rPr>
              <w:t>Contextual information</w:t>
            </w:r>
            <w:r>
              <w:rPr>
                <w:noProof/>
                <w:webHidden/>
              </w:rPr>
              <w:tab/>
            </w:r>
            <w:r>
              <w:rPr>
                <w:noProof/>
                <w:webHidden/>
              </w:rPr>
              <w:fldChar w:fldCharType="begin"/>
            </w:r>
            <w:r>
              <w:rPr>
                <w:noProof/>
                <w:webHidden/>
              </w:rPr>
              <w:instrText xml:space="preserve"> PAGEREF _Toc227310906 \h </w:instrText>
            </w:r>
            <w:r>
              <w:rPr>
                <w:noProof/>
                <w:webHidden/>
              </w:rPr>
            </w:r>
            <w:r>
              <w:rPr>
                <w:noProof/>
                <w:webHidden/>
              </w:rPr>
              <w:fldChar w:fldCharType="separate"/>
            </w:r>
            <w:r>
              <w:rPr>
                <w:noProof/>
                <w:webHidden/>
              </w:rPr>
              <w:t>5</w:t>
            </w:r>
            <w:r>
              <w:rPr>
                <w:noProof/>
                <w:webHidden/>
              </w:rPr>
              <w:fldChar w:fldCharType="end"/>
            </w:r>
          </w:hyperlink>
        </w:p>
        <w:p w14:paraId="3E5D8EDD" w14:textId="623B9C7D" w:rsidR="00831C72" w:rsidRDefault="00831C72">
          <w:pPr>
            <w:pStyle w:val="TOC1"/>
            <w:tabs>
              <w:tab w:val="right" w:leader="dot" w:pos="9016"/>
            </w:tabs>
            <w:rPr>
              <w:rFonts w:eastAsiaTheme="minorEastAsia"/>
              <w:noProof/>
              <w:lang w:eastAsia="en-GB"/>
            </w:rPr>
          </w:pPr>
          <w:hyperlink w:anchor="_Toc227310907" w:history="1">
            <w:r w:rsidRPr="004F7674">
              <w:rPr>
                <w:rStyle w:val="Hyperlink"/>
                <w:noProof/>
              </w:rPr>
              <w:t>3. METHODS</w:t>
            </w:r>
            <w:r>
              <w:rPr>
                <w:noProof/>
                <w:webHidden/>
              </w:rPr>
              <w:tab/>
            </w:r>
            <w:r>
              <w:rPr>
                <w:noProof/>
                <w:webHidden/>
              </w:rPr>
              <w:fldChar w:fldCharType="begin"/>
            </w:r>
            <w:r>
              <w:rPr>
                <w:noProof/>
                <w:webHidden/>
              </w:rPr>
              <w:instrText xml:space="preserve"> PAGEREF _Toc227310907 \h </w:instrText>
            </w:r>
            <w:r>
              <w:rPr>
                <w:noProof/>
                <w:webHidden/>
              </w:rPr>
            </w:r>
            <w:r>
              <w:rPr>
                <w:noProof/>
                <w:webHidden/>
              </w:rPr>
              <w:fldChar w:fldCharType="separate"/>
            </w:r>
            <w:r>
              <w:rPr>
                <w:noProof/>
                <w:webHidden/>
              </w:rPr>
              <w:t>6</w:t>
            </w:r>
            <w:r>
              <w:rPr>
                <w:noProof/>
                <w:webHidden/>
              </w:rPr>
              <w:fldChar w:fldCharType="end"/>
            </w:r>
          </w:hyperlink>
        </w:p>
        <w:p w14:paraId="263E831D" w14:textId="0F90C9B3" w:rsidR="00831C72" w:rsidRDefault="00176734" w:rsidP="00176734">
          <w:pPr>
            <w:pStyle w:val="TOC3"/>
            <w:tabs>
              <w:tab w:val="right" w:leader="dot" w:pos="9016"/>
            </w:tabs>
            <w:ind w:left="0"/>
            <w:rPr>
              <w:rFonts w:eastAsiaTheme="minorEastAsia"/>
              <w:noProof/>
              <w:lang w:eastAsia="en-GB"/>
            </w:rPr>
          </w:pPr>
          <w:r>
            <w:rPr>
              <w:rStyle w:val="Hyperlink"/>
              <w:noProof/>
            </w:rPr>
            <w:t xml:space="preserve"> </w:t>
          </w:r>
          <w:hyperlink w:anchor="_Toc227310908" w:history="1">
            <w:r w:rsidR="00831C72" w:rsidRPr="004F7674">
              <w:rPr>
                <w:rStyle w:val="Hyperlink"/>
                <w:noProof/>
              </w:rPr>
              <w:t>Methods</w:t>
            </w:r>
            <w:r w:rsidR="00831C72">
              <w:rPr>
                <w:noProof/>
                <w:webHidden/>
              </w:rPr>
              <w:tab/>
            </w:r>
            <w:r w:rsidR="00831C72">
              <w:rPr>
                <w:noProof/>
                <w:webHidden/>
              </w:rPr>
              <w:fldChar w:fldCharType="begin"/>
            </w:r>
            <w:r w:rsidR="00831C72">
              <w:rPr>
                <w:noProof/>
                <w:webHidden/>
              </w:rPr>
              <w:instrText xml:space="preserve"> PAGEREF _Toc227310908 \h </w:instrText>
            </w:r>
            <w:r w:rsidR="00831C72">
              <w:rPr>
                <w:noProof/>
                <w:webHidden/>
              </w:rPr>
            </w:r>
            <w:r w:rsidR="00831C72">
              <w:rPr>
                <w:noProof/>
                <w:webHidden/>
              </w:rPr>
              <w:fldChar w:fldCharType="separate"/>
            </w:r>
            <w:r w:rsidR="00831C72">
              <w:rPr>
                <w:noProof/>
                <w:webHidden/>
              </w:rPr>
              <w:t>6</w:t>
            </w:r>
            <w:r w:rsidR="00831C72">
              <w:rPr>
                <w:noProof/>
                <w:webHidden/>
              </w:rPr>
              <w:fldChar w:fldCharType="end"/>
            </w:r>
          </w:hyperlink>
        </w:p>
        <w:p w14:paraId="4738A64F" w14:textId="213A56FF" w:rsidR="00831C72" w:rsidRDefault="00831C72">
          <w:pPr>
            <w:pStyle w:val="TOC2"/>
            <w:tabs>
              <w:tab w:val="right" w:leader="dot" w:pos="9016"/>
            </w:tabs>
            <w:rPr>
              <w:rFonts w:eastAsiaTheme="minorEastAsia"/>
              <w:noProof/>
              <w:lang w:eastAsia="en-GB"/>
            </w:rPr>
          </w:pPr>
          <w:hyperlink w:anchor="_Toc227310909" w:history="1">
            <w:r w:rsidRPr="004F7674">
              <w:rPr>
                <w:rStyle w:val="Hyperlink"/>
                <w:noProof/>
              </w:rPr>
              <w:t>Keywords</w:t>
            </w:r>
            <w:r>
              <w:rPr>
                <w:noProof/>
                <w:webHidden/>
              </w:rPr>
              <w:tab/>
            </w:r>
            <w:r>
              <w:rPr>
                <w:noProof/>
                <w:webHidden/>
              </w:rPr>
              <w:fldChar w:fldCharType="begin"/>
            </w:r>
            <w:r>
              <w:rPr>
                <w:noProof/>
                <w:webHidden/>
              </w:rPr>
              <w:instrText xml:space="preserve"> PAGEREF _Toc227310909 \h </w:instrText>
            </w:r>
            <w:r>
              <w:rPr>
                <w:noProof/>
                <w:webHidden/>
              </w:rPr>
            </w:r>
            <w:r>
              <w:rPr>
                <w:noProof/>
                <w:webHidden/>
              </w:rPr>
              <w:fldChar w:fldCharType="separate"/>
            </w:r>
            <w:r>
              <w:rPr>
                <w:noProof/>
                <w:webHidden/>
              </w:rPr>
              <w:t>7</w:t>
            </w:r>
            <w:r>
              <w:rPr>
                <w:noProof/>
                <w:webHidden/>
              </w:rPr>
              <w:fldChar w:fldCharType="end"/>
            </w:r>
          </w:hyperlink>
        </w:p>
        <w:p w14:paraId="6350F612" w14:textId="5F7D935A" w:rsidR="00831C72" w:rsidRDefault="00831C72">
          <w:pPr>
            <w:pStyle w:val="TOC2"/>
            <w:tabs>
              <w:tab w:val="right" w:leader="dot" w:pos="9016"/>
            </w:tabs>
            <w:rPr>
              <w:rFonts w:eastAsiaTheme="minorEastAsia"/>
              <w:noProof/>
              <w:lang w:eastAsia="en-GB"/>
            </w:rPr>
          </w:pPr>
          <w:hyperlink w:anchor="_Toc227310910" w:history="1">
            <w:r w:rsidRPr="004F7674">
              <w:rPr>
                <w:rStyle w:val="Hyperlink"/>
                <w:noProof/>
              </w:rPr>
              <w:t>Databases</w:t>
            </w:r>
            <w:r>
              <w:rPr>
                <w:noProof/>
                <w:webHidden/>
              </w:rPr>
              <w:tab/>
            </w:r>
            <w:r>
              <w:rPr>
                <w:noProof/>
                <w:webHidden/>
              </w:rPr>
              <w:fldChar w:fldCharType="begin"/>
            </w:r>
            <w:r>
              <w:rPr>
                <w:noProof/>
                <w:webHidden/>
              </w:rPr>
              <w:instrText xml:space="preserve"> PAGEREF _Toc227310910 \h </w:instrText>
            </w:r>
            <w:r>
              <w:rPr>
                <w:noProof/>
                <w:webHidden/>
              </w:rPr>
            </w:r>
            <w:r>
              <w:rPr>
                <w:noProof/>
                <w:webHidden/>
              </w:rPr>
              <w:fldChar w:fldCharType="separate"/>
            </w:r>
            <w:r>
              <w:rPr>
                <w:noProof/>
                <w:webHidden/>
              </w:rPr>
              <w:t>7</w:t>
            </w:r>
            <w:r>
              <w:rPr>
                <w:noProof/>
                <w:webHidden/>
              </w:rPr>
              <w:fldChar w:fldCharType="end"/>
            </w:r>
          </w:hyperlink>
        </w:p>
        <w:p w14:paraId="33FCF46B" w14:textId="3C059ADE" w:rsidR="00831C72" w:rsidRDefault="00831C72">
          <w:pPr>
            <w:pStyle w:val="TOC2"/>
            <w:tabs>
              <w:tab w:val="right" w:leader="dot" w:pos="9016"/>
            </w:tabs>
            <w:rPr>
              <w:rFonts w:eastAsiaTheme="minorEastAsia"/>
              <w:noProof/>
              <w:lang w:eastAsia="en-GB"/>
            </w:rPr>
          </w:pPr>
          <w:hyperlink w:anchor="_Toc227310911" w:history="1">
            <w:r w:rsidRPr="004F7674">
              <w:rPr>
                <w:rStyle w:val="Hyperlink"/>
                <w:noProof/>
              </w:rPr>
              <w:t>Data analysis</w:t>
            </w:r>
            <w:r>
              <w:rPr>
                <w:noProof/>
                <w:webHidden/>
              </w:rPr>
              <w:tab/>
            </w:r>
            <w:r>
              <w:rPr>
                <w:noProof/>
                <w:webHidden/>
              </w:rPr>
              <w:fldChar w:fldCharType="begin"/>
            </w:r>
            <w:r>
              <w:rPr>
                <w:noProof/>
                <w:webHidden/>
              </w:rPr>
              <w:instrText xml:space="preserve"> PAGEREF _Toc227310911 \h </w:instrText>
            </w:r>
            <w:r>
              <w:rPr>
                <w:noProof/>
                <w:webHidden/>
              </w:rPr>
            </w:r>
            <w:r>
              <w:rPr>
                <w:noProof/>
                <w:webHidden/>
              </w:rPr>
              <w:fldChar w:fldCharType="separate"/>
            </w:r>
            <w:r>
              <w:rPr>
                <w:noProof/>
                <w:webHidden/>
              </w:rPr>
              <w:t>7</w:t>
            </w:r>
            <w:r>
              <w:rPr>
                <w:noProof/>
                <w:webHidden/>
              </w:rPr>
              <w:fldChar w:fldCharType="end"/>
            </w:r>
          </w:hyperlink>
        </w:p>
        <w:p w14:paraId="0A398B96" w14:textId="7D18D552" w:rsidR="00831C72" w:rsidRDefault="00831C72">
          <w:pPr>
            <w:pStyle w:val="TOC2"/>
            <w:tabs>
              <w:tab w:val="right" w:leader="dot" w:pos="9016"/>
            </w:tabs>
            <w:rPr>
              <w:rFonts w:eastAsiaTheme="minorEastAsia"/>
              <w:noProof/>
              <w:lang w:eastAsia="en-GB"/>
            </w:rPr>
          </w:pPr>
          <w:hyperlink w:anchor="_Toc227310912" w:history="1">
            <w:r w:rsidRPr="004F7674">
              <w:rPr>
                <w:rStyle w:val="Hyperlink"/>
                <w:noProof/>
              </w:rPr>
              <w:t>Ethical considerations</w:t>
            </w:r>
            <w:r>
              <w:rPr>
                <w:noProof/>
                <w:webHidden/>
              </w:rPr>
              <w:tab/>
            </w:r>
            <w:r>
              <w:rPr>
                <w:noProof/>
                <w:webHidden/>
              </w:rPr>
              <w:fldChar w:fldCharType="begin"/>
            </w:r>
            <w:r>
              <w:rPr>
                <w:noProof/>
                <w:webHidden/>
              </w:rPr>
              <w:instrText xml:space="preserve"> PAGEREF _Toc227310912 \h </w:instrText>
            </w:r>
            <w:r>
              <w:rPr>
                <w:noProof/>
                <w:webHidden/>
              </w:rPr>
            </w:r>
            <w:r>
              <w:rPr>
                <w:noProof/>
                <w:webHidden/>
              </w:rPr>
              <w:fldChar w:fldCharType="separate"/>
            </w:r>
            <w:r>
              <w:rPr>
                <w:noProof/>
                <w:webHidden/>
              </w:rPr>
              <w:t>7</w:t>
            </w:r>
            <w:r>
              <w:rPr>
                <w:noProof/>
                <w:webHidden/>
              </w:rPr>
              <w:fldChar w:fldCharType="end"/>
            </w:r>
          </w:hyperlink>
        </w:p>
        <w:p w14:paraId="5CAC9D62" w14:textId="2A580249" w:rsidR="00831C72" w:rsidRDefault="00831C72">
          <w:pPr>
            <w:pStyle w:val="TOC1"/>
            <w:tabs>
              <w:tab w:val="right" w:leader="dot" w:pos="9016"/>
            </w:tabs>
            <w:rPr>
              <w:rFonts w:eastAsiaTheme="minorEastAsia"/>
              <w:noProof/>
              <w:lang w:eastAsia="en-GB"/>
            </w:rPr>
          </w:pPr>
          <w:hyperlink w:anchor="_Toc227310913" w:history="1">
            <w:r w:rsidRPr="004F7674">
              <w:rPr>
                <w:rStyle w:val="Hyperlink"/>
                <w:noProof/>
              </w:rPr>
              <w:t>4. RESULTS</w:t>
            </w:r>
            <w:r>
              <w:rPr>
                <w:noProof/>
                <w:webHidden/>
              </w:rPr>
              <w:tab/>
            </w:r>
            <w:r>
              <w:rPr>
                <w:noProof/>
                <w:webHidden/>
              </w:rPr>
              <w:fldChar w:fldCharType="begin"/>
            </w:r>
            <w:r>
              <w:rPr>
                <w:noProof/>
                <w:webHidden/>
              </w:rPr>
              <w:instrText xml:space="preserve"> PAGEREF _Toc227310913 \h </w:instrText>
            </w:r>
            <w:r>
              <w:rPr>
                <w:noProof/>
                <w:webHidden/>
              </w:rPr>
            </w:r>
            <w:r>
              <w:rPr>
                <w:noProof/>
                <w:webHidden/>
              </w:rPr>
              <w:fldChar w:fldCharType="separate"/>
            </w:r>
            <w:r>
              <w:rPr>
                <w:noProof/>
                <w:webHidden/>
              </w:rPr>
              <w:t>8</w:t>
            </w:r>
            <w:r>
              <w:rPr>
                <w:noProof/>
                <w:webHidden/>
              </w:rPr>
              <w:fldChar w:fldCharType="end"/>
            </w:r>
          </w:hyperlink>
        </w:p>
        <w:p w14:paraId="0F153246" w14:textId="67CA012A" w:rsidR="00831C72" w:rsidRDefault="00831C72" w:rsidP="00176734">
          <w:pPr>
            <w:pStyle w:val="TOC2"/>
            <w:tabs>
              <w:tab w:val="right" w:leader="dot" w:pos="9016"/>
            </w:tabs>
            <w:ind w:left="0"/>
            <w:rPr>
              <w:rFonts w:eastAsiaTheme="minorEastAsia"/>
              <w:noProof/>
              <w:lang w:eastAsia="en-GB"/>
            </w:rPr>
          </w:pPr>
        </w:p>
        <w:p w14:paraId="3B36506B" w14:textId="52A2A140" w:rsidR="00831C72" w:rsidRDefault="00831C72">
          <w:pPr>
            <w:pStyle w:val="TOC2"/>
            <w:tabs>
              <w:tab w:val="right" w:leader="dot" w:pos="9016"/>
            </w:tabs>
            <w:rPr>
              <w:rFonts w:eastAsiaTheme="minorEastAsia"/>
              <w:noProof/>
              <w:lang w:eastAsia="en-GB"/>
            </w:rPr>
          </w:pPr>
          <w:hyperlink w:anchor="_Toc227310917" w:history="1">
            <w:r w:rsidRPr="004F7674">
              <w:rPr>
                <w:rStyle w:val="Hyperlink"/>
                <w:noProof/>
              </w:rPr>
              <w:t>Themes</w:t>
            </w:r>
            <w:r>
              <w:rPr>
                <w:noProof/>
                <w:webHidden/>
              </w:rPr>
              <w:tab/>
            </w:r>
            <w:r>
              <w:rPr>
                <w:noProof/>
                <w:webHidden/>
              </w:rPr>
              <w:fldChar w:fldCharType="begin"/>
            </w:r>
            <w:r>
              <w:rPr>
                <w:noProof/>
                <w:webHidden/>
              </w:rPr>
              <w:instrText xml:space="preserve"> PAGEREF _Toc227310917 \h </w:instrText>
            </w:r>
            <w:r>
              <w:rPr>
                <w:noProof/>
                <w:webHidden/>
              </w:rPr>
            </w:r>
            <w:r>
              <w:rPr>
                <w:noProof/>
                <w:webHidden/>
              </w:rPr>
              <w:fldChar w:fldCharType="separate"/>
            </w:r>
            <w:r>
              <w:rPr>
                <w:noProof/>
                <w:webHidden/>
              </w:rPr>
              <w:t>10</w:t>
            </w:r>
            <w:r>
              <w:rPr>
                <w:noProof/>
                <w:webHidden/>
              </w:rPr>
              <w:fldChar w:fldCharType="end"/>
            </w:r>
          </w:hyperlink>
        </w:p>
        <w:p w14:paraId="2DB7DA0F" w14:textId="5A0908D3" w:rsidR="00831C72" w:rsidRDefault="00831C72">
          <w:pPr>
            <w:pStyle w:val="TOC1"/>
            <w:tabs>
              <w:tab w:val="right" w:leader="dot" w:pos="9016"/>
            </w:tabs>
            <w:rPr>
              <w:rFonts w:eastAsiaTheme="minorEastAsia"/>
              <w:noProof/>
              <w:lang w:eastAsia="en-GB"/>
            </w:rPr>
          </w:pPr>
          <w:hyperlink w:anchor="_Toc227310918" w:history="1">
            <w:r w:rsidRPr="004F7674">
              <w:rPr>
                <w:rStyle w:val="Hyperlink"/>
                <w:noProof/>
              </w:rPr>
              <w:t>5. Discussion</w:t>
            </w:r>
            <w:r>
              <w:rPr>
                <w:noProof/>
                <w:webHidden/>
              </w:rPr>
              <w:tab/>
            </w:r>
            <w:r>
              <w:rPr>
                <w:noProof/>
                <w:webHidden/>
              </w:rPr>
              <w:fldChar w:fldCharType="begin"/>
            </w:r>
            <w:r>
              <w:rPr>
                <w:noProof/>
                <w:webHidden/>
              </w:rPr>
              <w:instrText xml:space="preserve"> PAGEREF _Toc227310918 \h </w:instrText>
            </w:r>
            <w:r>
              <w:rPr>
                <w:noProof/>
                <w:webHidden/>
              </w:rPr>
            </w:r>
            <w:r>
              <w:rPr>
                <w:noProof/>
                <w:webHidden/>
              </w:rPr>
              <w:fldChar w:fldCharType="separate"/>
            </w:r>
            <w:r>
              <w:rPr>
                <w:noProof/>
                <w:webHidden/>
              </w:rPr>
              <w:t>12</w:t>
            </w:r>
            <w:r>
              <w:rPr>
                <w:noProof/>
                <w:webHidden/>
              </w:rPr>
              <w:fldChar w:fldCharType="end"/>
            </w:r>
          </w:hyperlink>
        </w:p>
        <w:p w14:paraId="01354C57" w14:textId="6C1E8504" w:rsidR="00831C72" w:rsidRDefault="00831C72">
          <w:pPr>
            <w:pStyle w:val="TOC2"/>
            <w:tabs>
              <w:tab w:val="right" w:leader="dot" w:pos="9016"/>
            </w:tabs>
            <w:rPr>
              <w:rFonts w:eastAsiaTheme="minorEastAsia"/>
              <w:noProof/>
              <w:lang w:eastAsia="en-GB"/>
            </w:rPr>
          </w:pPr>
          <w:hyperlink w:anchor="_Toc227310919" w:history="1">
            <w:r w:rsidRPr="004F7674">
              <w:rPr>
                <w:rStyle w:val="Hyperlink"/>
                <w:noProof/>
              </w:rPr>
              <w:t>Importance of the findings for health and social care</w:t>
            </w:r>
            <w:r>
              <w:rPr>
                <w:noProof/>
                <w:webHidden/>
              </w:rPr>
              <w:tab/>
            </w:r>
            <w:r>
              <w:rPr>
                <w:noProof/>
                <w:webHidden/>
              </w:rPr>
              <w:fldChar w:fldCharType="begin"/>
            </w:r>
            <w:r>
              <w:rPr>
                <w:noProof/>
                <w:webHidden/>
              </w:rPr>
              <w:instrText xml:space="preserve"> PAGEREF _Toc227310919 \h </w:instrText>
            </w:r>
            <w:r>
              <w:rPr>
                <w:noProof/>
                <w:webHidden/>
              </w:rPr>
            </w:r>
            <w:r>
              <w:rPr>
                <w:noProof/>
                <w:webHidden/>
              </w:rPr>
              <w:fldChar w:fldCharType="separate"/>
            </w:r>
            <w:r>
              <w:rPr>
                <w:noProof/>
                <w:webHidden/>
              </w:rPr>
              <w:t>12</w:t>
            </w:r>
            <w:r>
              <w:rPr>
                <w:noProof/>
                <w:webHidden/>
              </w:rPr>
              <w:fldChar w:fldCharType="end"/>
            </w:r>
          </w:hyperlink>
        </w:p>
        <w:p w14:paraId="74BE65BE" w14:textId="17A406DB" w:rsidR="00831C72" w:rsidRDefault="00831C72">
          <w:pPr>
            <w:pStyle w:val="TOC2"/>
            <w:tabs>
              <w:tab w:val="right" w:leader="dot" w:pos="9016"/>
            </w:tabs>
            <w:rPr>
              <w:rFonts w:eastAsiaTheme="minorEastAsia"/>
              <w:noProof/>
              <w:lang w:eastAsia="en-GB"/>
            </w:rPr>
          </w:pPr>
          <w:hyperlink w:anchor="_Toc227310920" w:history="1">
            <w:r w:rsidRPr="004F7674">
              <w:rPr>
                <w:rStyle w:val="Hyperlink"/>
                <w:noProof/>
              </w:rPr>
              <w:t>Limitations of this study</w:t>
            </w:r>
            <w:r>
              <w:rPr>
                <w:noProof/>
                <w:webHidden/>
              </w:rPr>
              <w:tab/>
            </w:r>
            <w:r>
              <w:rPr>
                <w:noProof/>
                <w:webHidden/>
              </w:rPr>
              <w:fldChar w:fldCharType="begin"/>
            </w:r>
            <w:r>
              <w:rPr>
                <w:noProof/>
                <w:webHidden/>
              </w:rPr>
              <w:instrText xml:space="preserve"> PAGEREF _Toc227310920 \h </w:instrText>
            </w:r>
            <w:r>
              <w:rPr>
                <w:noProof/>
                <w:webHidden/>
              </w:rPr>
            </w:r>
            <w:r>
              <w:rPr>
                <w:noProof/>
                <w:webHidden/>
              </w:rPr>
              <w:fldChar w:fldCharType="separate"/>
            </w:r>
            <w:r>
              <w:rPr>
                <w:noProof/>
                <w:webHidden/>
              </w:rPr>
              <w:t>14</w:t>
            </w:r>
            <w:r>
              <w:rPr>
                <w:noProof/>
                <w:webHidden/>
              </w:rPr>
              <w:fldChar w:fldCharType="end"/>
            </w:r>
          </w:hyperlink>
        </w:p>
        <w:p w14:paraId="47521672" w14:textId="6271A510" w:rsidR="00831C72" w:rsidRDefault="00831C72">
          <w:pPr>
            <w:pStyle w:val="TOC1"/>
            <w:tabs>
              <w:tab w:val="right" w:leader="dot" w:pos="9016"/>
            </w:tabs>
            <w:rPr>
              <w:rFonts w:eastAsiaTheme="minorEastAsia"/>
              <w:noProof/>
              <w:lang w:eastAsia="en-GB"/>
            </w:rPr>
          </w:pPr>
          <w:hyperlink w:anchor="_Toc227310921" w:history="1">
            <w:r w:rsidRPr="004F7674">
              <w:rPr>
                <w:rStyle w:val="Hyperlink"/>
                <w:noProof/>
              </w:rPr>
              <w:t>6. CONCLUSION</w:t>
            </w:r>
            <w:r>
              <w:rPr>
                <w:noProof/>
                <w:webHidden/>
              </w:rPr>
              <w:tab/>
            </w:r>
            <w:r>
              <w:rPr>
                <w:noProof/>
                <w:webHidden/>
              </w:rPr>
              <w:fldChar w:fldCharType="begin"/>
            </w:r>
            <w:r>
              <w:rPr>
                <w:noProof/>
                <w:webHidden/>
              </w:rPr>
              <w:instrText xml:space="preserve"> PAGEREF _Toc227310921 \h </w:instrText>
            </w:r>
            <w:r>
              <w:rPr>
                <w:noProof/>
                <w:webHidden/>
              </w:rPr>
            </w:r>
            <w:r>
              <w:rPr>
                <w:noProof/>
                <w:webHidden/>
              </w:rPr>
              <w:fldChar w:fldCharType="separate"/>
            </w:r>
            <w:r>
              <w:rPr>
                <w:noProof/>
                <w:webHidden/>
              </w:rPr>
              <w:t>14</w:t>
            </w:r>
            <w:r>
              <w:rPr>
                <w:noProof/>
                <w:webHidden/>
              </w:rPr>
              <w:fldChar w:fldCharType="end"/>
            </w:r>
          </w:hyperlink>
        </w:p>
        <w:p w14:paraId="3333F280" w14:textId="042E7924" w:rsidR="00831C72" w:rsidRDefault="00831C72">
          <w:pPr>
            <w:pStyle w:val="TOC1"/>
            <w:tabs>
              <w:tab w:val="right" w:leader="dot" w:pos="9016"/>
            </w:tabs>
            <w:rPr>
              <w:rFonts w:eastAsiaTheme="minorEastAsia"/>
              <w:noProof/>
              <w:lang w:eastAsia="en-GB"/>
            </w:rPr>
          </w:pPr>
          <w:hyperlink w:anchor="_Toc227310922" w:history="1">
            <w:r w:rsidRPr="004F7674">
              <w:rPr>
                <w:rStyle w:val="Hyperlink"/>
                <w:noProof/>
              </w:rPr>
              <w:t>7.RECOMENDATIONS for future policy and health and social care practice.</w:t>
            </w:r>
            <w:r>
              <w:rPr>
                <w:noProof/>
                <w:webHidden/>
              </w:rPr>
              <w:tab/>
            </w:r>
            <w:r>
              <w:rPr>
                <w:noProof/>
                <w:webHidden/>
              </w:rPr>
              <w:fldChar w:fldCharType="begin"/>
            </w:r>
            <w:r>
              <w:rPr>
                <w:noProof/>
                <w:webHidden/>
              </w:rPr>
              <w:instrText xml:space="preserve"> PAGEREF _Toc227310922 \h </w:instrText>
            </w:r>
            <w:r>
              <w:rPr>
                <w:noProof/>
                <w:webHidden/>
              </w:rPr>
            </w:r>
            <w:r>
              <w:rPr>
                <w:noProof/>
                <w:webHidden/>
              </w:rPr>
              <w:fldChar w:fldCharType="separate"/>
            </w:r>
            <w:r>
              <w:rPr>
                <w:noProof/>
                <w:webHidden/>
              </w:rPr>
              <w:t>14</w:t>
            </w:r>
            <w:r>
              <w:rPr>
                <w:noProof/>
                <w:webHidden/>
              </w:rPr>
              <w:fldChar w:fldCharType="end"/>
            </w:r>
          </w:hyperlink>
        </w:p>
        <w:p w14:paraId="6AEADF3B" w14:textId="7DD200DE" w:rsidR="00831C72" w:rsidRDefault="00831C72">
          <w:pPr>
            <w:pStyle w:val="TOC1"/>
            <w:tabs>
              <w:tab w:val="right" w:leader="dot" w:pos="9016"/>
            </w:tabs>
            <w:rPr>
              <w:rFonts w:eastAsiaTheme="minorEastAsia"/>
              <w:noProof/>
              <w:lang w:eastAsia="en-GB"/>
            </w:rPr>
          </w:pPr>
          <w:hyperlink w:anchor="_Toc227310923" w:history="1">
            <w:r w:rsidRPr="004F7674">
              <w:rPr>
                <w:rStyle w:val="Hyperlink"/>
                <w:noProof/>
              </w:rPr>
              <w:t>REFERENCES</w:t>
            </w:r>
            <w:r>
              <w:rPr>
                <w:noProof/>
                <w:webHidden/>
              </w:rPr>
              <w:tab/>
            </w:r>
            <w:r>
              <w:rPr>
                <w:noProof/>
                <w:webHidden/>
              </w:rPr>
              <w:fldChar w:fldCharType="begin"/>
            </w:r>
            <w:r>
              <w:rPr>
                <w:noProof/>
                <w:webHidden/>
              </w:rPr>
              <w:instrText xml:space="preserve"> PAGEREF _Toc227310923 \h </w:instrText>
            </w:r>
            <w:r>
              <w:rPr>
                <w:noProof/>
                <w:webHidden/>
              </w:rPr>
            </w:r>
            <w:r>
              <w:rPr>
                <w:noProof/>
                <w:webHidden/>
              </w:rPr>
              <w:fldChar w:fldCharType="separate"/>
            </w:r>
            <w:r>
              <w:rPr>
                <w:noProof/>
                <w:webHidden/>
              </w:rPr>
              <w:t>16</w:t>
            </w:r>
            <w:r>
              <w:rPr>
                <w:noProof/>
                <w:webHidden/>
              </w:rPr>
              <w:fldChar w:fldCharType="end"/>
            </w:r>
          </w:hyperlink>
        </w:p>
        <w:p w14:paraId="1A2EF021" w14:textId="7C7849B8" w:rsidR="00831C72" w:rsidRDefault="00831C72">
          <w:r>
            <w:rPr>
              <w:b/>
              <w:bCs/>
              <w:noProof/>
            </w:rPr>
            <w:fldChar w:fldCharType="end"/>
          </w:r>
        </w:p>
      </w:sdtContent>
    </w:sdt>
    <w:p w14:paraId="12B7C3F9" w14:textId="77777777" w:rsidR="002901EF" w:rsidRDefault="002901EF" w:rsidP="004D3C15">
      <w:pPr>
        <w:tabs>
          <w:tab w:val="left" w:pos="6540"/>
        </w:tabs>
        <w:spacing w:line="360" w:lineRule="auto"/>
        <w:rPr>
          <w:rFonts w:ascii="Arial" w:hAnsi="Arial" w:cs="Arial"/>
          <w:b/>
          <w:bCs/>
          <w:color w:val="000000"/>
          <w:kern w:val="0"/>
          <w:sz w:val="32"/>
          <w:szCs w:val="32"/>
          <w14:ligatures w14:val="none"/>
        </w:rPr>
      </w:pPr>
    </w:p>
    <w:p w14:paraId="0B81E4A1" w14:textId="77777777" w:rsidR="005F7480" w:rsidRDefault="005F7480" w:rsidP="00963D1A">
      <w:pPr>
        <w:pStyle w:val="Heading1"/>
      </w:pPr>
      <w:bookmarkStart w:id="0" w:name="_Toc227244848"/>
      <w:bookmarkStart w:id="1" w:name="_Toc227244896"/>
      <w:bookmarkStart w:id="2" w:name="_Toc227310899"/>
    </w:p>
    <w:p w14:paraId="67B55959" w14:textId="77777777" w:rsidR="005F7480" w:rsidRDefault="005F7480" w:rsidP="00963D1A">
      <w:pPr>
        <w:pStyle w:val="Heading1"/>
      </w:pPr>
    </w:p>
    <w:p w14:paraId="792012EA" w14:textId="035B7C1F" w:rsidR="00293C0A" w:rsidRPr="00BF746D" w:rsidRDefault="00293C0A" w:rsidP="00963D1A">
      <w:pPr>
        <w:pStyle w:val="Heading1"/>
        <w:rPr>
          <w:sz w:val="24"/>
          <w:szCs w:val="24"/>
        </w:rPr>
      </w:pPr>
      <w:r w:rsidRPr="00BF746D">
        <w:rPr>
          <w:sz w:val="24"/>
          <w:szCs w:val="24"/>
        </w:rPr>
        <w:t>A</w:t>
      </w:r>
      <w:r w:rsidR="001F1D6B" w:rsidRPr="00BF746D">
        <w:rPr>
          <w:sz w:val="24"/>
          <w:szCs w:val="24"/>
        </w:rPr>
        <w:t>BSTRACT</w:t>
      </w:r>
      <w:bookmarkEnd w:id="0"/>
      <w:bookmarkEnd w:id="1"/>
      <w:bookmarkEnd w:id="2"/>
    </w:p>
    <w:p w14:paraId="5E828FBF" w14:textId="50785ECF" w:rsidR="00293C0A" w:rsidRPr="00BF746D" w:rsidRDefault="00293C0A" w:rsidP="00293C0A">
      <w:pPr>
        <w:rPr>
          <w:rFonts w:ascii="Arial" w:hAnsi="Arial" w:cs="Arial"/>
        </w:rPr>
      </w:pPr>
    </w:p>
    <w:p w14:paraId="2A388DC9" w14:textId="77777777" w:rsidR="007463DA" w:rsidRPr="00BF746D" w:rsidRDefault="000063D5" w:rsidP="00350879">
      <w:pPr>
        <w:jc w:val="both"/>
        <w:rPr>
          <w:rFonts w:ascii="Arial" w:hAnsi="Arial" w:cs="Arial"/>
        </w:rPr>
      </w:pPr>
      <w:r w:rsidRPr="00BF746D">
        <w:rPr>
          <w:rFonts w:ascii="Arial" w:hAnsi="Arial" w:cs="Arial"/>
        </w:rPr>
        <w:t xml:space="preserve">Autoimmune diseases are chronic conditions in which the immune system mistakenly attacks the body’s own tissues, significantly affecting adults’ quality of life. This report aims to examine the impact </w:t>
      </w:r>
      <w:r w:rsidR="00D16E2C" w:rsidRPr="00BF746D">
        <w:rPr>
          <w:rFonts w:ascii="Arial" w:hAnsi="Arial" w:cs="Arial"/>
        </w:rPr>
        <w:t xml:space="preserve">and the importance </w:t>
      </w:r>
      <w:r w:rsidRPr="00BF746D">
        <w:rPr>
          <w:rFonts w:ascii="Arial" w:hAnsi="Arial" w:cs="Arial"/>
        </w:rPr>
        <w:t>of nutrition on the management and progression of autoimmune diseases in adults. The purpose is to evaluate how dietary patterns and specific nutrients influence inflammation, immune function, and symptom severity.</w:t>
      </w:r>
      <w:r w:rsidR="00350879" w:rsidRPr="00BF746D">
        <w:rPr>
          <w:rFonts w:ascii="Arial" w:hAnsi="Arial" w:cs="Arial"/>
        </w:rPr>
        <w:t xml:space="preserve">                                                                                                       </w:t>
      </w:r>
    </w:p>
    <w:p w14:paraId="5A412ACA" w14:textId="19CCC16B" w:rsidR="000063D5" w:rsidRPr="00BF746D" w:rsidRDefault="000063D5" w:rsidP="00350879">
      <w:pPr>
        <w:jc w:val="both"/>
        <w:rPr>
          <w:rFonts w:ascii="Arial" w:hAnsi="Arial" w:cs="Arial"/>
        </w:rPr>
      </w:pPr>
      <w:r w:rsidRPr="00BF746D">
        <w:rPr>
          <w:rFonts w:ascii="Arial" w:hAnsi="Arial" w:cs="Arial"/>
        </w:rPr>
        <w:t>The</w:t>
      </w:r>
      <w:r w:rsidRPr="00BF746D">
        <w:rPr>
          <w:rFonts w:ascii="Arial" w:hAnsi="Arial" w:cs="Arial"/>
          <w:b/>
          <w:bCs/>
        </w:rPr>
        <w:t xml:space="preserve"> </w:t>
      </w:r>
      <w:r w:rsidRPr="00BF746D">
        <w:rPr>
          <w:rFonts w:ascii="Arial" w:hAnsi="Arial" w:cs="Arial"/>
        </w:rPr>
        <w:t xml:space="preserve">methodology involved a </w:t>
      </w:r>
      <w:r w:rsidR="0056454E" w:rsidRPr="00BF746D">
        <w:rPr>
          <w:rFonts w:ascii="Arial" w:hAnsi="Arial" w:cs="Arial"/>
        </w:rPr>
        <w:t xml:space="preserve">scoping </w:t>
      </w:r>
      <w:r w:rsidRPr="00BF746D">
        <w:rPr>
          <w:rFonts w:ascii="Arial" w:hAnsi="Arial" w:cs="Arial"/>
        </w:rPr>
        <w:t xml:space="preserve">review of current scientific literature, </w:t>
      </w:r>
      <w:r w:rsidR="0056454E" w:rsidRPr="00BF746D">
        <w:rPr>
          <w:rFonts w:ascii="Arial" w:hAnsi="Arial" w:cs="Arial"/>
        </w:rPr>
        <w:t>publ</w:t>
      </w:r>
      <w:r w:rsidR="004A64AE" w:rsidRPr="00BF746D">
        <w:rPr>
          <w:rFonts w:ascii="Arial" w:hAnsi="Arial" w:cs="Arial"/>
        </w:rPr>
        <w:t xml:space="preserve">ished in </w:t>
      </w:r>
      <w:r w:rsidRPr="00BF746D">
        <w:rPr>
          <w:rFonts w:ascii="Arial" w:hAnsi="Arial" w:cs="Arial"/>
        </w:rPr>
        <w:t>peer-reviewed journal articles</w:t>
      </w:r>
      <w:r w:rsidR="0056454E" w:rsidRPr="00BF746D">
        <w:rPr>
          <w:rFonts w:ascii="Arial" w:hAnsi="Arial" w:cs="Arial"/>
        </w:rPr>
        <w:t xml:space="preserve"> </w:t>
      </w:r>
      <w:r w:rsidRPr="00BF746D">
        <w:rPr>
          <w:rFonts w:ascii="Arial" w:hAnsi="Arial" w:cs="Arial"/>
        </w:rPr>
        <w:t>related to autoimmune conditions such as rheumatoid arthritis, lupus,</w:t>
      </w:r>
      <w:r w:rsidR="00350879" w:rsidRPr="00BF746D">
        <w:rPr>
          <w:rFonts w:ascii="Arial" w:hAnsi="Arial" w:cs="Arial"/>
        </w:rPr>
        <w:t xml:space="preserve"> </w:t>
      </w:r>
      <w:r w:rsidR="00967531" w:rsidRPr="00BF746D">
        <w:rPr>
          <w:rFonts w:ascii="Arial" w:hAnsi="Arial" w:cs="Arial"/>
        </w:rPr>
        <w:t>Hashimoto</w:t>
      </w:r>
      <w:r w:rsidR="00A85BC5" w:rsidRPr="00BF746D">
        <w:rPr>
          <w:rFonts w:ascii="Arial" w:hAnsi="Arial" w:cs="Arial"/>
        </w:rPr>
        <w:t>,</w:t>
      </w:r>
      <w:r w:rsidR="00350879" w:rsidRPr="00BF746D">
        <w:rPr>
          <w:rFonts w:ascii="Arial" w:hAnsi="Arial" w:cs="Arial"/>
        </w:rPr>
        <w:t xml:space="preserve"> </w:t>
      </w:r>
      <w:r w:rsidR="00A85BC5" w:rsidRPr="00BF746D">
        <w:rPr>
          <w:rFonts w:ascii="Arial" w:hAnsi="Arial" w:cs="Arial"/>
        </w:rPr>
        <w:t>psoriasis</w:t>
      </w:r>
      <w:r w:rsidRPr="00BF746D">
        <w:rPr>
          <w:rFonts w:ascii="Arial" w:hAnsi="Arial" w:cs="Arial"/>
        </w:rPr>
        <w:t xml:space="preserve"> and multiple sclerosis. Sources were selected based on relevance, credibility, and publication within recent years to ensure up-to-date findings.</w:t>
      </w:r>
      <w:r w:rsidR="000A0281" w:rsidRPr="00BF746D">
        <w:rPr>
          <w:rFonts w:ascii="Arial" w:hAnsi="Arial" w:cs="Arial"/>
        </w:rPr>
        <w:t xml:space="preserve"> The data were analysed using a thematic analysis. </w:t>
      </w:r>
    </w:p>
    <w:p w14:paraId="111367D2" w14:textId="77777777" w:rsidR="000063D5" w:rsidRPr="00BF746D" w:rsidRDefault="000063D5" w:rsidP="00D4671A">
      <w:pPr>
        <w:pStyle w:val="NormalWeb"/>
        <w:jc w:val="both"/>
        <w:rPr>
          <w:rFonts w:ascii="Arial" w:hAnsi="Arial" w:cs="Arial"/>
        </w:rPr>
      </w:pPr>
      <w:r w:rsidRPr="00BF746D">
        <w:rPr>
          <w:rFonts w:ascii="Arial" w:hAnsi="Arial" w:cs="Arial"/>
        </w:rPr>
        <w:t>The findings indicate that nutrition plays a critical role in modulating immune responses. Diets rich in anti-inflammatory foods—such as fruits, vegetables, whole grains, healthy fats, and omega-3 fatty acids—are associated with reduced inflammation and improved symptom management. Conversely, high intake of processed foods, refined sugars, and saturated fats may exacerbate disease activity. Certain dietary approaches, including the Mediterranean diet and elimination diets, show potential benefits for some individuals, although responses can vary.</w:t>
      </w:r>
    </w:p>
    <w:p w14:paraId="30828E00" w14:textId="77777777" w:rsidR="000063D5" w:rsidRPr="00BF746D" w:rsidRDefault="000063D5" w:rsidP="00D4671A">
      <w:pPr>
        <w:pStyle w:val="NormalWeb"/>
        <w:jc w:val="both"/>
        <w:rPr>
          <w:rFonts w:ascii="Arial" w:hAnsi="Arial" w:cs="Arial"/>
        </w:rPr>
      </w:pPr>
      <w:r w:rsidRPr="00BF746D">
        <w:rPr>
          <w:rFonts w:ascii="Arial" w:hAnsi="Arial" w:cs="Arial"/>
        </w:rPr>
        <w:t>In conclusion, nutrition is a significant factor in the management of autoimmune diseases in adults. While it cannot cure these conditions, adopting a balanced, anti-inflammatory diet may help reduce symptoms and improve overall well-being. Further research is recommended to develop personalized nutritional strategies tailored to specific autoimmune conditions.</w:t>
      </w:r>
    </w:p>
    <w:p w14:paraId="76C735C3" w14:textId="77777777" w:rsidR="00D57B69" w:rsidRDefault="00D57B69" w:rsidP="008E47F7">
      <w:pPr>
        <w:pStyle w:val="Heading1"/>
      </w:pPr>
    </w:p>
    <w:p w14:paraId="40C11C16" w14:textId="77777777" w:rsidR="00BF746D" w:rsidRDefault="00BF746D" w:rsidP="00BF746D"/>
    <w:p w14:paraId="2326864D" w14:textId="77777777" w:rsidR="00BF746D" w:rsidRPr="00BF746D" w:rsidRDefault="00BF746D" w:rsidP="00BF746D"/>
    <w:p w14:paraId="2A6B59FE" w14:textId="38AB97A1" w:rsidR="00D57B69" w:rsidRPr="001F1D6B" w:rsidRDefault="00F27A8B" w:rsidP="008E47F7">
      <w:pPr>
        <w:pStyle w:val="Heading1"/>
      </w:pPr>
      <w:bookmarkStart w:id="3" w:name="_Toc227244849"/>
      <w:bookmarkStart w:id="4" w:name="_Toc227244897"/>
      <w:bookmarkStart w:id="5" w:name="_Toc227310900"/>
      <w:r w:rsidRPr="001F1D6B">
        <w:lastRenderedPageBreak/>
        <w:t>1.INTRODUCTION</w:t>
      </w:r>
      <w:bookmarkEnd w:id="3"/>
      <w:bookmarkEnd w:id="4"/>
      <w:bookmarkEnd w:id="5"/>
    </w:p>
    <w:p w14:paraId="1B078993" w14:textId="5198C05F" w:rsidR="00D57B69" w:rsidRPr="001F1D6B" w:rsidRDefault="00166430" w:rsidP="008E47F7">
      <w:pPr>
        <w:pStyle w:val="Heading2"/>
      </w:pPr>
      <w:bookmarkStart w:id="6" w:name="_Toc227244850"/>
      <w:bookmarkStart w:id="7" w:name="_Toc227244898"/>
      <w:bookmarkStart w:id="8" w:name="_Toc227310901"/>
      <w:r w:rsidRPr="001F1D6B">
        <w:t>Main concept</w:t>
      </w:r>
      <w:r w:rsidR="00E4040F" w:rsidRPr="001F1D6B">
        <w:t>ion</w:t>
      </w:r>
      <w:bookmarkEnd w:id="6"/>
      <w:bookmarkEnd w:id="7"/>
      <w:bookmarkEnd w:id="8"/>
    </w:p>
    <w:p w14:paraId="7C0E086E" w14:textId="2835ABB5" w:rsidR="009B336D" w:rsidRPr="00BF746D" w:rsidRDefault="0059109A" w:rsidP="00BF746D">
      <w:pPr>
        <w:tabs>
          <w:tab w:val="left" w:pos="6540"/>
        </w:tabs>
        <w:spacing w:line="360" w:lineRule="auto"/>
        <w:jc w:val="both"/>
        <w:rPr>
          <w:rFonts w:ascii="Arial" w:hAnsi="Arial" w:cs="Arial"/>
        </w:rPr>
      </w:pPr>
      <w:r w:rsidRPr="00BF746D">
        <w:rPr>
          <w:rFonts w:ascii="Arial" w:hAnsi="Arial" w:cs="Arial"/>
        </w:rPr>
        <w:t>This research aims to explore the impact and importance of nutrition for adults living with autoimmune diseases in the UK. Autoimmune conditions occur when the immune system mistakenly attacks the body, leading to chronic inflammation and long-term health issues. Recent research suggests that diet plays a key role in influencing immune function and managing symptoms. Therefore, understanding how nutrition affects autoimmune diseases is important for improving health outcomes and supporting effective treatment strategies.</w:t>
      </w:r>
    </w:p>
    <w:p w14:paraId="1F73B986" w14:textId="1AD06C9A" w:rsidR="00932EA6" w:rsidRPr="00BF746D" w:rsidRDefault="0085171A" w:rsidP="00E62396">
      <w:pPr>
        <w:tabs>
          <w:tab w:val="left" w:pos="6540"/>
        </w:tabs>
        <w:spacing w:line="360" w:lineRule="auto"/>
        <w:jc w:val="both"/>
        <w:rPr>
          <w:rFonts w:ascii="Arial" w:hAnsi="Arial" w:cs="Arial"/>
        </w:rPr>
      </w:pPr>
      <w:r w:rsidRPr="00BF746D">
        <w:rPr>
          <w:rFonts w:ascii="Arial" w:hAnsi="Arial" w:cs="Arial"/>
        </w:rPr>
        <w:t>An autoimmune disease is a condition in which the body’s immune system mistakenly attacks its own healthy cells and tissues, leading to inflammation and damage (</w:t>
      </w:r>
      <w:r w:rsidRPr="00BF746D">
        <w:rPr>
          <w:rStyle w:val="whitespace-normal"/>
          <w:rFonts w:ascii="Arial" w:hAnsi="Arial" w:cs="Arial"/>
        </w:rPr>
        <w:t>NHS</w:t>
      </w:r>
      <w:r w:rsidRPr="00BF746D">
        <w:rPr>
          <w:rFonts w:ascii="Arial" w:hAnsi="Arial" w:cs="Arial"/>
        </w:rPr>
        <w:t>, 2023).</w:t>
      </w:r>
      <w:r w:rsidR="005C3545" w:rsidRPr="00BF746D">
        <w:rPr>
          <w:rFonts w:ascii="Arial" w:hAnsi="Arial" w:cs="Arial"/>
        </w:rPr>
        <w:t xml:space="preserve"> Autoimmune diseases are disorders in which the immune system fails to distinguish between harmful pathogens and the body’s own tissues, resulting in an immune response against healthy cells (</w:t>
      </w:r>
      <w:r w:rsidR="005C3545" w:rsidRPr="00BF746D">
        <w:rPr>
          <w:rStyle w:val="whitespace-normal"/>
          <w:rFonts w:ascii="Arial" w:hAnsi="Arial" w:cs="Arial"/>
        </w:rPr>
        <w:t>NHS</w:t>
      </w:r>
      <w:r w:rsidR="005C3545" w:rsidRPr="00BF746D">
        <w:rPr>
          <w:rFonts w:ascii="Arial" w:hAnsi="Arial" w:cs="Arial"/>
        </w:rPr>
        <w:t>, 2023)</w:t>
      </w:r>
      <w:r w:rsidR="00BE45C7" w:rsidRPr="00BF746D">
        <w:rPr>
          <w:rFonts w:ascii="Arial" w:hAnsi="Arial" w:cs="Arial"/>
        </w:rPr>
        <w:t>.</w:t>
      </w:r>
    </w:p>
    <w:p w14:paraId="779FA8BB" w14:textId="48E313AE" w:rsidR="00293C0A" w:rsidRPr="00BF746D" w:rsidRDefault="004E75FD" w:rsidP="00E62396">
      <w:pPr>
        <w:tabs>
          <w:tab w:val="left" w:pos="6540"/>
        </w:tabs>
        <w:spacing w:line="360" w:lineRule="auto"/>
        <w:jc w:val="both"/>
        <w:rPr>
          <w:rFonts w:ascii="Arial" w:hAnsi="Arial" w:cs="Arial"/>
          <w:sz w:val="22"/>
        </w:rPr>
      </w:pPr>
      <w:r w:rsidRPr="00BF746D">
        <w:rPr>
          <w:rFonts w:ascii="Arial" w:hAnsi="Arial" w:cs="Arial"/>
        </w:rPr>
        <w:t>Nutrition refers to the process by which the body takes in and uses nutrients to maintain health and support bodily functions (</w:t>
      </w:r>
      <w:r w:rsidRPr="00BF746D">
        <w:rPr>
          <w:rStyle w:val="whitespace-normal"/>
          <w:rFonts w:ascii="Arial" w:hAnsi="Arial" w:cs="Arial"/>
        </w:rPr>
        <w:t>World Health Organization</w:t>
      </w:r>
      <w:r w:rsidRPr="00BF746D">
        <w:rPr>
          <w:rFonts w:ascii="Arial" w:hAnsi="Arial" w:cs="Arial"/>
        </w:rPr>
        <w:t>, 2023). This is particularly important in autoimmune diseases, which occur when the immune system mistakenly attacks the body’s own tissues, causing inflammation and damage (</w:t>
      </w:r>
      <w:r w:rsidRPr="00BF746D">
        <w:rPr>
          <w:rStyle w:val="whitespace-normal"/>
          <w:rFonts w:ascii="Arial" w:hAnsi="Arial" w:cs="Arial"/>
        </w:rPr>
        <w:t>NHS</w:t>
      </w:r>
      <w:r w:rsidRPr="00BF746D">
        <w:rPr>
          <w:rFonts w:ascii="Arial" w:hAnsi="Arial" w:cs="Arial"/>
        </w:rPr>
        <w:t>, 2023). As nutrition plays a key role in regulating immune function, it can influence the development and management of autoimmune conditions.</w:t>
      </w:r>
    </w:p>
    <w:p w14:paraId="3D470263" w14:textId="77777777" w:rsidR="007C4B28" w:rsidRDefault="0020785D" w:rsidP="00E62396">
      <w:pPr>
        <w:spacing w:line="360" w:lineRule="auto"/>
        <w:jc w:val="both"/>
        <w:rPr>
          <w:rFonts w:ascii="Arial" w:hAnsi="Arial" w:cs="Arial"/>
          <w:b/>
          <w:bCs/>
          <w:color w:val="000000"/>
        </w:rPr>
      </w:pPr>
      <w:bookmarkStart w:id="9" w:name="_Toc227244851"/>
      <w:bookmarkStart w:id="10" w:name="_Toc227244899"/>
      <w:bookmarkStart w:id="11" w:name="_Toc227310902"/>
      <w:r w:rsidRPr="008E47F7">
        <w:rPr>
          <w:rStyle w:val="Heading2Char"/>
        </w:rPr>
        <w:t>Rationale</w:t>
      </w:r>
      <w:bookmarkEnd w:id="9"/>
      <w:bookmarkEnd w:id="10"/>
      <w:bookmarkEnd w:id="11"/>
      <w:r w:rsidRPr="008E47F7">
        <w:rPr>
          <w:rStyle w:val="Heading2Char"/>
        </w:rPr>
        <w:t xml:space="preserve">  </w:t>
      </w:r>
      <w:r>
        <w:rPr>
          <w:rFonts w:ascii="Arial" w:hAnsi="Arial" w:cs="Arial"/>
          <w:b/>
          <w:bCs/>
          <w:color w:val="000000"/>
        </w:rPr>
        <w:t xml:space="preserve">                                                                                                                   </w:t>
      </w:r>
      <w:r w:rsidR="007C4B28">
        <w:rPr>
          <w:rFonts w:ascii="Arial" w:hAnsi="Arial" w:cs="Arial"/>
          <w:b/>
          <w:bCs/>
          <w:color w:val="000000"/>
        </w:rPr>
        <w:t xml:space="preserve">   </w:t>
      </w:r>
    </w:p>
    <w:p w14:paraId="6BF2C5E9" w14:textId="78039A65" w:rsidR="0020785D" w:rsidRDefault="0020785D" w:rsidP="00E62396">
      <w:pPr>
        <w:spacing w:line="360" w:lineRule="auto"/>
        <w:jc w:val="both"/>
        <w:rPr>
          <w:rFonts w:ascii="Arial" w:hAnsi="Arial" w:cs="Arial"/>
          <w:b/>
          <w:bCs/>
          <w:color w:val="000000"/>
        </w:rPr>
      </w:pPr>
      <w:r>
        <w:rPr>
          <w:rFonts w:ascii="Arial" w:hAnsi="Arial" w:cs="Arial"/>
        </w:rPr>
        <w:t xml:space="preserve">A large UK population-based study, published in </w:t>
      </w:r>
      <w:r>
        <w:rPr>
          <w:rStyle w:val="Emphasis"/>
          <w:rFonts w:ascii="Arial" w:hAnsi="Arial" w:cs="Arial"/>
        </w:rPr>
        <w:t>The Lancet</w:t>
      </w:r>
      <w:r>
        <w:rPr>
          <w:rFonts w:ascii="Arial" w:hAnsi="Arial" w:cs="Arial"/>
        </w:rPr>
        <w:t xml:space="preserve"> 2018, analysed the health records of over </w:t>
      </w:r>
      <w:r w:rsidRPr="008C2F7D">
        <w:rPr>
          <w:rStyle w:val="Strong"/>
          <w:rFonts w:ascii="Arial" w:hAnsi="Arial" w:cs="Arial"/>
          <w:b w:val="0"/>
          <w:bCs w:val="0"/>
        </w:rPr>
        <w:t>22 million people</w:t>
      </w:r>
      <w:r>
        <w:rPr>
          <w:rFonts w:ascii="Arial" w:hAnsi="Arial" w:cs="Arial"/>
        </w:rPr>
        <w:t xml:space="preserve"> and reported the following: Approximately </w:t>
      </w:r>
      <w:r w:rsidRPr="008C2F7D">
        <w:rPr>
          <w:rStyle w:val="Strong"/>
          <w:rFonts w:ascii="Arial" w:hAnsi="Arial" w:cs="Arial"/>
          <w:b w:val="0"/>
          <w:bCs w:val="0"/>
        </w:rPr>
        <w:t>10% of the UK population</w:t>
      </w:r>
      <w:r>
        <w:rPr>
          <w:rFonts w:ascii="Arial" w:hAnsi="Arial" w:cs="Arial"/>
        </w:rPr>
        <w:t xml:space="preserve"> have at least one autoimmune disease.</w:t>
      </w:r>
    </w:p>
    <w:p w14:paraId="5B9F5FAC" w14:textId="77777777" w:rsidR="0020785D" w:rsidRDefault="0020785D" w:rsidP="000A0281">
      <w:pPr>
        <w:pStyle w:val="NormalWeb"/>
        <w:numPr>
          <w:ilvl w:val="0"/>
          <w:numId w:val="2"/>
        </w:numPr>
        <w:spacing w:line="360" w:lineRule="auto"/>
        <w:rPr>
          <w:rFonts w:ascii="Arial" w:hAnsi="Arial" w:cs="Arial"/>
        </w:rPr>
      </w:pPr>
      <w:r>
        <w:rPr>
          <w:rFonts w:ascii="Arial" w:hAnsi="Arial" w:cs="Arial"/>
        </w:rPr>
        <w:t xml:space="preserve">Prevalence differs by sex: </w:t>
      </w:r>
      <w:r w:rsidRPr="008C2F7D">
        <w:rPr>
          <w:rStyle w:val="Strong"/>
          <w:rFonts w:ascii="Arial" w:eastAsiaTheme="majorEastAsia" w:hAnsi="Arial" w:cs="Arial"/>
          <w:b w:val="0"/>
          <w:bCs w:val="0"/>
        </w:rPr>
        <w:t>about 13% of women</w:t>
      </w:r>
      <w:r>
        <w:rPr>
          <w:rFonts w:ascii="Arial" w:hAnsi="Arial" w:cs="Arial"/>
          <w:b/>
          <w:bCs/>
        </w:rPr>
        <w:t xml:space="preserve"> </w:t>
      </w:r>
      <w:r>
        <w:rPr>
          <w:rFonts w:ascii="Arial" w:hAnsi="Arial" w:cs="Arial"/>
        </w:rPr>
        <w:t xml:space="preserve">and </w:t>
      </w:r>
      <w:r w:rsidRPr="008C2F7D">
        <w:rPr>
          <w:rStyle w:val="Strong"/>
          <w:rFonts w:ascii="Arial" w:eastAsiaTheme="majorEastAsia" w:hAnsi="Arial" w:cs="Arial"/>
          <w:b w:val="0"/>
          <w:bCs w:val="0"/>
        </w:rPr>
        <w:t>7% of men</w:t>
      </w:r>
      <w:r>
        <w:rPr>
          <w:rFonts w:ascii="Arial" w:hAnsi="Arial" w:cs="Arial"/>
          <w:b/>
          <w:bCs/>
        </w:rPr>
        <w:t xml:space="preserve"> </w:t>
      </w:r>
      <w:r>
        <w:rPr>
          <w:rFonts w:ascii="Arial" w:hAnsi="Arial" w:cs="Arial"/>
        </w:rPr>
        <w:t>are affected by at least one autoimmune condition.</w:t>
      </w:r>
    </w:p>
    <w:p w14:paraId="7A5AB0E1" w14:textId="5ECDE0CA" w:rsidR="005414D5" w:rsidRPr="001505C1" w:rsidRDefault="0020785D" w:rsidP="000A0281">
      <w:pPr>
        <w:pStyle w:val="NormalWeb"/>
        <w:numPr>
          <w:ilvl w:val="0"/>
          <w:numId w:val="2"/>
        </w:numPr>
        <w:spacing w:line="360" w:lineRule="auto"/>
        <w:rPr>
          <w:rFonts w:ascii="Arial" w:hAnsi="Arial" w:cs="Arial"/>
        </w:rPr>
      </w:pPr>
      <w:r>
        <w:rPr>
          <w:rFonts w:ascii="Arial" w:hAnsi="Arial" w:cs="Arial"/>
        </w:rPr>
        <w:t xml:space="preserve">This estimate includes </w:t>
      </w:r>
      <w:r w:rsidRPr="008C2F7D">
        <w:rPr>
          <w:rStyle w:val="Strong"/>
          <w:rFonts w:ascii="Arial" w:eastAsiaTheme="majorEastAsia" w:hAnsi="Arial" w:cs="Arial"/>
          <w:b w:val="0"/>
          <w:bCs w:val="0"/>
        </w:rPr>
        <w:t>19 of the most common autoimmune diseases</w:t>
      </w:r>
      <w:r w:rsidRPr="008C2F7D">
        <w:rPr>
          <w:rFonts w:ascii="Arial" w:hAnsi="Arial" w:cs="Arial"/>
          <w:b/>
          <w:bCs/>
        </w:rPr>
        <w:t xml:space="preserve"> </w:t>
      </w:r>
      <w:r w:rsidRPr="008C2F7D">
        <w:rPr>
          <w:rFonts w:ascii="Arial" w:hAnsi="Arial" w:cs="Arial"/>
        </w:rPr>
        <w:t>such</w:t>
      </w:r>
      <w:r>
        <w:rPr>
          <w:rFonts w:ascii="Arial" w:hAnsi="Arial" w:cs="Arial"/>
        </w:rPr>
        <w:t xml:space="preserve"> as rheumatoid arthritis, type 1 diabetes, multiple sclerosis, psoriasis, inflammatory bowel disease, coeliac disease, and more.</w:t>
      </w:r>
    </w:p>
    <w:p w14:paraId="1AA3EA8B" w14:textId="6FC52CF5" w:rsidR="0020785D" w:rsidRPr="001F1D6B" w:rsidRDefault="0020785D" w:rsidP="008E47F7">
      <w:pPr>
        <w:pStyle w:val="Heading2"/>
      </w:pPr>
      <w:bookmarkStart w:id="12" w:name="_Toc227244852"/>
      <w:bookmarkStart w:id="13" w:name="_Toc227244900"/>
      <w:bookmarkStart w:id="14" w:name="_Toc227310903"/>
      <w:r w:rsidRPr="001F1D6B">
        <w:lastRenderedPageBreak/>
        <w:t>Review questions</w:t>
      </w:r>
      <w:bookmarkEnd w:id="12"/>
      <w:bookmarkEnd w:id="13"/>
      <w:bookmarkEnd w:id="14"/>
    </w:p>
    <w:p w14:paraId="70AC5EA6" w14:textId="78D99F2A" w:rsidR="00A97618" w:rsidRPr="001505C1" w:rsidRDefault="0020785D" w:rsidP="000A0281">
      <w:pPr>
        <w:spacing w:line="360" w:lineRule="auto"/>
        <w:rPr>
          <w:rFonts w:ascii="Arial" w:hAnsi="Arial" w:cs="Arial"/>
        </w:rPr>
      </w:pPr>
      <w:r>
        <w:rPr>
          <w:rFonts w:ascii="Arial" w:hAnsi="Arial" w:cs="Arial"/>
        </w:rPr>
        <w:t>What is the impact and importance of nutrition for people with autoimmune disease living in the UK?</w:t>
      </w:r>
    </w:p>
    <w:p w14:paraId="1FB7EE15" w14:textId="77777777" w:rsidR="00A97618" w:rsidRPr="001F1D6B" w:rsidRDefault="00A97618" w:rsidP="008E47F7">
      <w:pPr>
        <w:pStyle w:val="Heading2"/>
      </w:pPr>
      <w:bookmarkStart w:id="15" w:name="_Toc227244853"/>
      <w:bookmarkStart w:id="16" w:name="_Toc227244901"/>
      <w:bookmarkStart w:id="17" w:name="_Toc227310904"/>
      <w:r w:rsidRPr="001F1D6B">
        <w:t>Objectives</w:t>
      </w:r>
      <w:bookmarkEnd w:id="15"/>
      <w:bookmarkEnd w:id="16"/>
      <w:bookmarkEnd w:id="17"/>
    </w:p>
    <w:p w14:paraId="6E356522" w14:textId="77777777" w:rsidR="00A97618" w:rsidRDefault="00A97618" w:rsidP="000A0281">
      <w:pPr>
        <w:pStyle w:val="ListParagraph"/>
        <w:numPr>
          <w:ilvl w:val="0"/>
          <w:numId w:val="1"/>
        </w:numPr>
        <w:spacing w:line="360" w:lineRule="auto"/>
        <w:rPr>
          <w:rFonts w:ascii="Arial" w:hAnsi="Arial" w:cs="Arial"/>
        </w:rPr>
      </w:pPr>
      <w:r>
        <w:rPr>
          <w:rFonts w:ascii="Arial" w:hAnsi="Arial" w:cs="Arial"/>
        </w:rPr>
        <w:t>Define nutrition and its importance and impact on people’s health</w:t>
      </w:r>
    </w:p>
    <w:p w14:paraId="1175AA76" w14:textId="77777777" w:rsidR="00A97618" w:rsidRDefault="00A97618" w:rsidP="000A0281">
      <w:pPr>
        <w:pStyle w:val="ListParagraph"/>
        <w:numPr>
          <w:ilvl w:val="0"/>
          <w:numId w:val="1"/>
        </w:numPr>
        <w:spacing w:line="360" w:lineRule="auto"/>
        <w:rPr>
          <w:rFonts w:ascii="Arial" w:hAnsi="Arial" w:cs="Arial"/>
        </w:rPr>
      </w:pPr>
      <w:r>
        <w:rPr>
          <w:rFonts w:ascii="Arial" w:hAnsi="Arial" w:cs="Arial"/>
        </w:rPr>
        <w:t xml:space="preserve">Analyse the role of nutrition for autoimmune diseases                                                           </w:t>
      </w:r>
    </w:p>
    <w:p w14:paraId="0394707F" w14:textId="1BAE8DFA" w:rsidR="00A97618" w:rsidRPr="00A66522" w:rsidRDefault="00A97618" w:rsidP="000A0281">
      <w:pPr>
        <w:pStyle w:val="ListParagraph"/>
        <w:numPr>
          <w:ilvl w:val="0"/>
          <w:numId w:val="1"/>
        </w:numPr>
        <w:spacing w:line="360" w:lineRule="auto"/>
        <w:rPr>
          <w:rFonts w:ascii="Arial" w:hAnsi="Arial" w:cs="Arial"/>
          <w:color w:val="000000"/>
          <w:sz w:val="27"/>
          <w:szCs w:val="27"/>
        </w:rPr>
      </w:pPr>
      <w:r>
        <w:rPr>
          <w:rFonts w:ascii="Arial" w:hAnsi="Arial" w:cs="Arial"/>
        </w:rPr>
        <w:t xml:space="preserve">Provide recommendations </w:t>
      </w:r>
    </w:p>
    <w:p w14:paraId="435A99C8" w14:textId="5AD9E6B5" w:rsidR="00293C0A" w:rsidRPr="00C93B93" w:rsidRDefault="0022137F" w:rsidP="007C4B28">
      <w:pPr>
        <w:spacing w:line="360" w:lineRule="auto"/>
        <w:jc w:val="both"/>
        <w:rPr>
          <w:rFonts w:ascii="Arial" w:hAnsi="Arial" w:cs="Arial"/>
        </w:rPr>
      </w:pPr>
      <w:r w:rsidRPr="002A1394">
        <w:rPr>
          <w:rFonts w:ascii="Arial" w:hAnsi="Arial" w:cs="Arial"/>
        </w:rPr>
        <w:t>Nutrition plays a vital role in the management of autoimmune diseases, with specific nutrients contributing to immune regulation and inflammation control. Omega-3 fatty acids, found in foods such as oily fish, have anti-inflammatory properties and may help reduce symptoms in autoimmune conditions (Calder, 2020). Vitamin D is also essential, as it supports immune system regulation, and low levels have been associated with an increased risk of autoimmune diseases (Holick, 2017). In addition, selenium plays a key role in protecting against oxidative stress and is particularly important in thyroid autoimmune disorders (Winther, Rayman and Bonnema, 2020). Antioxidants, including vitamins A, C and E, help to protect cells from damage caused by free radicals, which can worsen inflammation (</w:t>
      </w:r>
      <w:r w:rsidR="006C0B45" w:rsidRPr="002A1394">
        <w:rPr>
          <w:rFonts w:ascii="Arial" w:hAnsi="Arial" w:cs="Arial"/>
        </w:rPr>
        <w:t>Gombert</w:t>
      </w:r>
      <w:r w:rsidRPr="002A1394">
        <w:rPr>
          <w:rFonts w:ascii="Arial" w:hAnsi="Arial" w:cs="Arial"/>
        </w:rPr>
        <w:t xml:space="preserve">, Pierre and Maggini, 2020). Furthermore, dietary fibre supports gut microbiota, which is closely linked to immune function and may influence autoimmune disease progression (Makki </w:t>
      </w:r>
      <w:r w:rsidRPr="002A1394">
        <w:rPr>
          <w:rStyle w:val="Emphasis"/>
          <w:rFonts w:ascii="Arial" w:hAnsi="Arial" w:cs="Arial"/>
        </w:rPr>
        <w:t>et al.</w:t>
      </w:r>
      <w:r w:rsidRPr="002A1394">
        <w:rPr>
          <w:rFonts w:ascii="Arial" w:hAnsi="Arial" w:cs="Arial"/>
        </w:rPr>
        <w:t>, 2018). Overall, these nutrients are essential for supporting immune health and managing autoimmune diseases in adults.</w:t>
      </w:r>
    </w:p>
    <w:p w14:paraId="05CA5E0F" w14:textId="4B948D87" w:rsidR="00293C0A" w:rsidRPr="00626105" w:rsidRDefault="00293C0A" w:rsidP="008E47F7">
      <w:pPr>
        <w:pStyle w:val="Heading1"/>
      </w:pPr>
      <w:bookmarkStart w:id="18" w:name="_Toc227244854"/>
      <w:bookmarkStart w:id="19" w:name="_Toc227244902"/>
      <w:bookmarkStart w:id="20" w:name="_Toc227310905"/>
      <w:r w:rsidRPr="00626105">
        <w:t xml:space="preserve">2. </w:t>
      </w:r>
      <w:r w:rsidRPr="001F1D6B">
        <w:t>B</w:t>
      </w:r>
      <w:r w:rsidR="001F1D6B" w:rsidRPr="001F1D6B">
        <w:t>ACKGROUND</w:t>
      </w:r>
      <w:bookmarkEnd w:id="18"/>
      <w:bookmarkEnd w:id="19"/>
      <w:bookmarkEnd w:id="20"/>
    </w:p>
    <w:p w14:paraId="226D2DCE" w14:textId="60B78206" w:rsidR="00A66522" w:rsidRPr="00CA2C7E" w:rsidRDefault="00293C0A" w:rsidP="00A66522">
      <w:pPr>
        <w:pStyle w:val="Heading2"/>
      </w:pPr>
      <w:bookmarkStart w:id="21" w:name="_Toc227244855"/>
      <w:bookmarkStart w:id="22" w:name="_Toc227244903"/>
      <w:bookmarkStart w:id="23" w:name="_Toc227310906"/>
      <w:r w:rsidRPr="001F1D6B">
        <w:t>Contextual information</w:t>
      </w:r>
      <w:bookmarkEnd w:id="21"/>
      <w:bookmarkEnd w:id="22"/>
      <w:bookmarkEnd w:id="23"/>
    </w:p>
    <w:p w14:paraId="3FFD066C" w14:textId="44CA5D61" w:rsidR="00D47ED0" w:rsidRPr="0015033C" w:rsidRDefault="00D47ED0" w:rsidP="007C4B28">
      <w:pPr>
        <w:jc w:val="both"/>
        <w:rPr>
          <w:rFonts w:ascii="Arial" w:hAnsi="Arial" w:cs="Arial"/>
        </w:rPr>
      </w:pPr>
      <w:r w:rsidRPr="0015033C">
        <w:rPr>
          <w:rFonts w:ascii="Arial" w:hAnsi="Arial" w:cs="Arial"/>
        </w:rPr>
        <w:t>Autoimmune diseases are chronic conditions in which the immune system mistakenly attacks the body’s own tissues, leading to inflammation and tissue damage (Davidson and Diamond, 2001). Common autoimmune conditions include rheumatoid arthritis, multiple sclerosis and autoimmune thyroid diseases, all of which can significantly impact an individual’s quality of life and require long-term management.</w:t>
      </w:r>
    </w:p>
    <w:p w14:paraId="68EC37AC" w14:textId="77777777" w:rsidR="00D47ED0" w:rsidRPr="00D47ED0" w:rsidRDefault="00D47ED0" w:rsidP="007C4B28">
      <w:pPr>
        <w:pStyle w:val="NormalWeb"/>
        <w:spacing w:line="360" w:lineRule="auto"/>
        <w:jc w:val="both"/>
        <w:rPr>
          <w:rFonts w:ascii="Arial" w:hAnsi="Arial" w:cs="Arial"/>
        </w:rPr>
      </w:pPr>
      <w:r w:rsidRPr="00D47ED0">
        <w:rPr>
          <w:rFonts w:ascii="Arial" w:hAnsi="Arial" w:cs="Arial"/>
        </w:rPr>
        <w:t xml:space="preserve">The prevalence of autoimmune diseases has been increasing globally, including in the UK, creating a growing challenge for healthcare systems (Cooper, Bynum and Somers, 2009). While genetic factors contribute to the development of these </w:t>
      </w:r>
      <w:r w:rsidRPr="00D47ED0">
        <w:rPr>
          <w:rFonts w:ascii="Arial" w:hAnsi="Arial" w:cs="Arial"/>
        </w:rPr>
        <w:lastRenderedPageBreak/>
        <w:t>conditions, environmental and lifestyle factors, particularly diet, are increasingly recognised as important influences. Nutrition plays a key role in maintaining immune function, as the body depends on essential nutrients to regulate immune responses and prevent excessive inflammation (</w:t>
      </w:r>
      <w:proofErr w:type="spellStart"/>
      <w:r w:rsidRPr="00D47ED0">
        <w:rPr>
          <w:rFonts w:ascii="Arial" w:hAnsi="Arial" w:cs="Arial"/>
        </w:rPr>
        <w:t>Gombart</w:t>
      </w:r>
      <w:proofErr w:type="spellEnd"/>
      <w:r w:rsidRPr="00D47ED0">
        <w:rPr>
          <w:rFonts w:ascii="Arial" w:hAnsi="Arial" w:cs="Arial"/>
        </w:rPr>
        <w:t>, Pierre and Maggini, 2020).</w:t>
      </w:r>
    </w:p>
    <w:p w14:paraId="4920A48A" w14:textId="77777777" w:rsidR="00D47ED0" w:rsidRPr="00D47ED0" w:rsidRDefault="00D47ED0" w:rsidP="007C4B28">
      <w:pPr>
        <w:pStyle w:val="NormalWeb"/>
        <w:spacing w:line="360" w:lineRule="auto"/>
        <w:jc w:val="both"/>
        <w:rPr>
          <w:rFonts w:ascii="Arial" w:hAnsi="Arial" w:cs="Arial"/>
        </w:rPr>
      </w:pPr>
      <w:r w:rsidRPr="00D47ED0">
        <w:rPr>
          <w:rFonts w:ascii="Arial" w:hAnsi="Arial" w:cs="Arial"/>
        </w:rPr>
        <w:t xml:space="preserve">Recent research has emphasised the relationship between diet, gut health and the immune system. Diets high in processed foods and low in fibre and essential nutrients may contribute to increased inflammation, whereas balanced diets rich in whole foods can support immune regulation (Makki </w:t>
      </w:r>
      <w:r w:rsidRPr="00D47ED0">
        <w:rPr>
          <w:rStyle w:val="Emphasis"/>
          <w:rFonts w:ascii="Arial" w:eastAsiaTheme="majorEastAsia" w:hAnsi="Arial" w:cs="Arial"/>
        </w:rPr>
        <w:t>et al.</w:t>
      </w:r>
      <w:r w:rsidRPr="00D47ED0">
        <w:rPr>
          <w:rFonts w:ascii="Arial" w:hAnsi="Arial" w:cs="Arial"/>
        </w:rPr>
        <w:t>, 2018). This has led to growing interest in nutrition as a supportive strategy for managing autoimmune diseases.</w:t>
      </w:r>
    </w:p>
    <w:p w14:paraId="3C41745E" w14:textId="679059C8" w:rsidR="00293C0A" w:rsidRDefault="00D47ED0" w:rsidP="000A0281">
      <w:pPr>
        <w:pStyle w:val="NormalWeb"/>
        <w:spacing w:line="360" w:lineRule="auto"/>
        <w:rPr>
          <w:rFonts w:ascii="Arial" w:hAnsi="Arial" w:cs="Arial"/>
        </w:rPr>
      </w:pPr>
      <w:r w:rsidRPr="00D47ED0">
        <w:rPr>
          <w:rFonts w:ascii="Arial" w:hAnsi="Arial" w:cs="Arial"/>
        </w:rPr>
        <w:t>Therefore, understanding the impact of nutrition is essential for improving health outcomes in adults with autoimmune diseases, as it may provide a practical and cost-effective approach to complement medical treatment.</w:t>
      </w:r>
    </w:p>
    <w:p w14:paraId="644D3FBC" w14:textId="77777777" w:rsidR="00592422" w:rsidRPr="00AA0571" w:rsidRDefault="00592422" w:rsidP="00AA0571">
      <w:pPr>
        <w:pStyle w:val="xmsonormal"/>
        <w:shd w:val="clear" w:color="auto" w:fill="FFFFFF"/>
        <w:spacing w:before="0" w:beforeAutospacing="0" w:after="0" w:afterAutospacing="0"/>
        <w:jc w:val="both"/>
        <w:rPr>
          <w:rFonts w:ascii="Arial" w:hAnsi="Arial" w:cs="Arial"/>
          <w:color w:val="242424"/>
        </w:rPr>
      </w:pPr>
      <w:r w:rsidRPr="00AA0571">
        <w:rPr>
          <w:rFonts w:ascii="Arial" w:hAnsi="Arial" w:cs="Arial"/>
          <w:color w:val="000000"/>
          <w:bdr w:val="none" w:sz="0" w:space="0" w:color="auto" w:frame="1"/>
        </w:rPr>
        <w:t>In the UK, the NHS provides comprehensive support for people living with chronic (long</w:t>
      </w:r>
      <w:r w:rsidRPr="00AA0571">
        <w:rPr>
          <w:rFonts w:ascii="Arial" w:hAnsi="Arial" w:cs="Arial"/>
          <w:color w:val="000000"/>
          <w:bdr w:val="none" w:sz="0" w:space="0" w:color="auto" w:frame="1"/>
        </w:rPr>
        <w:noBreakHyphen/>
        <w:t>term) conditions by focusing on prevention, self</w:t>
      </w:r>
      <w:r w:rsidRPr="00AA0571">
        <w:rPr>
          <w:rFonts w:ascii="Arial" w:hAnsi="Arial" w:cs="Arial"/>
          <w:color w:val="000000"/>
          <w:bdr w:val="none" w:sz="0" w:space="0" w:color="auto" w:frame="1"/>
        </w:rPr>
        <w:noBreakHyphen/>
        <w:t>management, and lifestyle change, particularly through primary care. GP practices play a central role by maintaining chronic disease registers and offering regular reviews for conditions such as diabetes, hypertension, heart disease, COPD and asthma, where diet and physical activity are routinely discussed. National programmes such as the NHS Digital Weight Management Programme and the NHS Weight Loss Plan offer free, structured support to help eligible adults improve their diet, increase physical activity and manage weight, especially where obesity is linked to long</w:t>
      </w:r>
      <w:r w:rsidRPr="00AA0571">
        <w:rPr>
          <w:rFonts w:ascii="Arial" w:hAnsi="Arial" w:cs="Arial"/>
          <w:color w:val="000000"/>
          <w:bdr w:val="none" w:sz="0" w:space="0" w:color="auto" w:frame="1"/>
        </w:rPr>
        <w:noBreakHyphen/>
        <w:t>term illness. GPs can also refer patients to registered dietitians for specialist dietary advice for conditions like diabetes, IBS or severe obesity. In addition, the NHS Health Check for adults aged 40–74 helps identify the risk of developing conditions such as heart disease and diabetes, providing personalised lifestyle advice, while Primary Care Networks (PCNs) enhance support through multidisciplinary teams, including dietitians and clinical pharmacists, to help people manage their conditions more effectively (</w:t>
      </w:r>
      <w:r w:rsidRPr="00AA0571">
        <w:rPr>
          <w:rFonts w:ascii="Arial" w:hAnsi="Arial" w:cs="Arial"/>
          <w:bdr w:val="none" w:sz="0" w:space="0" w:color="auto" w:frame="1"/>
        </w:rPr>
        <w:t>Living Well, 2026).</w:t>
      </w:r>
    </w:p>
    <w:p w14:paraId="101911E5" w14:textId="21267595" w:rsidR="00592422" w:rsidRPr="00AA0571" w:rsidRDefault="00592422" w:rsidP="00AA0571">
      <w:pPr>
        <w:pStyle w:val="xmsonormal"/>
        <w:shd w:val="clear" w:color="auto" w:fill="FFFFFF"/>
        <w:spacing w:before="0" w:beforeAutospacing="0" w:after="0" w:afterAutospacing="0"/>
        <w:jc w:val="both"/>
        <w:rPr>
          <w:rFonts w:ascii="Arial" w:hAnsi="Arial" w:cs="Arial"/>
          <w:color w:val="242424"/>
        </w:rPr>
      </w:pPr>
      <w:r w:rsidRPr="00AA0571">
        <w:rPr>
          <w:rFonts w:ascii="Arial" w:hAnsi="Arial" w:cs="Arial"/>
          <w:color w:val="163E64"/>
          <w:bdr w:val="none" w:sz="0" w:space="0" w:color="auto" w:frame="1"/>
        </w:rPr>
        <w:t> </w:t>
      </w:r>
    </w:p>
    <w:p w14:paraId="1E6CE5E4" w14:textId="559CAE65" w:rsidR="00293C0A" w:rsidRPr="001F1D6B" w:rsidRDefault="00293C0A" w:rsidP="008E47F7">
      <w:pPr>
        <w:pStyle w:val="Heading1"/>
      </w:pPr>
      <w:bookmarkStart w:id="24" w:name="_Toc227244856"/>
      <w:bookmarkStart w:id="25" w:name="_Toc227244904"/>
      <w:bookmarkStart w:id="26" w:name="_Toc227310907"/>
      <w:r w:rsidRPr="001F1D6B">
        <w:t>3. M</w:t>
      </w:r>
      <w:r w:rsidR="001F1D6B" w:rsidRPr="001F1D6B">
        <w:t>ETHODS</w:t>
      </w:r>
      <w:bookmarkEnd w:id="24"/>
      <w:bookmarkEnd w:id="25"/>
      <w:bookmarkEnd w:id="26"/>
    </w:p>
    <w:p w14:paraId="1D3BB583" w14:textId="77777777" w:rsidR="0020785D" w:rsidRPr="001F1D6B" w:rsidRDefault="0020785D" w:rsidP="000A0281">
      <w:pPr>
        <w:pStyle w:val="Heading3"/>
        <w:spacing w:line="360" w:lineRule="auto"/>
      </w:pPr>
      <w:bookmarkStart w:id="27" w:name="_Toc227244857"/>
      <w:bookmarkStart w:id="28" w:name="_Toc227244905"/>
      <w:bookmarkStart w:id="29" w:name="_Toc227310908"/>
      <w:r w:rsidRPr="001F1D6B">
        <w:t>Methods</w:t>
      </w:r>
      <w:bookmarkEnd w:id="27"/>
      <w:bookmarkEnd w:id="28"/>
      <w:bookmarkEnd w:id="29"/>
    </w:p>
    <w:p w14:paraId="3349CEDF" w14:textId="77777777" w:rsidR="00AF2E6B" w:rsidRPr="006E4315" w:rsidRDefault="00AF2E6B" w:rsidP="007C4B28">
      <w:pPr>
        <w:pStyle w:val="NormalWeb"/>
        <w:spacing w:line="360" w:lineRule="auto"/>
        <w:jc w:val="both"/>
        <w:rPr>
          <w:rFonts w:ascii="Arial" w:hAnsi="Arial" w:cs="Arial"/>
        </w:rPr>
      </w:pPr>
      <w:r w:rsidRPr="006E4315">
        <w:rPr>
          <w:rFonts w:ascii="Arial" w:hAnsi="Arial" w:cs="Arial"/>
        </w:rPr>
        <w:t xml:space="preserve">This study adopted a </w:t>
      </w:r>
      <w:r w:rsidRPr="006E4315">
        <w:rPr>
          <w:rStyle w:val="Strong"/>
          <w:rFonts w:ascii="Arial" w:eastAsiaTheme="majorEastAsia" w:hAnsi="Arial" w:cs="Arial"/>
          <w:b w:val="0"/>
          <w:bCs w:val="0"/>
        </w:rPr>
        <w:t>secondary research design</w:t>
      </w:r>
      <w:r w:rsidRPr="006E4315">
        <w:rPr>
          <w:rFonts w:ascii="Arial" w:hAnsi="Arial" w:cs="Arial"/>
        </w:rPr>
        <w:t xml:space="preserve">, using a scoping review to explore the impact and importance of nutrition for adults with autoimmune diseases in the UK. Secondary research involves analysing existing data rather than collecting new information, allowing for a broad understanding of current knowledge in the field. A </w:t>
      </w:r>
      <w:r w:rsidRPr="006E4315">
        <w:rPr>
          <w:rFonts w:ascii="Arial" w:hAnsi="Arial" w:cs="Arial"/>
        </w:rPr>
        <w:lastRenderedPageBreak/>
        <w:t>scoping review was chosen as it enables the identification and mapping of key concepts, evidence and gaps within the literature.</w:t>
      </w:r>
    </w:p>
    <w:p w14:paraId="3192057F" w14:textId="77777777" w:rsidR="00AF2E6B" w:rsidRPr="006E4315" w:rsidRDefault="00AF2E6B" w:rsidP="007C4B28">
      <w:pPr>
        <w:pStyle w:val="NormalWeb"/>
        <w:spacing w:line="360" w:lineRule="auto"/>
        <w:rPr>
          <w:rFonts w:ascii="Arial" w:hAnsi="Arial" w:cs="Arial"/>
        </w:rPr>
      </w:pPr>
      <w:r w:rsidRPr="006E4315">
        <w:rPr>
          <w:rFonts w:ascii="Arial" w:hAnsi="Arial" w:cs="Arial"/>
        </w:rPr>
        <w:t>Peer-reviewed journal articles published from 2016 onwards were selected to ensure the use of recent and reliable evidence. The inclusion criteria focused on UK-based studies involving adults aged 18 and over, with a clear emphasis on nutrition and autoimmune diseases. Three relevant studies were identified and included in the analysis.</w:t>
      </w:r>
    </w:p>
    <w:p w14:paraId="60BF899E" w14:textId="77777777" w:rsidR="00FE30C2" w:rsidRPr="001F1D6B" w:rsidRDefault="0020785D" w:rsidP="008E47F7">
      <w:pPr>
        <w:pStyle w:val="Heading2"/>
      </w:pPr>
      <w:bookmarkStart w:id="30" w:name="_Toc227244858"/>
      <w:bookmarkStart w:id="31" w:name="_Toc227244906"/>
      <w:bookmarkStart w:id="32" w:name="_Toc227310909"/>
      <w:r w:rsidRPr="001F1D6B">
        <w:t>Keywords</w:t>
      </w:r>
      <w:bookmarkEnd w:id="30"/>
      <w:bookmarkEnd w:id="31"/>
      <w:bookmarkEnd w:id="32"/>
    </w:p>
    <w:p w14:paraId="18BFC1D7" w14:textId="77777777" w:rsidR="00C07BEB" w:rsidRDefault="0020785D" w:rsidP="000A0281">
      <w:pPr>
        <w:spacing w:line="360" w:lineRule="auto"/>
        <w:rPr>
          <w:rFonts w:ascii="Arial" w:hAnsi="Arial" w:cs="Arial"/>
          <w:color w:val="000000"/>
        </w:rPr>
      </w:pPr>
      <w:r>
        <w:rPr>
          <w:rFonts w:ascii="Arial" w:hAnsi="Arial" w:cs="Arial"/>
          <w:color w:val="000000"/>
        </w:rPr>
        <w:t xml:space="preserve">impact and importance of nutrition, UK, adults, </w:t>
      </w:r>
      <w:r w:rsidR="00340962">
        <w:rPr>
          <w:rFonts w:ascii="Arial" w:hAnsi="Arial" w:cs="Arial"/>
          <w:color w:val="000000"/>
        </w:rPr>
        <w:t>diet, patients</w:t>
      </w:r>
      <w:r>
        <w:rPr>
          <w:rFonts w:ascii="Arial" w:hAnsi="Arial" w:cs="Arial"/>
          <w:color w:val="000000"/>
        </w:rPr>
        <w:t xml:space="preserve"> with autoimmune disease</w:t>
      </w:r>
    </w:p>
    <w:p w14:paraId="5A1EC8EC" w14:textId="36A90C5B" w:rsidR="00302745" w:rsidRDefault="00302745" w:rsidP="008E47F7">
      <w:pPr>
        <w:pStyle w:val="Heading2"/>
      </w:pPr>
      <w:bookmarkStart w:id="33" w:name="_Toc227244859"/>
      <w:bookmarkStart w:id="34" w:name="_Toc227244907"/>
      <w:bookmarkStart w:id="35" w:name="_Toc227310910"/>
      <w:r>
        <w:t>Databases</w:t>
      </w:r>
      <w:bookmarkEnd w:id="33"/>
      <w:bookmarkEnd w:id="34"/>
      <w:bookmarkEnd w:id="35"/>
    </w:p>
    <w:p w14:paraId="0AB9502D" w14:textId="0741D7DF" w:rsidR="00302745" w:rsidRDefault="00EE3D4F" w:rsidP="000A0281">
      <w:pPr>
        <w:spacing w:line="360" w:lineRule="auto"/>
        <w:rPr>
          <w:rFonts w:ascii="Arial" w:hAnsi="Arial" w:cs="Arial"/>
          <w:color w:val="000000"/>
        </w:rPr>
      </w:pPr>
      <w:r>
        <w:rPr>
          <w:rFonts w:ascii="Arial" w:hAnsi="Arial" w:cs="Arial"/>
          <w:color w:val="000000"/>
        </w:rPr>
        <w:t>PubMed, ProQuest, Google Schola</w:t>
      </w:r>
      <w:r w:rsidR="00996A15">
        <w:rPr>
          <w:rFonts w:ascii="Arial" w:hAnsi="Arial" w:cs="Arial"/>
          <w:color w:val="000000"/>
        </w:rPr>
        <w:t xml:space="preserve">r </w:t>
      </w:r>
      <w:r>
        <w:rPr>
          <w:rFonts w:ascii="Arial" w:hAnsi="Arial" w:cs="Arial"/>
          <w:color w:val="000000"/>
        </w:rPr>
        <w:t xml:space="preserve">and UWTSD library. </w:t>
      </w:r>
    </w:p>
    <w:p w14:paraId="41D47472" w14:textId="77777777" w:rsidR="00C07BEB" w:rsidRPr="001F1D6B" w:rsidRDefault="00293C0A" w:rsidP="008E47F7">
      <w:pPr>
        <w:pStyle w:val="Heading2"/>
      </w:pPr>
      <w:bookmarkStart w:id="36" w:name="_Toc227244860"/>
      <w:bookmarkStart w:id="37" w:name="_Toc227244908"/>
      <w:bookmarkStart w:id="38" w:name="_Toc227310911"/>
      <w:r w:rsidRPr="001F1D6B">
        <w:t>Data analysis</w:t>
      </w:r>
      <w:bookmarkEnd w:id="36"/>
      <w:bookmarkEnd w:id="37"/>
      <w:bookmarkEnd w:id="38"/>
    </w:p>
    <w:p w14:paraId="75D3D5E4" w14:textId="67D65909" w:rsidR="00007EE2" w:rsidRPr="00C07BEB" w:rsidRDefault="00007EE2" w:rsidP="00996A15">
      <w:pPr>
        <w:spacing w:line="360" w:lineRule="auto"/>
        <w:jc w:val="both"/>
        <w:rPr>
          <w:rFonts w:ascii="Arial" w:hAnsi="Arial" w:cs="Arial"/>
          <w:color w:val="000000"/>
        </w:rPr>
      </w:pPr>
      <w:r w:rsidRPr="00626105">
        <w:rPr>
          <w:rFonts w:ascii="Arial" w:hAnsi="Arial" w:cs="Arial"/>
        </w:rPr>
        <w:t xml:space="preserve">The data were analysed using </w:t>
      </w:r>
      <w:r w:rsidRPr="00626105">
        <w:rPr>
          <w:rStyle w:val="Strong"/>
          <w:rFonts w:ascii="Arial" w:hAnsi="Arial" w:cs="Arial"/>
          <w:b w:val="0"/>
          <w:bCs w:val="0"/>
        </w:rPr>
        <w:t>thematic analysis</w:t>
      </w:r>
      <w:r w:rsidRPr="00626105">
        <w:rPr>
          <w:rFonts w:ascii="Arial" w:hAnsi="Arial" w:cs="Arial"/>
          <w:b/>
          <w:bCs/>
        </w:rPr>
        <w:t>,</w:t>
      </w:r>
      <w:r w:rsidRPr="00626105">
        <w:rPr>
          <w:rFonts w:ascii="Arial" w:hAnsi="Arial" w:cs="Arial"/>
        </w:rPr>
        <w:t xml:space="preserve"> which involves systematically reviewing the selected articles to identify, analyse and report recurring patterns or themes within the data (</w:t>
      </w:r>
      <w:r w:rsidR="00C07BEB" w:rsidRPr="00626105">
        <w:rPr>
          <w:rFonts w:ascii="Arial" w:hAnsi="Arial" w:cs="Arial"/>
        </w:rPr>
        <w:t>Ziarul</w:t>
      </w:r>
      <w:r w:rsidRPr="00626105">
        <w:rPr>
          <w:rFonts w:ascii="Arial" w:hAnsi="Arial" w:cs="Arial"/>
        </w:rPr>
        <w:t>, 2025). This process included careful reading of each article, coding key ideas, and grouping similar concepts into broader themes. Thematic analysis was chosen because it allows for a flexible and in-depth interpretation of qualitative data, helping to highlight common findings across different studies.</w:t>
      </w:r>
    </w:p>
    <w:p w14:paraId="5AC171CE" w14:textId="77777777" w:rsidR="00007EE2" w:rsidRPr="003A1B5A" w:rsidRDefault="00007EE2" w:rsidP="00996A15">
      <w:pPr>
        <w:pStyle w:val="NormalWeb"/>
        <w:spacing w:line="360" w:lineRule="auto"/>
        <w:jc w:val="both"/>
        <w:rPr>
          <w:rFonts w:ascii="Arial" w:hAnsi="Arial" w:cs="Arial"/>
        </w:rPr>
      </w:pPr>
      <w:r w:rsidRPr="003A1B5A">
        <w:rPr>
          <w:rFonts w:ascii="Arial" w:hAnsi="Arial" w:cs="Arial"/>
        </w:rPr>
        <w:t>Overall, this methodological approach provided a structured way to synthesise existing research and draw meaningful conclusions about the role of nutrition in autoimmune diseases among adults in the UK.</w:t>
      </w:r>
    </w:p>
    <w:p w14:paraId="04192DDD" w14:textId="77777777" w:rsidR="0020785D" w:rsidRPr="001F1D6B" w:rsidRDefault="0020785D" w:rsidP="008E47F7">
      <w:pPr>
        <w:pStyle w:val="Heading2"/>
      </w:pPr>
      <w:bookmarkStart w:id="39" w:name="_Toc227244861"/>
      <w:bookmarkStart w:id="40" w:name="_Toc227244909"/>
      <w:bookmarkStart w:id="41" w:name="_Toc227310912"/>
      <w:r w:rsidRPr="001F1D6B">
        <w:t>Ethical considerations</w:t>
      </w:r>
      <w:bookmarkEnd w:id="39"/>
      <w:bookmarkEnd w:id="40"/>
      <w:bookmarkEnd w:id="41"/>
    </w:p>
    <w:p w14:paraId="550125D1" w14:textId="77777777" w:rsidR="0020785D" w:rsidRDefault="0020785D" w:rsidP="000A0281">
      <w:pPr>
        <w:spacing w:line="360" w:lineRule="auto"/>
        <w:rPr>
          <w:rFonts w:ascii="Arial" w:hAnsi="Arial" w:cs="Arial"/>
        </w:rPr>
      </w:pPr>
      <w:r>
        <w:rPr>
          <w:rFonts w:ascii="Arial" w:hAnsi="Arial" w:cs="Arial"/>
        </w:rPr>
        <w:t>When conducting research on autoimmune diseases in the UK, ethical oversight is governed by the Health Research Authority (HRA) and Declaration of Helsinki.</w:t>
      </w:r>
    </w:p>
    <w:p w14:paraId="2814950D" w14:textId="77777777" w:rsidR="0020785D" w:rsidRDefault="0020785D" w:rsidP="00DC6719">
      <w:pPr>
        <w:spacing w:line="360" w:lineRule="auto"/>
        <w:jc w:val="both"/>
        <w:rPr>
          <w:rFonts w:ascii="Arial" w:hAnsi="Arial" w:cs="Arial"/>
        </w:rPr>
      </w:pPr>
      <w:r>
        <w:rPr>
          <w:rFonts w:ascii="Arial" w:hAnsi="Arial" w:cs="Arial"/>
        </w:rPr>
        <w:t>Although participants fully understand the situation, researchers must balance the potential benefits of the research against the risk to the patients. It is unethical to give a patient a placebo if it means denying them a proven, life-saving treatment.</w:t>
      </w:r>
    </w:p>
    <w:p w14:paraId="38A6CA32" w14:textId="77777777" w:rsidR="0020785D" w:rsidRDefault="0020785D" w:rsidP="00DC6719">
      <w:pPr>
        <w:spacing w:line="360" w:lineRule="auto"/>
        <w:rPr>
          <w:rFonts w:ascii="Arial" w:hAnsi="Arial" w:cs="Arial"/>
        </w:rPr>
      </w:pPr>
      <w:r>
        <w:rPr>
          <w:rFonts w:ascii="Arial" w:hAnsi="Arial" w:cs="Arial"/>
        </w:rPr>
        <w:lastRenderedPageBreak/>
        <w:t>Under the UK Data Protection Act 2018, medical data is classified as ‘’special category’’ data, requiring the highest level of security. Patients must be informed how their data will be stared and for how long. It includes reporting data accurately and citing all sources.</w:t>
      </w:r>
    </w:p>
    <w:p w14:paraId="168192FF" w14:textId="2A146D3C" w:rsidR="00F3012B" w:rsidRPr="00262715" w:rsidRDefault="00F3012B" w:rsidP="00DC6719">
      <w:pPr>
        <w:spacing w:line="360" w:lineRule="auto"/>
        <w:jc w:val="both"/>
        <w:rPr>
          <w:rFonts w:ascii="Arial" w:hAnsi="Arial" w:cs="Arial"/>
        </w:rPr>
      </w:pPr>
      <w:r w:rsidRPr="00262715">
        <w:rPr>
          <w:rFonts w:ascii="Arial" w:hAnsi="Arial" w:cs="Arial"/>
        </w:rPr>
        <w:t>This study used secondary research, meaning no direct involvement of participants was required. Therefore, issues such as consent and confidentiality were not applicable. However, ethical considerations were maintained by ensuring that all sources were properly referenced, using only peer-reviewed and credible research, and avoiding plagiarism.</w:t>
      </w:r>
      <w:r w:rsidR="00BD29D9" w:rsidRPr="00262715">
        <w:rPr>
          <w:rFonts w:ascii="Arial" w:hAnsi="Arial" w:cs="Arial"/>
        </w:rPr>
        <w:t xml:space="preserve"> Ethical considerations in secondary research involve presenting data truthfully, properly acknowledging all sources, and ensuring that no information is falsified or misrepresented (Iltis and MacKay, 2024).</w:t>
      </w:r>
    </w:p>
    <w:p w14:paraId="6E43BF83" w14:textId="77777777" w:rsidR="00293C0A" w:rsidRDefault="00293C0A" w:rsidP="000A0281">
      <w:pPr>
        <w:tabs>
          <w:tab w:val="left" w:pos="6540"/>
        </w:tabs>
        <w:spacing w:line="360" w:lineRule="auto"/>
        <w:rPr>
          <w:rFonts w:asciiTheme="minorBidi" w:hAnsiTheme="minorBidi"/>
          <w:sz w:val="22"/>
        </w:rPr>
      </w:pPr>
    </w:p>
    <w:p w14:paraId="3816E8C5" w14:textId="7535FBB2" w:rsidR="00293C0A" w:rsidRPr="00C07BEB" w:rsidRDefault="00293C0A" w:rsidP="008E47F7">
      <w:pPr>
        <w:pStyle w:val="Heading1"/>
      </w:pPr>
      <w:bookmarkStart w:id="42" w:name="_Toc227244862"/>
      <w:bookmarkStart w:id="43" w:name="_Toc227244910"/>
      <w:bookmarkStart w:id="44" w:name="_Toc227310913"/>
      <w:r w:rsidRPr="00C07BEB">
        <w:t>4</w:t>
      </w:r>
      <w:r w:rsidRPr="001F1D6B">
        <w:t>. R</w:t>
      </w:r>
      <w:r w:rsidR="001F1D6B">
        <w:t>ESULTS</w:t>
      </w:r>
      <w:bookmarkEnd w:id="42"/>
      <w:bookmarkEnd w:id="43"/>
      <w:bookmarkEnd w:id="44"/>
    </w:p>
    <w:p w14:paraId="481D0731" w14:textId="77777777" w:rsidR="00F24801" w:rsidRPr="00F24801" w:rsidRDefault="00293C0A" w:rsidP="008E47F7">
      <w:pPr>
        <w:pStyle w:val="Heading2"/>
      </w:pPr>
      <w:bookmarkStart w:id="45" w:name="_Toc227244863"/>
      <w:bookmarkStart w:id="46" w:name="_Toc227244911"/>
      <w:bookmarkStart w:id="47" w:name="_Toc227310914"/>
      <w:r w:rsidRPr="00F24801">
        <w:t>Presentation of the main characteristics of the studies</w:t>
      </w:r>
      <w:bookmarkEnd w:id="45"/>
      <w:bookmarkEnd w:id="46"/>
      <w:bookmarkEnd w:id="47"/>
    </w:p>
    <w:p w14:paraId="0DE445B9" w14:textId="77777777" w:rsidR="00EA5911" w:rsidRDefault="00EA5911" w:rsidP="00DF776B">
      <w:pPr>
        <w:pStyle w:val="NormalWeb"/>
        <w:spacing w:line="360" w:lineRule="auto"/>
        <w:jc w:val="both"/>
        <w:rPr>
          <w:rFonts w:ascii="Arial" w:hAnsi="Arial" w:cs="Arial"/>
        </w:rPr>
      </w:pPr>
      <w:r w:rsidRPr="00EA5911">
        <w:rPr>
          <w:rFonts w:ascii="Arial" w:hAnsi="Arial" w:cs="Arial"/>
        </w:rPr>
        <w:t>The main characteristics of the selected studies were presented by outlining key aspects such as their aims, research methods, and study locations. This provided a structured overview of each study and allowed for easier comparison between them (Arksey and O’Malley, 2005).</w:t>
      </w:r>
    </w:p>
    <w:p w14:paraId="1A3462C7" w14:textId="77777777" w:rsidR="00F24801" w:rsidRDefault="00F24801" w:rsidP="008E47F7">
      <w:pPr>
        <w:pStyle w:val="Heading2"/>
      </w:pPr>
      <w:bookmarkStart w:id="48" w:name="_Toc227244864"/>
      <w:bookmarkStart w:id="49" w:name="_Toc227244912"/>
      <w:bookmarkStart w:id="50" w:name="_Toc227310915"/>
      <w:r w:rsidRPr="001F1D6B">
        <w:t>Thematic analysis</w:t>
      </w:r>
      <w:bookmarkEnd w:id="48"/>
      <w:bookmarkEnd w:id="49"/>
      <w:bookmarkEnd w:id="50"/>
      <w:r w:rsidRPr="001F1D6B">
        <w:t xml:space="preserve"> </w:t>
      </w:r>
    </w:p>
    <w:p w14:paraId="7DD8FF8A" w14:textId="4037A1B1" w:rsidR="00F24801" w:rsidRPr="00DF776B" w:rsidRDefault="002C5976" w:rsidP="00DF776B">
      <w:pPr>
        <w:spacing w:line="360" w:lineRule="auto"/>
        <w:jc w:val="both"/>
        <w:rPr>
          <w:rFonts w:ascii="Arial" w:hAnsi="Arial" w:cs="Arial"/>
        </w:rPr>
      </w:pPr>
      <w:r w:rsidRPr="002901EF">
        <w:rPr>
          <w:rFonts w:ascii="Arial" w:hAnsi="Arial" w:cs="Arial"/>
        </w:rPr>
        <w:t xml:space="preserve">A thematic analysis was then conducted to synthesise the data collected from the selected studies included in the scoping review. This involved identifying, analysing and grouping common themes and patterns across the research findings </w:t>
      </w:r>
      <w:proofErr w:type="gramStart"/>
      <w:r w:rsidRPr="002901EF">
        <w:rPr>
          <w:rFonts w:ascii="Arial" w:hAnsi="Arial" w:cs="Arial"/>
        </w:rPr>
        <w:t>in order to</w:t>
      </w:r>
      <w:proofErr w:type="gramEnd"/>
      <w:r w:rsidRPr="002901EF">
        <w:rPr>
          <w:rFonts w:ascii="Arial" w:hAnsi="Arial" w:cs="Arial"/>
        </w:rPr>
        <w:t xml:space="preserve"> develop a clearer understanding of the overall evidence (Ziarul, 2025).</w:t>
      </w:r>
    </w:p>
    <w:p w14:paraId="36A74DC1" w14:textId="3248EE6A" w:rsidR="009D6400" w:rsidRPr="002C5976" w:rsidRDefault="00AE4CD6" w:rsidP="00DF776B">
      <w:pPr>
        <w:tabs>
          <w:tab w:val="left" w:pos="6540"/>
        </w:tabs>
        <w:spacing w:line="360" w:lineRule="auto"/>
        <w:jc w:val="both"/>
        <w:rPr>
          <w:rFonts w:ascii="Arial" w:hAnsi="Arial" w:cs="Arial"/>
        </w:rPr>
      </w:pPr>
      <w:r w:rsidRPr="005F3200">
        <w:rPr>
          <w:rFonts w:ascii="Arial" w:hAnsi="Arial" w:cs="Arial"/>
        </w:rPr>
        <w:t>Presentation of the main characteristics of the studies selected (e.g. aim, methods, location, etc.) Thematic analysis - synthesis of the data collected from the selected studies for the scoping review.</w:t>
      </w:r>
    </w:p>
    <w:tbl>
      <w:tblPr>
        <w:tblStyle w:val="TableGrid"/>
        <w:tblW w:w="0" w:type="auto"/>
        <w:tblInd w:w="0" w:type="dxa"/>
        <w:tblLook w:val="04A0" w:firstRow="1" w:lastRow="0" w:firstColumn="1" w:lastColumn="0" w:noHBand="0" w:noVBand="1"/>
      </w:tblPr>
      <w:tblGrid>
        <w:gridCol w:w="2231"/>
        <w:gridCol w:w="2231"/>
        <w:gridCol w:w="2231"/>
        <w:gridCol w:w="2231"/>
      </w:tblGrid>
      <w:tr w:rsidR="00621B77" w14:paraId="7C5FFBA3" w14:textId="77777777" w:rsidTr="00CD0134">
        <w:trPr>
          <w:trHeight w:val="936"/>
        </w:trPr>
        <w:tc>
          <w:tcPr>
            <w:tcW w:w="2231" w:type="dxa"/>
            <w:tcBorders>
              <w:top w:val="single" w:sz="4" w:space="0" w:color="auto"/>
              <w:left w:val="single" w:sz="4" w:space="0" w:color="auto"/>
              <w:bottom w:val="single" w:sz="4" w:space="0" w:color="auto"/>
              <w:right w:val="single" w:sz="4" w:space="0" w:color="auto"/>
            </w:tcBorders>
            <w:hideMark/>
          </w:tcPr>
          <w:p w14:paraId="15C49B4F" w14:textId="77777777" w:rsidR="00621B77" w:rsidRDefault="00621B77" w:rsidP="000A0281">
            <w:pPr>
              <w:tabs>
                <w:tab w:val="left" w:pos="6540"/>
              </w:tabs>
              <w:spacing w:line="360" w:lineRule="auto"/>
              <w:rPr>
                <w:rFonts w:asciiTheme="minorBidi" w:hAnsiTheme="minorBidi"/>
                <w:sz w:val="28"/>
                <w:szCs w:val="28"/>
              </w:rPr>
            </w:pPr>
            <w:r>
              <w:rPr>
                <w:rFonts w:asciiTheme="minorBidi" w:hAnsiTheme="minorBidi"/>
                <w:sz w:val="28"/>
                <w:szCs w:val="28"/>
              </w:rPr>
              <w:t xml:space="preserve">Author/s and publication year </w:t>
            </w:r>
          </w:p>
        </w:tc>
        <w:tc>
          <w:tcPr>
            <w:tcW w:w="2231" w:type="dxa"/>
            <w:tcBorders>
              <w:top w:val="single" w:sz="4" w:space="0" w:color="auto"/>
              <w:left w:val="single" w:sz="4" w:space="0" w:color="auto"/>
              <w:bottom w:val="single" w:sz="4" w:space="0" w:color="auto"/>
              <w:right w:val="single" w:sz="4" w:space="0" w:color="auto"/>
            </w:tcBorders>
            <w:hideMark/>
          </w:tcPr>
          <w:p w14:paraId="3286F486" w14:textId="77777777" w:rsidR="00621B77" w:rsidRDefault="00621B77" w:rsidP="000A0281">
            <w:pPr>
              <w:tabs>
                <w:tab w:val="left" w:pos="6540"/>
              </w:tabs>
              <w:spacing w:line="360" w:lineRule="auto"/>
              <w:rPr>
                <w:rFonts w:asciiTheme="minorBidi" w:hAnsiTheme="minorBidi"/>
                <w:sz w:val="28"/>
                <w:szCs w:val="28"/>
              </w:rPr>
            </w:pPr>
            <w:r>
              <w:rPr>
                <w:rFonts w:asciiTheme="minorBidi" w:hAnsiTheme="minorBidi"/>
                <w:sz w:val="28"/>
                <w:szCs w:val="28"/>
              </w:rPr>
              <w:t xml:space="preserve">Aim </w:t>
            </w:r>
          </w:p>
        </w:tc>
        <w:tc>
          <w:tcPr>
            <w:tcW w:w="2231" w:type="dxa"/>
            <w:tcBorders>
              <w:top w:val="single" w:sz="4" w:space="0" w:color="auto"/>
              <w:left w:val="single" w:sz="4" w:space="0" w:color="auto"/>
              <w:bottom w:val="single" w:sz="4" w:space="0" w:color="auto"/>
              <w:right w:val="single" w:sz="4" w:space="0" w:color="auto"/>
            </w:tcBorders>
            <w:hideMark/>
          </w:tcPr>
          <w:p w14:paraId="7E5F95D0" w14:textId="77777777" w:rsidR="00621B77" w:rsidRDefault="00621B77" w:rsidP="000A0281">
            <w:pPr>
              <w:tabs>
                <w:tab w:val="left" w:pos="6540"/>
              </w:tabs>
              <w:spacing w:line="360" w:lineRule="auto"/>
              <w:rPr>
                <w:rFonts w:asciiTheme="minorBidi" w:hAnsiTheme="minorBidi"/>
                <w:sz w:val="28"/>
                <w:szCs w:val="28"/>
              </w:rPr>
            </w:pPr>
            <w:r>
              <w:rPr>
                <w:rFonts w:asciiTheme="minorBidi" w:hAnsiTheme="minorBidi"/>
                <w:sz w:val="28"/>
                <w:szCs w:val="28"/>
              </w:rPr>
              <w:t>Methods</w:t>
            </w:r>
          </w:p>
        </w:tc>
        <w:tc>
          <w:tcPr>
            <w:tcW w:w="2231" w:type="dxa"/>
            <w:tcBorders>
              <w:top w:val="single" w:sz="4" w:space="0" w:color="auto"/>
              <w:left w:val="single" w:sz="4" w:space="0" w:color="auto"/>
              <w:bottom w:val="single" w:sz="4" w:space="0" w:color="auto"/>
              <w:right w:val="single" w:sz="4" w:space="0" w:color="auto"/>
            </w:tcBorders>
            <w:hideMark/>
          </w:tcPr>
          <w:p w14:paraId="3403444D" w14:textId="77777777" w:rsidR="00621B77" w:rsidRDefault="00621B77" w:rsidP="000A0281">
            <w:pPr>
              <w:tabs>
                <w:tab w:val="left" w:pos="6540"/>
              </w:tabs>
              <w:spacing w:line="360" w:lineRule="auto"/>
              <w:rPr>
                <w:rFonts w:asciiTheme="minorBidi" w:hAnsiTheme="minorBidi"/>
                <w:sz w:val="28"/>
                <w:szCs w:val="28"/>
              </w:rPr>
            </w:pPr>
            <w:r>
              <w:rPr>
                <w:rFonts w:asciiTheme="minorBidi" w:hAnsiTheme="minorBidi"/>
                <w:sz w:val="28"/>
                <w:szCs w:val="28"/>
              </w:rPr>
              <w:t>Key findings</w:t>
            </w:r>
          </w:p>
        </w:tc>
      </w:tr>
      <w:tr w:rsidR="00621B77" w14:paraId="4A65D038" w14:textId="77777777" w:rsidTr="00CD0134">
        <w:trPr>
          <w:trHeight w:val="3628"/>
        </w:trPr>
        <w:tc>
          <w:tcPr>
            <w:tcW w:w="2231" w:type="dxa"/>
            <w:tcBorders>
              <w:top w:val="single" w:sz="4" w:space="0" w:color="auto"/>
              <w:left w:val="single" w:sz="4" w:space="0" w:color="auto"/>
              <w:bottom w:val="single" w:sz="4" w:space="0" w:color="auto"/>
              <w:right w:val="single" w:sz="4" w:space="0" w:color="auto"/>
            </w:tcBorders>
            <w:hideMark/>
          </w:tcPr>
          <w:p w14:paraId="094588DD" w14:textId="067D1A4C" w:rsidR="00621B77" w:rsidRPr="00076EE9" w:rsidRDefault="00007A92" w:rsidP="000A0281">
            <w:pPr>
              <w:tabs>
                <w:tab w:val="left" w:pos="6540"/>
              </w:tabs>
              <w:spacing w:line="360" w:lineRule="auto"/>
              <w:rPr>
                <w:rFonts w:ascii="Arial" w:hAnsi="Arial" w:cs="Arial"/>
                <w:sz w:val="28"/>
                <w:szCs w:val="28"/>
              </w:rPr>
            </w:pPr>
            <w:r>
              <w:rPr>
                <w:rFonts w:ascii="Arial" w:hAnsi="Arial" w:cs="Arial"/>
              </w:rPr>
              <w:lastRenderedPageBreak/>
              <w:t>1.</w:t>
            </w:r>
            <w:r>
              <w:t xml:space="preserve"> </w:t>
            </w:r>
            <w:r w:rsidRPr="00007A92">
              <w:rPr>
                <w:rFonts w:ascii="Arial" w:hAnsi="Arial" w:cs="Arial"/>
              </w:rPr>
              <w:t>Rayman</w:t>
            </w:r>
            <w:r w:rsidR="0065001D" w:rsidRPr="00076EE9">
              <w:rPr>
                <w:rFonts w:ascii="Arial" w:hAnsi="Arial" w:cs="Arial"/>
              </w:rPr>
              <w:t>, M.P. (2019)</w:t>
            </w:r>
          </w:p>
        </w:tc>
        <w:tc>
          <w:tcPr>
            <w:tcW w:w="2231" w:type="dxa"/>
            <w:tcBorders>
              <w:top w:val="single" w:sz="4" w:space="0" w:color="auto"/>
              <w:left w:val="single" w:sz="4" w:space="0" w:color="auto"/>
              <w:bottom w:val="single" w:sz="4" w:space="0" w:color="auto"/>
              <w:right w:val="single" w:sz="4" w:space="0" w:color="auto"/>
            </w:tcBorders>
            <w:hideMark/>
          </w:tcPr>
          <w:p w14:paraId="4BA04872" w14:textId="4D1C4E75" w:rsidR="00621B77" w:rsidRPr="00BD7427" w:rsidRDefault="00CF4FBF" w:rsidP="000A0281">
            <w:pPr>
              <w:tabs>
                <w:tab w:val="left" w:pos="6540"/>
              </w:tabs>
              <w:spacing w:line="360" w:lineRule="auto"/>
              <w:rPr>
                <w:rFonts w:ascii="Arial" w:hAnsi="Arial" w:cs="Arial"/>
                <w:sz w:val="28"/>
                <w:szCs w:val="28"/>
              </w:rPr>
            </w:pPr>
            <w:r w:rsidRPr="00BD7427">
              <w:rPr>
                <w:rFonts w:ascii="Arial" w:hAnsi="Arial" w:cs="Arial"/>
              </w:rPr>
              <w:t>A big part of the paper explains how nutrition influences the immune system</w:t>
            </w:r>
            <w:r w:rsidR="001C05B6" w:rsidRPr="00BD7427">
              <w:rPr>
                <w:rFonts w:ascii="Arial" w:hAnsi="Arial" w:cs="Arial"/>
              </w:rPr>
              <w:t>.</w:t>
            </w:r>
          </w:p>
        </w:tc>
        <w:tc>
          <w:tcPr>
            <w:tcW w:w="2231" w:type="dxa"/>
            <w:tcBorders>
              <w:top w:val="single" w:sz="4" w:space="0" w:color="auto"/>
              <w:left w:val="single" w:sz="4" w:space="0" w:color="auto"/>
              <w:bottom w:val="single" w:sz="4" w:space="0" w:color="auto"/>
              <w:right w:val="single" w:sz="4" w:space="0" w:color="auto"/>
            </w:tcBorders>
            <w:hideMark/>
          </w:tcPr>
          <w:p w14:paraId="56ACF08C" w14:textId="393DAFC1" w:rsidR="00621B77" w:rsidRPr="00BD7427" w:rsidRDefault="00D415DD" w:rsidP="000A0281">
            <w:pPr>
              <w:tabs>
                <w:tab w:val="left" w:pos="6540"/>
              </w:tabs>
              <w:spacing w:line="360" w:lineRule="auto"/>
              <w:rPr>
                <w:rFonts w:ascii="Arial" w:hAnsi="Arial" w:cs="Arial"/>
                <w:sz w:val="28"/>
                <w:szCs w:val="28"/>
              </w:rPr>
            </w:pPr>
            <w:r w:rsidRPr="00BD7427">
              <w:rPr>
                <w:rFonts w:ascii="Arial" w:hAnsi="Arial" w:cs="Arial"/>
              </w:rPr>
              <w:t>This article is a narrative review meaning it summarises and evaluates existing research rather than presenting new experimental data.</w:t>
            </w:r>
          </w:p>
        </w:tc>
        <w:tc>
          <w:tcPr>
            <w:tcW w:w="2231" w:type="dxa"/>
            <w:tcBorders>
              <w:top w:val="single" w:sz="4" w:space="0" w:color="auto"/>
              <w:left w:val="single" w:sz="4" w:space="0" w:color="auto"/>
              <w:bottom w:val="single" w:sz="4" w:space="0" w:color="auto"/>
              <w:right w:val="single" w:sz="4" w:space="0" w:color="auto"/>
            </w:tcBorders>
            <w:hideMark/>
          </w:tcPr>
          <w:p w14:paraId="43951C27" w14:textId="106BE608" w:rsidR="00621B77" w:rsidRPr="00BD7427" w:rsidRDefault="00F244F4" w:rsidP="000A0281">
            <w:pPr>
              <w:tabs>
                <w:tab w:val="left" w:pos="6540"/>
              </w:tabs>
              <w:spacing w:line="360" w:lineRule="auto"/>
              <w:rPr>
                <w:rFonts w:ascii="Arial" w:hAnsi="Arial" w:cs="Arial"/>
                <w:sz w:val="28"/>
                <w:szCs w:val="28"/>
              </w:rPr>
            </w:pPr>
            <w:r w:rsidRPr="00BD7427">
              <w:rPr>
                <w:rFonts w:ascii="Arial" w:hAnsi="Arial" w:cs="Arial"/>
              </w:rPr>
              <w:t xml:space="preserve">The article argues that </w:t>
            </w:r>
            <w:r w:rsidRPr="00BD7427">
              <w:rPr>
                <w:rStyle w:val="Strong"/>
                <w:rFonts w:ascii="Arial" w:hAnsi="Arial" w:cs="Arial"/>
                <w:b w:val="0"/>
                <w:bCs w:val="0"/>
              </w:rPr>
              <w:t>thyroid health isn’t controlled by just one nutrient (like iodine)</w:t>
            </w:r>
            <w:r w:rsidRPr="00BD7427">
              <w:rPr>
                <w:rFonts w:ascii="Arial" w:hAnsi="Arial" w:cs="Arial"/>
                <w:b/>
                <w:bCs/>
              </w:rPr>
              <w:t>—</w:t>
            </w:r>
            <w:r w:rsidRPr="00BD7427">
              <w:rPr>
                <w:rFonts w:ascii="Arial" w:hAnsi="Arial" w:cs="Arial"/>
              </w:rPr>
              <w:t xml:space="preserve">instead, it depends on a </w:t>
            </w:r>
            <w:r w:rsidRPr="00BD7427">
              <w:rPr>
                <w:rStyle w:val="Strong"/>
                <w:rFonts w:ascii="Arial" w:hAnsi="Arial" w:cs="Arial"/>
                <w:b w:val="0"/>
                <w:bCs w:val="0"/>
              </w:rPr>
              <w:t>combination of nutrients working together</w:t>
            </w:r>
            <w:r w:rsidRPr="00BD7427">
              <w:rPr>
                <w:rFonts w:ascii="Arial" w:hAnsi="Arial" w:cs="Arial"/>
                <w:b/>
                <w:bCs/>
              </w:rPr>
              <w:t>.</w:t>
            </w:r>
          </w:p>
        </w:tc>
      </w:tr>
      <w:tr w:rsidR="00621B77" w14:paraId="1559E8E2" w14:textId="77777777" w:rsidTr="00CD0134">
        <w:trPr>
          <w:trHeight w:val="5237"/>
        </w:trPr>
        <w:tc>
          <w:tcPr>
            <w:tcW w:w="2231" w:type="dxa"/>
            <w:tcBorders>
              <w:top w:val="single" w:sz="4" w:space="0" w:color="auto"/>
              <w:left w:val="single" w:sz="4" w:space="0" w:color="auto"/>
              <w:bottom w:val="single" w:sz="4" w:space="0" w:color="auto"/>
              <w:right w:val="single" w:sz="4" w:space="0" w:color="auto"/>
            </w:tcBorders>
            <w:hideMark/>
          </w:tcPr>
          <w:p w14:paraId="3EF1DC32" w14:textId="3C15EB02" w:rsidR="00621B77" w:rsidRDefault="00621B77" w:rsidP="000A0281">
            <w:pPr>
              <w:tabs>
                <w:tab w:val="left" w:pos="6540"/>
              </w:tabs>
              <w:spacing w:line="360" w:lineRule="auto"/>
              <w:rPr>
                <w:rFonts w:asciiTheme="minorBidi" w:hAnsiTheme="minorBidi"/>
                <w:sz w:val="28"/>
                <w:szCs w:val="28"/>
              </w:rPr>
            </w:pPr>
            <w:r>
              <w:rPr>
                <w:rFonts w:asciiTheme="minorBidi" w:hAnsiTheme="minorBidi"/>
                <w:sz w:val="28"/>
                <w:szCs w:val="28"/>
              </w:rPr>
              <w:t>2.</w:t>
            </w:r>
            <w:r w:rsidR="00BB0C5C">
              <w:t xml:space="preserve"> </w:t>
            </w:r>
            <w:r w:rsidR="00BB0C5C" w:rsidRPr="00BD7427">
              <w:rPr>
                <w:rFonts w:ascii="Arial" w:hAnsi="Arial" w:cs="Arial"/>
              </w:rPr>
              <w:t>Mazzucca et al. (2022)</w:t>
            </w:r>
          </w:p>
        </w:tc>
        <w:tc>
          <w:tcPr>
            <w:tcW w:w="2231" w:type="dxa"/>
            <w:tcBorders>
              <w:top w:val="single" w:sz="4" w:space="0" w:color="auto"/>
              <w:left w:val="single" w:sz="4" w:space="0" w:color="auto"/>
              <w:bottom w:val="single" w:sz="4" w:space="0" w:color="auto"/>
              <w:right w:val="single" w:sz="4" w:space="0" w:color="auto"/>
            </w:tcBorders>
            <w:hideMark/>
          </w:tcPr>
          <w:p w14:paraId="14687C55" w14:textId="23DE9A91" w:rsidR="00621B77" w:rsidRPr="00BD7427" w:rsidRDefault="00AA715D" w:rsidP="000A0281">
            <w:pPr>
              <w:tabs>
                <w:tab w:val="left" w:pos="6540"/>
              </w:tabs>
              <w:spacing w:line="360" w:lineRule="auto"/>
              <w:rPr>
                <w:rFonts w:ascii="Arial" w:hAnsi="Arial" w:cs="Arial"/>
              </w:rPr>
            </w:pPr>
            <w:r w:rsidRPr="00BD7427">
              <w:rPr>
                <w:rFonts w:ascii="Arial" w:hAnsi="Arial" w:cs="Arial"/>
              </w:rPr>
              <w:t xml:space="preserve">Participants were followed over time to see who developed </w:t>
            </w:r>
            <w:r w:rsidRPr="00BD7427">
              <w:rPr>
                <w:rStyle w:val="Strong"/>
                <w:rFonts w:ascii="Arial" w:hAnsi="Arial" w:cs="Arial"/>
                <w:b w:val="0"/>
                <w:bCs w:val="0"/>
              </w:rPr>
              <w:t>rheumatoid arthritis (an autoimmune disease)</w:t>
            </w:r>
            <w:r w:rsidRPr="00BD7427">
              <w:rPr>
                <w:rFonts w:ascii="Arial" w:hAnsi="Arial" w:cs="Arial"/>
                <w:b/>
                <w:bCs/>
              </w:rPr>
              <w:t>.</w:t>
            </w:r>
          </w:p>
        </w:tc>
        <w:tc>
          <w:tcPr>
            <w:tcW w:w="2231" w:type="dxa"/>
            <w:tcBorders>
              <w:top w:val="single" w:sz="4" w:space="0" w:color="auto"/>
              <w:left w:val="single" w:sz="4" w:space="0" w:color="auto"/>
              <w:bottom w:val="single" w:sz="4" w:space="0" w:color="auto"/>
              <w:right w:val="single" w:sz="4" w:space="0" w:color="auto"/>
            </w:tcBorders>
            <w:hideMark/>
          </w:tcPr>
          <w:p w14:paraId="250607A8" w14:textId="4F67ADDC" w:rsidR="0081391B" w:rsidRPr="0081391B" w:rsidRDefault="00A25820" w:rsidP="000A0281">
            <w:pPr>
              <w:tabs>
                <w:tab w:val="left" w:pos="6540"/>
              </w:tabs>
              <w:spacing w:line="360" w:lineRule="auto"/>
              <w:rPr>
                <w:rFonts w:ascii="Arial" w:hAnsi="Arial" w:cs="Arial"/>
                <w:szCs w:val="24"/>
              </w:rPr>
            </w:pPr>
            <w:r w:rsidRPr="00CD0134">
              <w:rPr>
                <w:rFonts w:ascii="Arial" w:hAnsi="Arial" w:cs="Arial"/>
                <w:szCs w:val="24"/>
              </w:rPr>
              <w:t>Primary research</w:t>
            </w:r>
            <w:r w:rsidR="00DC2A6A" w:rsidRPr="00CD0134">
              <w:rPr>
                <w:rFonts w:ascii="Arial" w:hAnsi="Arial" w:cs="Arial"/>
                <w:szCs w:val="24"/>
              </w:rPr>
              <w:t>.</w:t>
            </w:r>
            <w:r w:rsidR="00161F9D" w:rsidRPr="00CD0134">
              <w:rPr>
                <w:rFonts w:ascii="Arial" w:hAnsi="Arial" w:cs="Arial"/>
                <w:szCs w:val="24"/>
              </w:rPr>
              <w:t xml:space="preserve"> </w:t>
            </w:r>
            <w:r w:rsidR="00DC2A6A" w:rsidRPr="00CD0134">
              <w:rPr>
                <w:rFonts w:ascii="Arial" w:hAnsi="Arial" w:cs="Arial"/>
                <w:szCs w:val="24"/>
              </w:rPr>
              <w:t xml:space="preserve">The researchers used data from the </w:t>
            </w:r>
            <w:r w:rsidR="00DC2A6A" w:rsidRPr="00CD0134">
              <w:rPr>
                <w:rStyle w:val="Strong"/>
                <w:rFonts w:ascii="Arial" w:hAnsi="Arial" w:cs="Arial"/>
                <w:b w:val="0"/>
                <w:bCs w:val="0"/>
                <w:szCs w:val="24"/>
              </w:rPr>
              <w:t>UK Biobank</w:t>
            </w:r>
            <w:r w:rsidR="00DC2A6A" w:rsidRPr="00CD0134">
              <w:rPr>
                <w:rFonts w:ascii="Arial" w:hAnsi="Arial" w:cs="Arial"/>
                <w:szCs w:val="24"/>
              </w:rPr>
              <w:t xml:space="preserve">, which includes </w:t>
            </w:r>
            <w:r w:rsidR="00DC2A6A" w:rsidRPr="00CD0134">
              <w:rPr>
                <w:rStyle w:val="Strong"/>
                <w:rFonts w:ascii="Arial" w:hAnsi="Arial" w:cs="Arial"/>
                <w:b w:val="0"/>
                <w:bCs w:val="0"/>
                <w:szCs w:val="24"/>
              </w:rPr>
              <w:t>thousands of UK adults</w:t>
            </w:r>
            <w:r w:rsidR="00DC2A6A" w:rsidRPr="00CD0134">
              <w:rPr>
                <w:rFonts w:ascii="Arial" w:hAnsi="Arial" w:cs="Arial"/>
                <w:b/>
                <w:bCs/>
                <w:szCs w:val="24"/>
              </w:rPr>
              <w:t>.</w:t>
            </w:r>
            <w:r w:rsidR="0081391B" w:rsidRPr="00CD0134">
              <w:rPr>
                <w:rFonts w:ascii="Arial" w:eastAsia="Times New Roman" w:hAnsi="Arial" w:cs="Arial"/>
                <w:szCs w:val="24"/>
                <w:lang w:eastAsia="en-GB"/>
              </w:rPr>
              <w:t xml:space="preserve"> Participants reported their dietary intake using</w:t>
            </w:r>
            <w:r w:rsidR="006800D6" w:rsidRPr="00CD0134">
              <w:rPr>
                <w:rFonts w:ascii="Arial" w:hAnsi="Arial" w:cs="Arial"/>
                <w:szCs w:val="24"/>
              </w:rPr>
              <w:t xml:space="preserve"> f</w:t>
            </w:r>
            <w:r w:rsidR="0081391B" w:rsidRPr="0081391B">
              <w:rPr>
                <w:rFonts w:ascii="Arial" w:eastAsia="Times New Roman" w:hAnsi="Arial" w:cs="Arial"/>
                <w:szCs w:val="24"/>
                <w:lang w:eastAsia="en-GB"/>
              </w:rPr>
              <w:t>ood questionnaires</w:t>
            </w:r>
            <w:r w:rsidR="006800D6" w:rsidRPr="00CD0134">
              <w:rPr>
                <w:rFonts w:ascii="Arial" w:hAnsi="Arial" w:cs="Arial"/>
                <w:szCs w:val="24"/>
              </w:rPr>
              <w:t xml:space="preserve"> and d</w:t>
            </w:r>
            <w:r w:rsidR="0081391B" w:rsidRPr="0081391B">
              <w:rPr>
                <w:rFonts w:ascii="Arial" w:eastAsia="Times New Roman" w:hAnsi="Arial" w:cs="Arial"/>
                <w:szCs w:val="24"/>
                <w:lang w:eastAsia="en-GB"/>
              </w:rPr>
              <w:t>ietary assessments</w:t>
            </w:r>
            <w:r w:rsidR="006800D6" w:rsidRPr="00CD0134">
              <w:rPr>
                <w:rFonts w:ascii="Arial" w:hAnsi="Arial" w:cs="Arial"/>
                <w:szCs w:val="24"/>
              </w:rPr>
              <w:t>.</w:t>
            </w:r>
          </w:p>
          <w:p w14:paraId="6A8FDE12" w14:textId="736082F5" w:rsidR="00DC2A6A" w:rsidRDefault="00DC2A6A" w:rsidP="000A0281">
            <w:pPr>
              <w:tabs>
                <w:tab w:val="left" w:pos="6540"/>
              </w:tabs>
              <w:spacing w:line="360" w:lineRule="auto"/>
              <w:rPr>
                <w:rFonts w:asciiTheme="minorBidi" w:hAnsiTheme="minorBidi"/>
                <w:sz w:val="28"/>
                <w:szCs w:val="28"/>
              </w:rPr>
            </w:pPr>
          </w:p>
        </w:tc>
        <w:tc>
          <w:tcPr>
            <w:tcW w:w="2231" w:type="dxa"/>
            <w:tcBorders>
              <w:top w:val="single" w:sz="4" w:space="0" w:color="auto"/>
              <w:left w:val="single" w:sz="4" w:space="0" w:color="auto"/>
              <w:bottom w:val="single" w:sz="4" w:space="0" w:color="auto"/>
              <w:right w:val="single" w:sz="4" w:space="0" w:color="auto"/>
            </w:tcBorders>
            <w:hideMark/>
          </w:tcPr>
          <w:p w14:paraId="4389B7B8" w14:textId="05A35998" w:rsidR="00621B77" w:rsidRPr="00CD0134" w:rsidRDefault="00F92577" w:rsidP="000A0281">
            <w:pPr>
              <w:tabs>
                <w:tab w:val="left" w:pos="6540"/>
              </w:tabs>
              <w:spacing w:line="360" w:lineRule="auto"/>
              <w:rPr>
                <w:rFonts w:ascii="Arial" w:hAnsi="Arial" w:cs="Arial"/>
                <w:sz w:val="28"/>
                <w:szCs w:val="28"/>
              </w:rPr>
            </w:pPr>
            <w:r>
              <w:t xml:space="preserve"> </w:t>
            </w:r>
            <w:r w:rsidRPr="00CD0134">
              <w:rPr>
                <w:rFonts w:ascii="Arial" w:hAnsi="Arial" w:cs="Arial"/>
              </w:rPr>
              <w:t>The study using UK Biobank data to investigate the relationship between nutrition and autoimmune disease</w:t>
            </w:r>
            <w:r w:rsidR="00CD0134">
              <w:rPr>
                <w:rFonts w:ascii="Arial" w:hAnsi="Arial" w:cs="Arial"/>
              </w:rPr>
              <w:t xml:space="preserve"> </w:t>
            </w:r>
            <w:r w:rsidR="00161F9D" w:rsidRPr="00CD0134">
              <w:rPr>
                <w:rFonts w:ascii="Arial" w:hAnsi="Arial" w:cs="Arial"/>
              </w:rPr>
              <w:t>(RA).</w:t>
            </w:r>
          </w:p>
        </w:tc>
      </w:tr>
      <w:tr w:rsidR="00621B77" w14:paraId="16122486" w14:textId="77777777" w:rsidTr="00CD0134">
        <w:trPr>
          <w:trHeight w:val="5252"/>
        </w:trPr>
        <w:tc>
          <w:tcPr>
            <w:tcW w:w="2231" w:type="dxa"/>
            <w:tcBorders>
              <w:top w:val="single" w:sz="4" w:space="0" w:color="auto"/>
              <w:left w:val="single" w:sz="4" w:space="0" w:color="auto"/>
              <w:bottom w:val="single" w:sz="4" w:space="0" w:color="auto"/>
              <w:right w:val="single" w:sz="4" w:space="0" w:color="auto"/>
            </w:tcBorders>
            <w:hideMark/>
          </w:tcPr>
          <w:p w14:paraId="3547F42E" w14:textId="38F3254C" w:rsidR="00621B77" w:rsidRDefault="00621B77" w:rsidP="000A0281">
            <w:pPr>
              <w:tabs>
                <w:tab w:val="left" w:pos="6540"/>
              </w:tabs>
              <w:spacing w:line="360" w:lineRule="auto"/>
              <w:rPr>
                <w:rFonts w:asciiTheme="minorBidi" w:hAnsiTheme="minorBidi"/>
                <w:sz w:val="28"/>
                <w:szCs w:val="28"/>
              </w:rPr>
            </w:pPr>
            <w:r>
              <w:rPr>
                <w:rFonts w:asciiTheme="minorBidi" w:hAnsiTheme="minorBidi"/>
                <w:sz w:val="28"/>
                <w:szCs w:val="28"/>
              </w:rPr>
              <w:lastRenderedPageBreak/>
              <w:t>3</w:t>
            </w:r>
            <w:r w:rsidRPr="00CD0134">
              <w:rPr>
                <w:rFonts w:ascii="Arial" w:hAnsi="Arial" w:cs="Arial"/>
                <w:szCs w:val="24"/>
              </w:rPr>
              <w:t xml:space="preserve">. </w:t>
            </w:r>
            <w:r w:rsidR="00502201" w:rsidRPr="00CD0134">
              <w:rPr>
                <w:rFonts w:ascii="Arial" w:hAnsi="Arial" w:cs="Arial"/>
                <w:szCs w:val="24"/>
              </w:rPr>
              <w:t xml:space="preserve">Xu, </w:t>
            </w:r>
            <w:r w:rsidR="00E76E97" w:rsidRPr="00CD0134">
              <w:rPr>
                <w:rFonts w:ascii="Arial" w:hAnsi="Arial" w:cs="Arial"/>
                <w:szCs w:val="24"/>
              </w:rPr>
              <w:t>X</w:t>
            </w:r>
            <w:r w:rsidR="00502201" w:rsidRPr="00CD0134">
              <w:rPr>
                <w:rFonts w:ascii="Arial" w:hAnsi="Arial" w:cs="Arial"/>
                <w:szCs w:val="24"/>
              </w:rPr>
              <w:t>.</w:t>
            </w:r>
            <w:r w:rsidR="00B65512" w:rsidRPr="00CD0134">
              <w:rPr>
                <w:rFonts w:ascii="Arial" w:hAnsi="Arial" w:cs="Arial"/>
                <w:szCs w:val="24"/>
              </w:rPr>
              <w:t xml:space="preserve"> at al</w:t>
            </w:r>
            <w:r w:rsidR="00502201" w:rsidRPr="00CD0134">
              <w:rPr>
                <w:rFonts w:ascii="Arial" w:hAnsi="Arial" w:cs="Arial"/>
                <w:szCs w:val="24"/>
              </w:rPr>
              <w:t xml:space="preserve"> (202</w:t>
            </w:r>
            <w:r w:rsidR="00E76E97" w:rsidRPr="00CD0134">
              <w:rPr>
                <w:rFonts w:ascii="Arial" w:hAnsi="Arial" w:cs="Arial"/>
                <w:szCs w:val="24"/>
              </w:rPr>
              <w:t>4</w:t>
            </w:r>
            <w:r w:rsidR="00502201" w:rsidRPr="00CD0134">
              <w:rPr>
                <w:rFonts w:ascii="Arial" w:hAnsi="Arial" w:cs="Arial"/>
                <w:szCs w:val="24"/>
              </w:rPr>
              <w:t>)</w:t>
            </w:r>
          </w:p>
        </w:tc>
        <w:tc>
          <w:tcPr>
            <w:tcW w:w="2231" w:type="dxa"/>
            <w:tcBorders>
              <w:top w:val="single" w:sz="4" w:space="0" w:color="auto"/>
              <w:left w:val="single" w:sz="4" w:space="0" w:color="auto"/>
              <w:bottom w:val="single" w:sz="4" w:space="0" w:color="auto"/>
              <w:right w:val="single" w:sz="4" w:space="0" w:color="auto"/>
            </w:tcBorders>
          </w:tcPr>
          <w:p w14:paraId="246F4687" w14:textId="20B57BC7" w:rsidR="00621B77" w:rsidRPr="00CD0134" w:rsidRDefault="00957890" w:rsidP="000A0281">
            <w:pPr>
              <w:tabs>
                <w:tab w:val="left" w:pos="6540"/>
              </w:tabs>
              <w:spacing w:line="360" w:lineRule="auto"/>
              <w:rPr>
                <w:rFonts w:ascii="Arial" w:hAnsi="Arial" w:cs="Arial"/>
                <w:sz w:val="28"/>
                <w:szCs w:val="28"/>
              </w:rPr>
            </w:pPr>
            <w:r w:rsidRPr="00CD0134">
              <w:rPr>
                <w:rFonts w:ascii="Arial" w:hAnsi="Arial" w:cs="Arial"/>
              </w:rPr>
              <w:t xml:space="preserve">Explained </w:t>
            </w:r>
            <w:r w:rsidRPr="00CD0134">
              <w:rPr>
                <w:rStyle w:val="Strong"/>
                <w:rFonts w:ascii="Arial" w:hAnsi="Arial" w:cs="Arial"/>
                <w:b w:val="0"/>
                <w:bCs w:val="0"/>
              </w:rPr>
              <w:t>how nutrition affects inflammation and immunity</w:t>
            </w:r>
            <w:r w:rsidRPr="00CD0134">
              <w:rPr>
                <w:rStyle w:val="Strong"/>
                <w:rFonts w:ascii="Arial" w:hAnsi="Arial" w:cs="Arial"/>
              </w:rPr>
              <w:t>.</w:t>
            </w:r>
            <w:r w:rsidR="008F5121" w:rsidRPr="00CD0134">
              <w:rPr>
                <w:rFonts w:ascii="Arial" w:hAnsi="Arial" w:cs="Arial"/>
              </w:rPr>
              <w:t xml:space="preserve"> Drew conclusions about the </w:t>
            </w:r>
            <w:r w:rsidR="008F5121" w:rsidRPr="00CD0134">
              <w:rPr>
                <w:rStyle w:val="Strong"/>
                <w:rFonts w:ascii="Arial" w:hAnsi="Arial" w:cs="Arial"/>
                <w:b w:val="0"/>
                <w:bCs w:val="0"/>
              </w:rPr>
              <w:t>potential benefits of anti-inflammatory diets</w:t>
            </w:r>
          </w:p>
        </w:tc>
        <w:tc>
          <w:tcPr>
            <w:tcW w:w="2231" w:type="dxa"/>
            <w:tcBorders>
              <w:top w:val="single" w:sz="4" w:space="0" w:color="auto"/>
              <w:left w:val="single" w:sz="4" w:space="0" w:color="auto"/>
              <w:bottom w:val="single" w:sz="4" w:space="0" w:color="auto"/>
              <w:right w:val="single" w:sz="4" w:space="0" w:color="auto"/>
            </w:tcBorders>
          </w:tcPr>
          <w:p w14:paraId="1BB7E5E6" w14:textId="0C1E38C6" w:rsidR="00523B1F" w:rsidRPr="00523B1F" w:rsidRDefault="00523B1F" w:rsidP="000A0281">
            <w:pPr>
              <w:spacing w:before="100" w:beforeAutospacing="1" w:after="100" w:afterAutospacing="1" w:line="360" w:lineRule="auto"/>
              <w:outlineLvl w:val="2"/>
              <w:rPr>
                <w:rFonts w:ascii="Arial" w:eastAsia="Times New Roman" w:hAnsi="Arial" w:cs="Arial"/>
                <w:b/>
                <w:bCs/>
                <w:sz w:val="27"/>
                <w:szCs w:val="27"/>
                <w:lang w:eastAsia="en-GB"/>
              </w:rPr>
            </w:pPr>
            <w:bookmarkStart w:id="51" w:name="_Toc227244865"/>
            <w:bookmarkStart w:id="52" w:name="_Toc227244913"/>
            <w:bookmarkStart w:id="53" w:name="_Toc227310916"/>
            <w:r w:rsidRPr="00523B1F">
              <w:rPr>
                <w:rFonts w:ascii="Arial" w:eastAsia="Times New Roman" w:hAnsi="Arial" w:cs="Arial"/>
                <w:lang w:eastAsia="en-GB"/>
              </w:rPr>
              <w:t>The authors did not collect new data from patients or experiments. Instead, they gathered information from existing studies (e.g., clinical trials, cohort studies, and laboratory research</w:t>
            </w:r>
            <w:r w:rsidR="00C02D40" w:rsidRPr="00CD0134">
              <w:rPr>
                <w:rFonts w:ascii="Arial" w:eastAsia="Times New Roman" w:hAnsi="Arial" w:cs="Arial"/>
                <w:lang w:eastAsia="en-GB"/>
              </w:rPr>
              <w:t>). These</w:t>
            </w:r>
            <w:r w:rsidRPr="00523B1F">
              <w:rPr>
                <w:rFonts w:ascii="Arial" w:eastAsia="Times New Roman" w:hAnsi="Arial" w:cs="Arial"/>
                <w:lang w:eastAsia="en-GB"/>
              </w:rPr>
              <w:t xml:space="preserve"> studies were found through academic databases such as PubMed and other scientific sources.</w:t>
            </w:r>
            <w:bookmarkEnd w:id="51"/>
            <w:bookmarkEnd w:id="52"/>
            <w:bookmarkEnd w:id="53"/>
          </w:p>
          <w:p w14:paraId="5BF17D43" w14:textId="0DE7B981" w:rsidR="009060A7" w:rsidRPr="00CD0134" w:rsidRDefault="009060A7" w:rsidP="000A0281">
            <w:pPr>
              <w:tabs>
                <w:tab w:val="left" w:pos="6540"/>
              </w:tabs>
              <w:spacing w:line="360" w:lineRule="auto"/>
              <w:rPr>
                <w:rFonts w:ascii="Arial" w:hAnsi="Arial" w:cs="Arial"/>
              </w:rPr>
            </w:pPr>
          </w:p>
        </w:tc>
        <w:tc>
          <w:tcPr>
            <w:tcW w:w="2231" w:type="dxa"/>
            <w:tcBorders>
              <w:top w:val="single" w:sz="4" w:space="0" w:color="auto"/>
              <w:left w:val="single" w:sz="4" w:space="0" w:color="auto"/>
              <w:bottom w:val="single" w:sz="4" w:space="0" w:color="auto"/>
              <w:right w:val="single" w:sz="4" w:space="0" w:color="auto"/>
            </w:tcBorders>
          </w:tcPr>
          <w:p w14:paraId="5A5F5379" w14:textId="207519EE" w:rsidR="00621B77" w:rsidRPr="00CD0134" w:rsidRDefault="00DF7534" w:rsidP="000A0281">
            <w:pPr>
              <w:tabs>
                <w:tab w:val="left" w:pos="6540"/>
              </w:tabs>
              <w:spacing w:line="360" w:lineRule="auto"/>
              <w:rPr>
                <w:rFonts w:ascii="Arial" w:hAnsi="Arial" w:cs="Arial"/>
                <w:sz w:val="28"/>
                <w:szCs w:val="28"/>
              </w:rPr>
            </w:pPr>
            <w:r w:rsidRPr="00CD0134">
              <w:rPr>
                <w:rFonts w:ascii="Arial" w:hAnsi="Arial" w:cs="Arial"/>
              </w:rPr>
              <w:t>These studies suggest that diet is an important modifiable factor in both the prevention and management of autoimmune diseases</w:t>
            </w:r>
          </w:p>
        </w:tc>
      </w:tr>
      <w:tr w:rsidR="00DC248B" w14:paraId="61B6DB5F" w14:textId="77777777" w:rsidTr="00CD0134">
        <w:trPr>
          <w:trHeight w:val="468"/>
        </w:trPr>
        <w:tc>
          <w:tcPr>
            <w:tcW w:w="2231" w:type="dxa"/>
            <w:tcBorders>
              <w:top w:val="single" w:sz="4" w:space="0" w:color="auto"/>
              <w:left w:val="single" w:sz="4" w:space="0" w:color="auto"/>
              <w:bottom w:val="single" w:sz="4" w:space="0" w:color="auto"/>
              <w:right w:val="single" w:sz="4" w:space="0" w:color="auto"/>
            </w:tcBorders>
          </w:tcPr>
          <w:p w14:paraId="266FC7F8" w14:textId="77777777" w:rsidR="00DC248B" w:rsidRDefault="00DC248B" w:rsidP="000A0281">
            <w:pPr>
              <w:tabs>
                <w:tab w:val="left" w:pos="6540"/>
              </w:tabs>
              <w:spacing w:line="360" w:lineRule="auto"/>
              <w:rPr>
                <w:rFonts w:asciiTheme="minorBidi" w:hAnsiTheme="minorBidi"/>
                <w:sz w:val="28"/>
                <w:szCs w:val="28"/>
              </w:rPr>
            </w:pPr>
          </w:p>
        </w:tc>
        <w:tc>
          <w:tcPr>
            <w:tcW w:w="2231" w:type="dxa"/>
            <w:tcBorders>
              <w:top w:val="single" w:sz="4" w:space="0" w:color="auto"/>
              <w:left w:val="single" w:sz="4" w:space="0" w:color="auto"/>
              <w:bottom w:val="single" w:sz="4" w:space="0" w:color="auto"/>
              <w:right w:val="single" w:sz="4" w:space="0" w:color="auto"/>
            </w:tcBorders>
          </w:tcPr>
          <w:p w14:paraId="29573C21" w14:textId="77777777" w:rsidR="00DC248B" w:rsidRDefault="00DC248B" w:rsidP="000A0281">
            <w:pPr>
              <w:tabs>
                <w:tab w:val="left" w:pos="6540"/>
              </w:tabs>
              <w:spacing w:line="360" w:lineRule="auto"/>
            </w:pPr>
          </w:p>
        </w:tc>
        <w:tc>
          <w:tcPr>
            <w:tcW w:w="2231" w:type="dxa"/>
            <w:tcBorders>
              <w:top w:val="single" w:sz="4" w:space="0" w:color="auto"/>
              <w:left w:val="single" w:sz="4" w:space="0" w:color="auto"/>
              <w:bottom w:val="single" w:sz="4" w:space="0" w:color="auto"/>
              <w:right w:val="single" w:sz="4" w:space="0" w:color="auto"/>
            </w:tcBorders>
          </w:tcPr>
          <w:p w14:paraId="12AA78F6" w14:textId="77777777" w:rsidR="00DC248B" w:rsidRPr="00523B1F" w:rsidRDefault="00DC248B" w:rsidP="000A0281">
            <w:pPr>
              <w:spacing w:before="100" w:beforeAutospacing="1" w:after="100" w:afterAutospacing="1" w:line="360" w:lineRule="auto"/>
              <w:outlineLvl w:val="2"/>
              <w:rPr>
                <w:rFonts w:eastAsia="Times New Roman" w:cs="Times New Roman"/>
                <w:lang w:eastAsia="en-GB"/>
              </w:rPr>
            </w:pPr>
          </w:p>
        </w:tc>
        <w:tc>
          <w:tcPr>
            <w:tcW w:w="2231" w:type="dxa"/>
            <w:tcBorders>
              <w:top w:val="single" w:sz="4" w:space="0" w:color="auto"/>
              <w:left w:val="single" w:sz="4" w:space="0" w:color="auto"/>
              <w:bottom w:val="single" w:sz="4" w:space="0" w:color="auto"/>
              <w:right w:val="single" w:sz="4" w:space="0" w:color="auto"/>
            </w:tcBorders>
          </w:tcPr>
          <w:p w14:paraId="30EF26F9" w14:textId="77777777" w:rsidR="00DC248B" w:rsidRDefault="00DC248B" w:rsidP="000A0281">
            <w:pPr>
              <w:tabs>
                <w:tab w:val="left" w:pos="6540"/>
              </w:tabs>
              <w:spacing w:line="360" w:lineRule="auto"/>
            </w:pPr>
          </w:p>
        </w:tc>
      </w:tr>
    </w:tbl>
    <w:p w14:paraId="4402E7BD" w14:textId="77777777" w:rsidR="00712CB9" w:rsidRDefault="00712CB9" w:rsidP="000A0281">
      <w:pPr>
        <w:tabs>
          <w:tab w:val="left" w:pos="6540"/>
        </w:tabs>
        <w:spacing w:line="360" w:lineRule="auto"/>
      </w:pPr>
    </w:p>
    <w:p w14:paraId="1FE3FC26" w14:textId="52CCABE1" w:rsidR="00B95489" w:rsidRDefault="00B95489" w:rsidP="000A0281">
      <w:pPr>
        <w:tabs>
          <w:tab w:val="left" w:pos="6540"/>
        </w:tabs>
        <w:spacing w:line="360" w:lineRule="auto"/>
      </w:pPr>
      <w:r w:rsidRPr="00B95489">
        <w:t>From the analysis of the three journal articles in table 1, two main themes emerged.</w:t>
      </w:r>
    </w:p>
    <w:p w14:paraId="58DE6F0A" w14:textId="77777777" w:rsidR="00B95489" w:rsidRPr="001F1D6B" w:rsidRDefault="00B95489" w:rsidP="008E47F7">
      <w:pPr>
        <w:pStyle w:val="Heading2"/>
      </w:pPr>
      <w:bookmarkStart w:id="54" w:name="_Toc226638787"/>
      <w:bookmarkStart w:id="55" w:name="_Toc226638844"/>
      <w:bookmarkStart w:id="56" w:name="_Toc227244866"/>
      <w:bookmarkStart w:id="57" w:name="_Toc227244914"/>
      <w:bookmarkStart w:id="58" w:name="_Toc227310917"/>
      <w:r w:rsidRPr="001F1D6B">
        <w:t>Themes</w:t>
      </w:r>
      <w:bookmarkEnd w:id="54"/>
      <w:bookmarkEnd w:id="55"/>
      <w:bookmarkEnd w:id="56"/>
      <w:bookmarkEnd w:id="57"/>
      <w:bookmarkEnd w:id="58"/>
      <w:r w:rsidRPr="001F1D6B">
        <w:t xml:space="preserve"> </w:t>
      </w:r>
    </w:p>
    <w:tbl>
      <w:tblPr>
        <w:tblStyle w:val="TableGrid"/>
        <w:tblW w:w="0" w:type="auto"/>
        <w:tblInd w:w="0" w:type="dxa"/>
        <w:tblLook w:val="04A0" w:firstRow="1" w:lastRow="0" w:firstColumn="1" w:lastColumn="0" w:noHBand="0" w:noVBand="1"/>
      </w:tblPr>
      <w:tblGrid>
        <w:gridCol w:w="1838"/>
        <w:gridCol w:w="7178"/>
      </w:tblGrid>
      <w:tr w:rsidR="00B95489" w14:paraId="1C70A661" w14:textId="77777777" w:rsidTr="00EF4E2B">
        <w:tc>
          <w:tcPr>
            <w:tcW w:w="1838" w:type="dxa"/>
            <w:tcBorders>
              <w:top w:val="single" w:sz="4" w:space="0" w:color="auto"/>
              <w:left w:val="single" w:sz="4" w:space="0" w:color="auto"/>
              <w:bottom w:val="single" w:sz="4" w:space="0" w:color="auto"/>
              <w:right w:val="single" w:sz="4" w:space="0" w:color="auto"/>
            </w:tcBorders>
            <w:hideMark/>
          </w:tcPr>
          <w:p w14:paraId="6856CAF7" w14:textId="77777777" w:rsidR="00B95489" w:rsidRPr="001F08F4" w:rsidRDefault="00B95489" w:rsidP="00EF4E2B">
            <w:pPr>
              <w:tabs>
                <w:tab w:val="left" w:pos="6540"/>
              </w:tabs>
              <w:spacing w:line="360" w:lineRule="auto"/>
              <w:rPr>
                <w:rFonts w:ascii="Arial" w:hAnsi="Arial" w:cs="Arial"/>
                <w:szCs w:val="24"/>
              </w:rPr>
            </w:pPr>
            <w:r w:rsidRPr="001F08F4">
              <w:rPr>
                <w:rFonts w:ascii="Arial" w:hAnsi="Arial" w:cs="Arial"/>
                <w:szCs w:val="24"/>
              </w:rPr>
              <w:t xml:space="preserve">Theme 1 </w:t>
            </w:r>
          </w:p>
        </w:tc>
        <w:tc>
          <w:tcPr>
            <w:tcW w:w="7178" w:type="dxa"/>
            <w:tcBorders>
              <w:top w:val="single" w:sz="4" w:space="0" w:color="auto"/>
              <w:left w:val="single" w:sz="4" w:space="0" w:color="auto"/>
              <w:bottom w:val="single" w:sz="4" w:space="0" w:color="auto"/>
              <w:right w:val="single" w:sz="4" w:space="0" w:color="auto"/>
            </w:tcBorders>
            <w:hideMark/>
          </w:tcPr>
          <w:p w14:paraId="64B55AFE" w14:textId="77777777" w:rsidR="00B95489" w:rsidRPr="001F08F4" w:rsidRDefault="00B95489" w:rsidP="00EF4E2B">
            <w:pPr>
              <w:tabs>
                <w:tab w:val="left" w:pos="6540"/>
              </w:tabs>
              <w:spacing w:line="360" w:lineRule="auto"/>
              <w:rPr>
                <w:rFonts w:ascii="Arial" w:hAnsi="Arial" w:cs="Arial"/>
                <w:sz w:val="28"/>
                <w:szCs w:val="28"/>
              </w:rPr>
            </w:pPr>
            <w:r w:rsidRPr="001F08F4">
              <w:rPr>
                <w:rFonts w:ascii="Arial" w:hAnsi="Arial" w:cs="Arial"/>
              </w:rPr>
              <w:t xml:space="preserve">Nutrition is shown as an important factor in </w:t>
            </w:r>
            <w:r w:rsidRPr="00A70B75">
              <w:rPr>
                <w:rStyle w:val="Strong"/>
                <w:rFonts w:ascii="Arial" w:hAnsi="Arial" w:cs="Arial"/>
                <w:b w:val="0"/>
                <w:bCs w:val="0"/>
              </w:rPr>
              <w:t>immune system function and disease development</w:t>
            </w:r>
            <w:r w:rsidRPr="00A70B75">
              <w:rPr>
                <w:rFonts w:ascii="Arial" w:hAnsi="Arial" w:cs="Arial"/>
                <w:b/>
                <w:bCs/>
              </w:rPr>
              <w:t xml:space="preserve">. </w:t>
            </w:r>
            <w:r w:rsidRPr="001F08F4">
              <w:rPr>
                <w:rFonts w:ascii="Arial" w:hAnsi="Arial" w:cs="Arial"/>
              </w:rPr>
              <w:t xml:space="preserve">Nutrition is presented as something people can </w:t>
            </w:r>
            <w:r w:rsidRPr="00A70B75">
              <w:rPr>
                <w:rStyle w:val="Strong"/>
                <w:rFonts w:ascii="Arial" w:hAnsi="Arial" w:cs="Arial"/>
                <w:b w:val="0"/>
                <w:bCs w:val="0"/>
              </w:rPr>
              <w:t>change to improve health outcomes</w:t>
            </w:r>
            <w:r w:rsidRPr="00A70B75">
              <w:rPr>
                <w:rFonts w:ascii="Arial" w:hAnsi="Arial" w:cs="Arial"/>
                <w:b/>
                <w:bCs/>
              </w:rPr>
              <w:t>.</w:t>
            </w:r>
          </w:p>
        </w:tc>
      </w:tr>
      <w:tr w:rsidR="00B95489" w14:paraId="2A14DBF2" w14:textId="77777777" w:rsidTr="00EF4E2B">
        <w:tc>
          <w:tcPr>
            <w:tcW w:w="1838" w:type="dxa"/>
            <w:tcBorders>
              <w:top w:val="single" w:sz="4" w:space="0" w:color="auto"/>
              <w:left w:val="single" w:sz="4" w:space="0" w:color="auto"/>
              <w:bottom w:val="single" w:sz="4" w:space="0" w:color="auto"/>
              <w:right w:val="single" w:sz="4" w:space="0" w:color="auto"/>
            </w:tcBorders>
            <w:hideMark/>
          </w:tcPr>
          <w:p w14:paraId="28ABA47E" w14:textId="77777777" w:rsidR="00B95489" w:rsidRPr="00A70B75" w:rsidRDefault="00B95489" w:rsidP="00EF4E2B">
            <w:pPr>
              <w:tabs>
                <w:tab w:val="left" w:pos="6540"/>
              </w:tabs>
              <w:spacing w:line="360" w:lineRule="auto"/>
              <w:rPr>
                <w:rFonts w:ascii="Arial" w:hAnsi="Arial" w:cs="Arial"/>
                <w:sz w:val="28"/>
                <w:szCs w:val="28"/>
              </w:rPr>
            </w:pPr>
            <w:r w:rsidRPr="00A70B75">
              <w:rPr>
                <w:rFonts w:ascii="Arial" w:hAnsi="Arial" w:cs="Arial"/>
                <w:sz w:val="28"/>
                <w:szCs w:val="28"/>
              </w:rPr>
              <w:t>Theme 2</w:t>
            </w:r>
          </w:p>
        </w:tc>
        <w:tc>
          <w:tcPr>
            <w:tcW w:w="7178" w:type="dxa"/>
            <w:tcBorders>
              <w:top w:val="single" w:sz="4" w:space="0" w:color="auto"/>
              <w:left w:val="single" w:sz="4" w:space="0" w:color="auto"/>
              <w:bottom w:val="single" w:sz="4" w:space="0" w:color="auto"/>
              <w:right w:val="single" w:sz="4" w:space="0" w:color="auto"/>
            </w:tcBorders>
            <w:hideMark/>
          </w:tcPr>
          <w:p w14:paraId="5BD233AA" w14:textId="77777777" w:rsidR="00B95489" w:rsidRPr="00A70B75" w:rsidRDefault="00B95489" w:rsidP="00EF4E2B">
            <w:pPr>
              <w:tabs>
                <w:tab w:val="left" w:pos="6540"/>
              </w:tabs>
              <w:spacing w:line="360" w:lineRule="auto"/>
              <w:rPr>
                <w:rFonts w:ascii="Arial" w:hAnsi="Arial" w:cs="Arial"/>
                <w:sz w:val="28"/>
                <w:szCs w:val="28"/>
              </w:rPr>
            </w:pPr>
            <w:r w:rsidRPr="00A70B75">
              <w:rPr>
                <w:rFonts w:ascii="Arial" w:hAnsi="Arial" w:cs="Arial"/>
              </w:rPr>
              <w:t xml:space="preserve">Inflammation is a </w:t>
            </w:r>
            <w:r w:rsidRPr="00A70B75">
              <w:rPr>
                <w:rStyle w:val="Strong"/>
                <w:rFonts w:ascii="Arial" w:hAnsi="Arial" w:cs="Arial"/>
                <w:b w:val="0"/>
                <w:bCs w:val="0"/>
              </w:rPr>
              <w:t>key mechanism</w:t>
            </w:r>
            <w:r w:rsidRPr="00A70B75">
              <w:rPr>
                <w:rFonts w:ascii="Arial" w:hAnsi="Arial" w:cs="Arial"/>
              </w:rPr>
              <w:t xml:space="preserve"> connecting diet and autoimmune diseases.</w:t>
            </w:r>
          </w:p>
        </w:tc>
      </w:tr>
    </w:tbl>
    <w:p w14:paraId="01234B36" w14:textId="77777777" w:rsidR="00B95489" w:rsidRDefault="00B95489" w:rsidP="00AC1D17">
      <w:pPr>
        <w:tabs>
          <w:tab w:val="left" w:pos="6540"/>
        </w:tabs>
        <w:spacing w:line="360" w:lineRule="auto"/>
        <w:jc w:val="both"/>
      </w:pPr>
    </w:p>
    <w:p w14:paraId="74F42EC4" w14:textId="56F4AAB4" w:rsidR="006A4BBB" w:rsidRDefault="006A4BBB" w:rsidP="00AC1D17">
      <w:pPr>
        <w:tabs>
          <w:tab w:val="left" w:pos="6540"/>
        </w:tabs>
        <w:spacing w:line="360" w:lineRule="auto"/>
        <w:jc w:val="both"/>
      </w:pPr>
      <w:r w:rsidRPr="003E6FDE">
        <w:rPr>
          <w:rFonts w:ascii="Arial" w:hAnsi="Arial" w:cs="Arial"/>
        </w:rPr>
        <w:t xml:space="preserve">This article by Rayman (2019) is a narrative review published in </w:t>
      </w:r>
      <w:r w:rsidRPr="003E6FDE">
        <w:rPr>
          <w:rStyle w:val="Emphasis"/>
          <w:rFonts w:ascii="Arial" w:hAnsi="Arial" w:cs="Arial"/>
        </w:rPr>
        <w:t>Proceedings of the Nutrition Society</w:t>
      </w:r>
      <w:r w:rsidRPr="003E6FDE">
        <w:rPr>
          <w:rFonts w:ascii="Arial" w:hAnsi="Arial" w:cs="Arial"/>
        </w:rPr>
        <w:t xml:space="preserve">, meaning it summarises and evaluates existing research rather than presenting new experimental data. The author draws on a range of studies, including </w:t>
      </w:r>
      <w:r w:rsidRPr="003E6FDE">
        <w:rPr>
          <w:rFonts w:ascii="Arial" w:hAnsi="Arial" w:cs="Arial"/>
        </w:rPr>
        <w:lastRenderedPageBreak/>
        <w:t>clinical and observational research, to explore how different nutrients influence thyroid function and autoimmune thyroid diseases such as Hashimoto’s thyroiditis and Graves’ disease. A key strength of this approach is that it provides a broad overview of the topic and identifies common patterns across multiple studies. However, as it is not a systematic review, there is a risk of selection bias, and the conclusions depend on the quality of the studies included. Overall, the research is useful for understanding general trends but is less strong for establishing direct cause-and-effect relationships</w:t>
      </w:r>
      <w:r>
        <w:t>.</w:t>
      </w:r>
    </w:p>
    <w:p w14:paraId="7F7EAC09" w14:textId="2F038AD4" w:rsidR="000C1A7D" w:rsidRPr="008404BF" w:rsidRDefault="000C1A7D" w:rsidP="008F6C1D">
      <w:pPr>
        <w:tabs>
          <w:tab w:val="left" w:pos="6540"/>
        </w:tabs>
        <w:spacing w:line="360" w:lineRule="auto"/>
        <w:jc w:val="both"/>
        <w:rPr>
          <w:rFonts w:ascii="Arial" w:hAnsi="Arial" w:cs="Arial"/>
        </w:rPr>
      </w:pPr>
      <w:r w:rsidRPr="008404BF">
        <w:rPr>
          <w:rFonts w:ascii="Arial" w:hAnsi="Arial" w:cs="Arial"/>
        </w:rPr>
        <w:t xml:space="preserve">The information in the </w:t>
      </w:r>
      <w:r w:rsidR="008404BF" w:rsidRPr="008404BF">
        <w:rPr>
          <w:rFonts w:ascii="Arial" w:hAnsi="Arial" w:cs="Arial"/>
        </w:rPr>
        <w:t>second article</w:t>
      </w:r>
      <w:r w:rsidRPr="008404BF">
        <w:rPr>
          <w:rFonts w:ascii="Arial" w:hAnsi="Arial" w:cs="Arial"/>
        </w:rPr>
        <w:t xml:space="preserve"> was collected through a review of existing research studies rather than primary data collection. The authors analysed and combined findings from multiple scientific studies on diet and inflammation to identify patterns and draw conclusions about the impact of nutrition on health.</w:t>
      </w:r>
      <w:r w:rsidR="00963883" w:rsidRPr="008404BF">
        <w:rPr>
          <w:rFonts w:ascii="Arial" w:hAnsi="Arial" w:cs="Arial"/>
        </w:rPr>
        <w:t xml:space="preserve"> A strength of this study is that it uses a wide range of peer-reviewed research, increasing the reliability of its findings. However, a limitation is that it relies on secondary data, meaning the authors have no control over how the original data was collected, which may affect the validity of the conclusions.</w:t>
      </w:r>
    </w:p>
    <w:p w14:paraId="5FC314C3" w14:textId="3D969D52" w:rsidR="006432C7" w:rsidRPr="00A13D9A" w:rsidRDefault="00043A6F" w:rsidP="008F6C1D">
      <w:pPr>
        <w:tabs>
          <w:tab w:val="left" w:pos="6540"/>
        </w:tabs>
        <w:spacing w:line="360" w:lineRule="auto"/>
        <w:jc w:val="both"/>
        <w:rPr>
          <w:rFonts w:ascii="Arial" w:hAnsi="Arial" w:cs="Arial"/>
        </w:rPr>
      </w:pPr>
      <w:r w:rsidRPr="00BA18B9">
        <w:rPr>
          <w:rFonts w:ascii="Arial" w:hAnsi="Arial" w:cs="Arial"/>
        </w:rPr>
        <w:t>Mazzucca et al. (2022) conducted a UK-based prospective cohort study using UK Biobank data to investigate the relationship between nutrition and autoimmune disease. The study collected primary data from adults through dietary questionnaires and followed participants over time, finding that dietary patterns were associated with the risk of developing rheumatoid arthritis.</w:t>
      </w:r>
      <w:r w:rsidR="00E34C96" w:rsidRPr="00BA18B9">
        <w:rPr>
          <w:rFonts w:ascii="Arial" w:hAnsi="Arial" w:cs="Arial"/>
        </w:rPr>
        <w:t xml:space="preserve"> </w:t>
      </w:r>
      <w:r w:rsidR="007E4964" w:rsidRPr="00BA18B9">
        <w:rPr>
          <w:rFonts w:ascii="Arial" w:hAnsi="Arial" w:cs="Arial"/>
        </w:rPr>
        <w:t xml:space="preserve">The researchers used real UK adults </w:t>
      </w:r>
      <w:r w:rsidR="00BA18B9" w:rsidRPr="00BA18B9">
        <w:rPr>
          <w:rFonts w:ascii="Arial" w:hAnsi="Arial" w:cs="Arial"/>
        </w:rPr>
        <w:t>and collected original</w:t>
      </w:r>
      <w:r w:rsidR="00296D34" w:rsidRPr="00BA18B9">
        <w:rPr>
          <w:rStyle w:val="Strong"/>
          <w:rFonts w:ascii="Arial" w:hAnsi="Arial" w:cs="Arial"/>
          <w:b w:val="0"/>
          <w:bCs w:val="0"/>
        </w:rPr>
        <w:t xml:space="preserve"> </w:t>
      </w:r>
      <w:r w:rsidR="00393EF8" w:rsidRPr="00BA18B9">
        <w:rPr>
          <w:rStyle w:val="Strong"/>
          <w:rFonts w:ascii="Arial" w:hAnsi="Arial" w:cs="Arial"/>
          <w:b w:val="0"/>
          <w:bCs w:val="0"/>
        </w:rPr>
        <w:t>data</w:t>
      </w:r>
      <w:r w:rsidR="00393EF8" w:rsidRPr="00BA18B9">
        <w:rPr>
          <w:rStyle w:val="Strong"/>
          <w:rFonts w:ascii="Arial" w:hAnsi="Arial" w:cs="Arial"/>
        </w:rPr>
        <w:t>;</w:t>
      </w:r>
      <w:r w:rsidR="0039518F" w:rsidRPr="00BA18B9">
        <w:rPr>
          <w:rStyle w:val="Strong"/>
          <w:rFonts w:ascii="Arial" w:hAnsi="Arial" w:cs="Arial"/>
        </w:rPr>
        <w:t xml:space="preserve"> </w:t>
      </w:r>
      <w:r w:rsidR="007E4964" w:rsidRPr="00BA18B9">
        <w:rPr>
          <w:rFonts w:ascii="Arial" w:hAnsi="Arial" w:cs="Arial"/>
        </w:rPr>
        <w:t xml:space="preserve">results are </w:t>
      </w:r>
      <w:r w:rsidR="007E4964" w:rsidRPr="00BA18B9">
        <w:rPr>
          <w:rStyle w:val="Strong"/>
          <w:rFonts w:ascii="Arial" w:hAnsi="Arial" w:cs="Arial"/>
          <w:b w:val="0"/>
          <w:bCs w:val="0"/>
        </w:rPr>
        <w:t>relevant and generalisable</w:t>
      </w:r>
      <w:r w:rsidR="00A13D9A">
        <w:rPr>
          <w:rStyle w:val="Strong"/>
          <w:rFonts w:ascii="Arial" w:hAnsi="Arial" w:cs="Arial"/>
        </w:rPr>
        <w:t>.</w:t>
      </w:r>
    </w:p>
    <w:p w14:paraId="619A1253" w14:textId="77777777" w:rsidR="006432C7" w:rsidRDefault="006432C7" w:rsidP="000A0281">
      <w:pPr>
        <w:tabs>
          <w:tab w:val="left" w:pos="6540"/>
        </w:tabs>
        <w:spacing w:line="360" w:lineRule="auto"/>
        <w:rPr>
          <w:rFonts w:asciiTheme="minorBidi" w:hAnsiTheme="minorBidi"/>
          <w:sz w:val="22"/>
        </w:rPr>
      </w:pPr>
    </w:p>
    <w:p w14:paraId="777F12F2" w14:textId="77777777" w:rsidR="00391794" w:rsidRDefault="00391794" w:rsidP="000A0281">
      <w:pPr>
        <w:tabs>
          <w:tab w:val="left" w:pos="6540"/>
        </w:tabs>
        <w:spacing w:line="360" w:lineRule="auto"/>
        <w:rPr>
          <w:rFonts w:asciiTheme="minorBidi" w:hAnsiTheme="minorBidi"/>
          <w:sz w:val="22"/>
        </w:rPr>
      </w:pPr>
    </w:p>
    <w:p w14:paraId="7E79299E" w14:textId="77777777" w:rsidR="00293C0A" w:rsidRPr="00A14CEA" w:rsidRDefault="00293C0A" w:rsidP="008E47F7">
      <w:pPr>
        <w:pStyle w:val="Heading1"/>
      </w:pPr>
      <w:bookmarkStart w:id="59" w:name="_Toc227244867"/>
      <w:bookmarkStart w:id="60" w:name="_Toc227244915"/>
      <w:bookmarkStart w:id="61" w:name="_Toc227310918"/>
      <w:r w:rsidRPr="00A14CEA">
        <w:t>5.</w:t>
      </w:r>
      <w:r w:rsidRPr="001F1D6B">
        <w:t xml:space="preserve"> Discussion</w:t>
      </w:r>
      <w:bookmarkEnd w:id="59"/>
      <w:bookmarkEnd w:id="60"/>
      <w:bookmarkEnd w:id="61"/>
    </w:p>
    <w:p w14:paraId="40659173" w14:textId="77777777" w:rsidR="00293C0A" w:rsidRPr="001F1D6B" w:rsidRDefault="00293C0A" w:rsidP="008E47F7">
      <w:pPr>
        <w:pStyle w:val="Heading2"/>
      </w:pPr>
      <w:bookmarkStart w:id="62" w:name="_Toc227244868"/>
      <w:bookmarkStart w:id="63" w:name="_Toc227244916"/>
      <w:bookmarkStart w:id="64" w:name="_Toc227310919"/>
      <w:r w:rsidRPr="001F1D6B">
        <w:t>Importance of the findings for health and social care</w:t>
      </w:r>
      <w:bookmarkEnd w:id="62"/>
      <w:bookmarkEnd w:id="63"/>
      <w:bookmarkEnd w:id="64"/>
      <w:r w:rsidRPr="001F1D6B">
        <w:t xml:space="preserve"> </w:t>
      </w:r>
    </w:p>
    <w:p w14:paraId="1389B8F4" w14:textId="6FB44647" w:rsidR="00293C0A" w:rsidRPr="004D3DF0" w:rsidRDefault="00A030E3" w:rsidP="008F6C1D">
      <w:pPr>
        <w:tabs>
          <w:tab w:val="left" w:pos="6540"/>
        </w:tabs>
        <w:spacing w:line="360" w:lineRule="auto"/>
        <w:jc w:val="both"/>
        <w:rPr>
          <w:rFonts w:ascii="Arial" w:hAnsi="Arial" w:cs="Arial"/>
          <w:sz w:val="22"/>
        </w:rPr>
      </w:pPr>
      <w:r w:rsidRPr="004D3DF0">
        <w:rPr>
          <w:rFonts w:ascii="Arial" w:hAnsi="Arial" w:cs="Arial"/>
        </w:rPr>
        <w:t xml:space="preserve">All three articles highlight the important role of nutrition in autoimmune diseases in adults. They consistently show that diet influences inflammation, which is a key factor in the development and progression of autoimmune conditions. While Rayman (2019) and Yu et al. (2024) use review methods and Mazzucca et al. (2022) uses primary </w:t>
      </w:r>
      <w:r w:rsidRPr="004D3DF0">
        <w:rPr>
          <w:rFonts w:ascii="Arial" w:hAnsi="Arial" w:cs="Arial"/>
        </w:rPr>
        <w:lastRenderedPageBreak/>
        <w:t>research, all studies are based on scientific evidence and demonstrate that nutrition is a modifiable factor that can help prevent or manage autoimmune diseases.</w:t>
      </w:r>
    </w:p>
    <w:p w14:paraId="726E65CF" w14:textId="405D4DA3" w:rsidR="00D02177" w:rsidRPr="004D3DF0" w:rsidRDefault="00D02177" w:rsidP="000A0281">
      <w:pPr>
        <w:spacing w:before="100" w:beforeAutospacing="1" w:after="100" w:afterAutospacing="1" w:line="360" w:lineRule="auto"/>
        <w:rPr>
          <w:rFonts w:ascii="Arial" w:hAnsi="Arial" w:cs="Arial"/>
        </w:rPr>
      </w:pPr>
      <w:r w:rsidRPr="00D02177">
        <w:rPr>
          <w:rFonts w:ascii="Arial" w:eastAsia="Times New Roman" w:hAnsi="Arial" w:cs="Arial"/>
          <w:kern w:val="0"/>
          <w:lang w:eastAsia="en-GB"/>
          <w14:ligatures w14:val="none"/>
        </w:rPr>
        <w:t xml:space="preserve">All articles are published in reputable academic journals. </w:t>
      </w:r>
      <w:r w:rsidR="001844AA" w:rsidRPr="004D3DF0">
        <w:rPr>
          <w:rFonts w:ascii="Arial" w:eastAsia="Times New Roman" w:hAnsi="Arial" w:cs="Arial"/>
          <w:kern w:val="0"/>
          <w:lang w:eastAsia="en-GB"/>
          <w14:ligatures w14:val="none"/>
        </w:rPr>
        <w:t>T</w:t>
      </w:r>
      <w:r w:rsidRPr="00D02177">
        <w:rPr>
          <w:rFonts w:ascii="Arial" w:eastAsia="Times New Roman" w:hAnsi="Arial" w:cs="Arial"/>
          <w:kern w:val="0"/>
          <w:lang w:eastAsia="en-GB"/>
          <w14:ligatures w14:val="none"/>
        </w:rPr>
        <w:t>hey use</w:t>
      </w:r>
      <w:r w:rsidR="001844AA" w:rsidRPr="004D3DF0">
        <w:rPr>
          <w:rFonts w:ascii="Arial" w:eastAsia="Times New Roman" w:hAnsi="Arial" w:cs="Arial"/>
          <w:kern w:val="0"/>
          <w:lang w:eastAsia="en-GB"/>
          <w14:ligatures w14:val="none"/>
        </w:rPr>
        <w:t xml:space="preserve"> e</w:t>
      </w:r>
      <w:r w:rsidRPr="00D02177">
        <w:rPr>
          <w:rFonts w:ascii="Arial" w:eastAsia="Times New Roman" w:hAnsi="Arial" w:cs="Arial"/>
          <w:kern w:val="0"/>
          <w:lang w:eastAsia="en-GB"/>
          <w14:ligatures w14:val="none"/>
        </w:rPr>
        <w:t xml:space="preserve">vidence-based </w:t>
      </w:r>
      <w:r w:rsidR="004D3DF0" w:rsidRPr="00D02177">
        <w:rPr>
          <w:rFonts w:ascii="Arial" w:eastAsia="Times New Roman" w:hAnsi="Arial" w:cs="Arial"/>
          <w:kern w:val="0"/>
          <w:lang w:eastAsia="en-GB"/>
          <w14:ligatures w14:val="none"/>
        </w:rPr>
        <w:t>research</w:t>
      </w:r>
      <w:r w:rsidR="001844AA" w:rsidRPr="004D3DF0">
        <w:rPr>
          <w:rFonts w:ascii="Arial" w:eastAsia="Times New Roman" w:hAnsi="Arial" w:cs="Arial"/>
          <w:kern w:val="0"/>
          <w:lang w:eastAsia="en-GB"/>
          <w14:ligatures w14:val="none"/>
        </w:rPr>
        <w:t xml:space="preserve"> and </w:t>
      </w:r>
      <w:r w:rsidR="00CE0BDD" w:rsidRPr="004D3DF0">
        <w:rPr>
          <w:rFonts w:ascii="Arial" w:eastAsia="Times New Roman" w:hAnsi="Arial" w:cs="Arial"/>
          <w:kern w:val="0"/>
          <w:lang w:eastAsia="en-GB"/>
          <w14:ligatures w14:val="none"/>
        </w:rPr>
        <w:t>s</w:t>
      </w:r>
      <w:r w:rsidRPr="00D02177">
        <w:rPr>
          <w:rFonts w:ascii="Arial" w:eastAsia="Times New Roman" w:hAnsi="Arial" w:cs="Arial"/>
          <w:kern w:val="0"/>
          <w:lang w:eastAsia="en-GB"/>
          <w14:ligatures w14:val="none"/>
        </w:rPr>
        <w:t xml:space="preserve">cientific </w:t>
      </w:r>
      <w:r w:rsidR="004D3DF0" w:rsidRPr="00D02177">
        <w:rPr>
          <w:rFonts w:ascii="Arial" w:eastAsia="Times New Roman" w:hAnsi="Arial" w:cs="Arial"/>
          <w:kern w:val="0"/>
          <w:lang w:eastAsia="en-GB"/>
          <w14:ligatures w14:val="none"/>
        </w:rPr>
        <w:t>methods. All</w:t>
      </w:r>
      <w:r w:rsidRPr="00D02177">
        <w:rPr>
          <w:rFonts w:ascii="Arial" w:eastAsia="Times New Roman" w:hAnsi="Arial" w:cs="Arial"/>
          <w:kern w:val="0"/>
          <w:lang w:eastAsia="en-GB"/>
          <w14:ligatures w14:val="none"/>
        </w:rPr>
        <w:t xml:space="preserve"> sources are reliable and suitable for academic work.</w:t>
      </w:r>
      <w:r w:rsidR="002F121C" w:rsidRPr="004D3DF0">
        <w:rPr>
          <w:rFonts w:ascii="Arial" w:hAnsi="Arial" w:cs="Arial"/>
        </w:rPr>
        <w:t xml:space="preserve"> Findings are relevant to </w:t>
      </w:r>
      <w:r w:rsidR="002F121C" w:rsidRPr="004D3DF0">
        <w:rPr>
          <w:rStyle w:val="Strong"/>
          <w:rFonts w:ascii="Arial" w:hAnsi="Arial" w:cs="Arial"/>
          <w:b w:val="0"/>
          <w:bCs w:val="0"/>
        </w:rPr>
        <w:t>adult autoimmune disease</w:t>
      </w:r>
      <w:r w:rsidR="002F121C" w:rsidRPr="004D3DF0">
        <w:rPr>
          <w:rFonts w:ascii="Arial" w:hAnsi="Arial" w:cs="Arial"/>
        </w:rPr>
        <w:t xml:space="preserve">, matching </w:t>
      </w:r>
      <w:r w:rsidR="004D3DF0" w:rsidRPr="004D3DF0">
        <w:rPr>
          <w:rFonts w:ascii="Arial" w:hAnsi="Arial" w:cs="Arial"/>
        </w:rPr>
        <w:t>my assignment</w:t>
      </w:r>
      <w:r w:rsidR="002F121C" w:rsidRPr="004D3DF0">
        <w:rPr>
          <w:rFonts w:ascii="Arial" w:hAnsi="Arial" w:cs="Arial"/>
        </w:rPr>
        <w:t xml:space="preserve"> topic.</w:t>
      </w:r>
    </w:p>
    <w:p w14:paraId="2AE635C7" w14:textId="0C2BEE2B" w:rsidR="00DE5574" w:rsidRPr="00832034" w:rsidRDefault="00DE5574" w:rsidP="00D31517">
      <w:pPr>
        <w:spacing w:before="100" w:beforeAutospacing="1" w:after="100" w:afterAutospacing="1" w:line="360" w:lineRule="auto"/>
        <w:jc w:val="both"/>
        <w:rPr>
          <w:rFonts w:ascii="Arial" w:hAnsi="Arial" w:cs="Arial"/>
        </w:rPr>
      </w:pPr>
      <w:r w:rsidRPr="00832034">
        <w:rPr>
          <w:rFonts w:ascii="Arial" w:hAnsi="Arial" w:cs="Arial"/>
        </w:rPr>
        <w:t>The three articles differ mainly in their research design and focus. Rayman (2019) and Yu et al. (2024) are literature reviews that summarise existing research, providing a broad understanding of how nutrition affects autoimmune diseases and inflammation. In contrast, Mazzucca et al. (2022) is a primary research study using UK Biobank data, which collects original information from participants and therefore provides stronger real-world evidence. Additionally, Rayman focuses specifically on thyroid disease and individual nutrients, while Yu et al. examine broader dietary patterns across multiple conditions. Mazzucca et al. differ further by focusing on rheumatoid arthritis within a UK population, making it more directly relevant. These differences highlight the variation in depth, scope and strength of evidence across the studies.</w:t>
      </w:r>
    </w:p>
    <w:p w14:paraId="6E1F5FC9" w14:textId="47975DA4" w:rsidR="0040562C" w:rsidRPr="008E5B15" w:rsidRDefault="0040562C" w:rsidP="000A0281">
      <w:pPr>
        <w:pStyle w:val="NormalWeb"/>
        <w:spacing w:line="360" w:lineRule="auto"/>
        <w:rPr>
          <w:rFonts w:ascii="Arial" w:hAnsi="Arial" w:cs="Arial"/>
        </w:rPr>
      </w:pPr>
      <w:r w:rsidRPr="008E5B15">
        <w:rPr>
          <w:rFonts w:ascii="Arial" w:hAnsi="Arial" w:cs="Arial"/>
        </w:rPr>
        <w:t>The</w:t>
      </w:r>
      <w:r w:rsidR="008E5B15" w:rsidRPr="008E5B15">
        <w:rPr>
          <w:rFonts w:ascii="Arial" w:hAnsi="Arial" w:cs="Arial"/>
        </w:rPr>
        <w:t xml:space="preserve"> all three</w:t>
      </w:r>
      <w:r w:rsidRPr="008E5B15">
        <w:rPr>
          <w:rFonts w:ascii="Arial" w:hAnsi="Arial" w:cs="Arial"/>
        </w:rPr>
        <w:t xml:space="preserve"> articles explore the role of nutrition in autoimmune diseases in adults, but they differ in their research design, focus and strength of evidence.</w:t>
      </w:r>
    </w:p>
    <w:p w14:paraId="44AA999B" w14:textId="77777777" w:rsidR="0040562C" w:rsidRPr="008E5B15" w:rsidRDefault="0040562C" w:rsidP="00D31517">
      <w:pPr>
        <w:pStyle w:val="NormalWeb"/>
        <w:spacing w:line="360" w:lineRule="auto"/>
        <w:jc w:val="both"/>
        <w:rPr>
          <w:rFonts w:ascii="Arial" w:hAnsi="Arial" w:cs="Arial"/>
        </w:rPr>
      </w:pPr>
      <w:r w:rsidRPr="008E5B15">
        <w:rPr>
          <w:rFonts w:ascii="Arial" w:hAnsi="Arial" w:cs="Arial"/>
        </w:rPr>
        <w:t>A key similarity between the studies is their shared emphasis on the importance of nutrition in influencing autoimmune diseases. All three articles highlight that diet plays a significant role in regulating the immune system, particularly through its impact on inflammation. They consistently show that healthy dietary patterns or adequate nutrient intake can reduce inflammation and potentially improve disease outcomes, while poor diets may increase the risk or severity of autoimmune conditions. Furthermore, all articles are based on scientific, peer-reviewed research, making them reliable sources for academic study. Another similarity is their focus on adult populations, ensuring relevance to the topic of autoimmune diseases in adulthood.</w:t>
      </w:r>
    </w:p>
    <w:p w14:paraId="5FD3A540" w14:textId="77777777" w:rsidR="0040562C" w:rsidRPr="006223E6" w:rsidRDefault="0040562C" w:rsidP="00D31517">
      <w:pPr>
        <w:pStyle w:val="NormalWeb"/>
        <w:spacing w:line="360" w:lineRule="auto"/>
        <w:jc w:val="both"/>
        <w:rPr>
          <w:rFonts w:ascii="Arial" w:hAnsi="Arial" w:cs="Arial"/>
        </w:rPr>
      </w:pPr>
      <w:r w:rsidRPr="006223E6">
        <w:rPr>
          <w:rFonts w:ascii="Arial" w:hAnsi="Arial" w:cs="Arial"/>
        </w:rPr>
        <w:t xml:space="preserve">However, there are also important differences between the articles. The most significant difference is the type of research used. Rayman (2019) and Yu et al. (2024) are literature reviews, meaning they rely on secondary data from previously published </w:t>
      </w:r>
      <w:r w:rsidRPr="006223E6">
        <w:rPr>
          <w:rFonts w:ascii="Arial" w:hAnsi="Arial" w:cs="Arial"/>
        </w:rPr>
        <w:lastRenderedPageBreak/>
        <w:t>studies. In contrast, Mazzucca et al. (2022) is a primary research study that uses data collected from participants in the UK Biobank, making it stronger in terms of real-world evidence. Additionally, the focus of each article varies. Rayman (2019) concentrates specifically on thyroid autoimmune disease and the role of individual nutrients such as iodine and selenium, providing a detailed and focused analysis. Yu et al. (2024), on the other hand, takes a broader approach by examining anti-inflammatory diets and their effects across a range of diseases. Mazzucca et al. (2022) differs further by focusing on rheumatoid arthritis and analysing how dietary patterns influence disease risk within a UK population.</w:t>
      </w:r>
    </w:p>
    <w:p w14:paraId="55776F33" w14:textId="77777777" w:rsidR="0040562C" w:rsidRPr="0043779B" w:rsidRDefault="0040562C" w:rsidP="00D31517">
      <w:pPr>
        <w:pStyle w:val="NormalWeb"/>
        <w:spacing w:line="360" w:lineRule="auto"/>
        <w:jc w:val="both"/>
        <w:rPr>
          <w:rFonts w:ascii="Arial" w:hAnsi="Arial" w:cs="Arial"/>
        </w:rPr>
      </w:pPr>
      <w:r w:rsidRPr="0043779B">
        <w:rPr>
          <w:rFonts w:ascii="Arial" w:hAnsi="Arial" w:cs="Arial"/>
        </w:rPr>
        <w:t>Another key difference lies in the relevance and application of the findings. While Rayman (2019) and Yu et al. (2024) provide a broad overview of existing knowledge, Mazzucca et al. (2022) offers more specific and directly applicable findings due to its use of UK-based participant data. This makes it particularly valuable for understanding the impact of nutrition on autoimmune diseases in a real-world UK context.</w:t>
      </w:r>
    </w:p>
    <w:p w14:paraId="61F1E765" w14:textId="77777777" w:rsidR="0040562C" w:rsidRPr="00DE5515" w:rsidRDefault="0040562C" w:rsidP="00D31517">
      <w:pPr>
        <w:pStyle w:val="NormalWeb"/>
        <w:spacing w:line="360" w:lineRule="auto"/>
        <w:jc w:val="both"/>
        <w:rPr>
          <w:rFonts w:ascii="Arial" w:hAnsi="Arial" w:cs="Arial"/>
        </w:rPr>
      </w:pPr>
      <w:r w:rsidRPr="00DE5515">
        <w:rPr>
          <w:rFonts w:ascii="Arial" w:hAnsi="Arial" w:cs="Arial"/>
        </w:rPr>
        <w:t>In conclusion, while all three articles agree that nutrition is a crucial factor in the development and management of autoimmune diseases, they differ in their methodology, scope and strength of evidence. Together, they provide a comprehensive understanding by combining broad theoretical knowledge with specific, data-driven insights.</w:t>
      </w:r>
    </w:p>
    <w:p w14:paraId="18284E76" w14:textId="77777777" w:rsidR="0040562C" w:rsidRPr="00D02177" w:rsidRDefault="0040562C" w:rsidP="000A0281">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25783EE" w14:textId="25116934" w:rsidR="00B50DD6" w:rsidRPr="001F1D6B" w:rsidRDefault="004C05DD" w:rsidP="008E47F7">
      <w:pPr>
        <w:pStyle w:val="Heading2"/>
      </w:pPr>
      <w:bookmarkStart w:id="65" w:name="_Toc227244869"/>
      <w:bookmarkStart w:id="66" w:name="_Toc227244917"/>
      <w:bookmarkStart w:id="67" w:name="_Toc227310920"/>
      <w:r w:rsidRPr="001F1D6B">
        <w:t xml:space="preserve">Limitations of </w:t>
      </w:r>
      <w:r w:rsidR="00B50DD6" w:rsidRPr="001F1D6B">
        <w:t>this study</w:t>
      </w:r>
      <w:bookmarkEnd w:id="65"/>
      <w:bookmarkEnd w:id="66"/>
      <w:bookmarkEnd w:id="67"/>
      <w:r w:rsidRPr="001F1D6B">
        <w:t xml:space="preserve"> </w:t>
      </w:r>
    </w:p>
    <w:p w14:paraId="258929C1" w14:textId="2E16DF19" w:rsidR="00293C0A" w:rsidRPr="00F22618" w:rsidRDefault="00B50DD6" w:rsidP="00A65014">
      <w:pPr>
        <w:tabs>
          <w:tab w:val="left" w:pos="6540"/>
        </w:tabs>
        <w:spacing w:line="360" w:lineRule="auto"/>
        <w:jc w:val="both"/>
        <w:rPr>
          <w:rFonts w:ascii="Arial" w:hAnsi="Arial" w:cs="Arial"/>
        </w:rPr>
      </w:pPr>
      <w:r w:rsidRPr="00B50DD6">
        <w:rPr>
          <w:rFonts w:ascii="Arial" w:hAnsi="Arial" w:cs="Arial"/>
        </w:rPr>
        <w:t>I</w:t>
      </w:r>
      <w:r w:rsidR="00300150" w:rsidRPr="00B50DD6">
        <w:rPr>
          <w:rFonts w:ascii="Arial" w:hAnsi="Arial" w:cs="Arial"/>
        </w:rPr>
        <w:t xml:space="preserve">t </w:t>
      </w:r>
      <w:r w:rsidR="004C05DD" w:rsidRPr="00B50DD6">
        <w:rPr>
          <w:rFonts w:ascii="Arial" w:hAnsi="Arial" w:cs="Arial"/>
        </w:rPr>
        <w:t xml:space="preserve">used only three articles which is a small sample and might be difficult to generalise the findings.  </w:t>
      </w:r>
      <w:r w:rsidR="00137D81" w:rsidRPr="00B50DD6">
        <w:rPr>
          <w:rFonts w:ascii="Arial" w:hAnsi="Arial" w:cs="Arial"/>
        </w:rPr>
        <w:t>A key limitation across these studies</w:t>
      </w:r>
      <w:r w:rsidR="00D918BF" w:rsidRPr="00B50DD6">
        <w:rPr>
          <w:rFonts w:ascii="Arial" w:hAnsi="Arial" w:cs="Arial"/>
        </w:rPr>
        <w:t xml:space="preserve"> </w:t>
      </w:r>
      <w:r w:rsidR="00FD2FB3" w:rsidRPr="00B50DD6">
        <w:rPr>
          <w:rFonts w:ascii="Arial" w:hAnsi="Arial" w:cs="Arial"/>
        </w:rPr>
        <w:t xml:space="preserve">in </w:t>
      </w:r>
      <w:r w:rsidR="00B55729" w:rsidRPr="00B50DD6">
        <w:rPr>
          <w:rFonts w:ascii="Arial" w:hAnsi="Arial" w:cs="Arial"/>
        </w:rPr>
        <w:t>these three articles</w:t>
      </w:r>
      <w:r w:rsidRPr="00B50DD6">
        <w:rPr>
          <w:rFonts w:ascii="Arial" w:hAnsi="Arial" w:cs="Arial"/>
        </w:rPr>
        <w:t xml:space="preserve"> is</w:t>
      </w:r>
      <w:r w:rsidR="00137D81" w:rsidRPr="00B50DD6">
        <w:rPr>
          <w:rFonts w:ascii="Arial" w:hAnsi="Arial" w:cs="Arial"/>
        </w:rPr>
        <w:t xml:space="preserve"> that two rely on secondary data, which may introduce bias and reduce control over data quality, while the primary research study is observational and relies on self-reported dietary information, limiting its ability to establish cause and effect.</w:t>
      </w:r>
    </w:p>
    <w:p w14:paraId="1A13A509" w14:textId="59F13CE2" w:rsidR="00293C0A" w:rsidRPr="00B55729" w:rsidRDefault="00293C0A" w:rsidP="008E47F7">
      <w:pPr>
        <w:pStyle w:val="Heading1"/>
      </w:pPr>
      <w:bookmarkStart w:id="68" w:name="_Toc227244870"/>
      <w:bookmarkStart w:id="69" w:name="_Toc227244918"/>
      <w:bookmarkStart w:id="70" w:name="_Toc227310921"/>
      <w:r w:rsidRPr="00B55729">
        <w:t>6.</w:t>
      </w:r>
      <w:r w:rsidRPr="001F1D6B">
        <w:t xml:space="preserve"> C</w:t>
      </w:r>
      <w:r w:rsidR="001F1D6B" w:rsidRPr="001F1D6B">
        <w:t>ONCLUSION</w:t>
      </w:r>
      <w:bookmarkEnd w:id="68"/>
      <w:bookmarkEnd w:id="69"/>
      <w:bookmarkEnd w:id="70"/>
      <w:r w:rsidR="001F1D6B" w:rsidRPr="001F1D6B">
        <w:t xml:space="preserve"> </w:t>
      </w:r>
      <w:r w:rsidRPr="00B55729">
        <w:t xml:space="preserve"> </w:t>
      </w:r>
    </w:p>
    <w:p w14:paraId="45085FEE" w14:textId="77777777" w:rsidR="00243223" w:rsidRPr="00B55729" w:rsidRDefault="00243223" w:rsidP="00A65014">
      <w:pPr>
        <w:pStyle w:val="NormalWeb"/>
        <w:spacing w:line="360" w:lineRule="auto"/>
        <w:jc w:val="both"/>
        <w:rPr>
          <w:rFonts w:ascii="Arial" w:hAnsi="Arial" w:cs="Arial"/>
        </w:rPr>
      </w:pPr>
      <w:r w:rsidRPr="00B55729">
        <w:rPr>
          <w:rFonts w:ascii="Arial" w:hAnsi="Arial" w:cs="Arial"/>
        </w:rPr>
        <w:t xml:space="preserve">In conclusion, the evidence clearly demonstrates that nutrition plays a crucial role in the development and management of autoimmune diseases in adults. The articles </w:t>
      </w:r>
      <w:r w:rsidRPr="00B55729">
        <w:rPr>
          <w:rFonts w:ascii="Arial" w:hAnsi="Arial" w:cs="Arial"/>
        </w:rPr>
        <w:lastRenderedPageBreak/>
        <w:t>reviewed show that diet can significantly influence immune system function, particularly through its impact on inflammation. Healthy dietary patterns, such as those rich in fruits, vegetables and essential nutrients, are associated with reduced inflammation and improved health outcomes, while poor diets high in processed foods may increase the risk and severity of autoimmune conditions.</w:t>
      </w:r>
    </w:p>
    <w:p w14:paraId="6D550859" w14:textId="77777777" w:rsidR="00243223" w:rsidRPr="00B55729" w:rsidRDefault="00243223" w:rsidP="00A65014">
      <w:pPr>
        <w:pStyle w:val="NormalWeb"/>
        <w:spacing w:line="360" w:lineRule="auto"/>
        <w:jc w:val="both"/>
        <w:rPr>
          <w:rFonts w:ascii="Arial" w:hAnsi="Arial" w:cs="Arial"/>
        </w:rPr>
      </w:pPr>
      <w:r w:rsidRPr="00B55729">
        <w:rPr>
          <w:rFonts w:ascii="Arial" w:hAnsi="Arial" w:cs="Arial"/>
        </w:rPr>
        <w:t>Although the studies vary in their research methods, including both literature reviews and primary research, they consistently highlight nutrition as a key modifiable factor. This means that dietary changes can be used alongside medical treatment to help manage symptoms and potentially reduce disease progression. However, limitations such as reliance on secondary data and the inability to prove direct causation should be considered when interpreting the findings.</w:t>
      </w:r>
    </w:p>
    <w:p w14:paraId="2B9913EF" w14:textId="5781C0CC" w:rsidR="00BF4F15" w:rsidRPr="00F22618" w:rsidRDefault="00243223" w:rsidP="00A65014">
      <w:pPr>
        <w:pStyle w:val="NormalWeb"/>
        <w:spacing w:line="360" w:lineRule="auto"/>
        <w:jc w:val="both"/>
        <w:rPr>
          <w:rFonts w:ascii="Arial" w:hAnsi="Arial" w:cs="Arial"/>
        </w:rPr>
      </w:pPr>
      <w:r w:rsidRPr="004224A4">
        <w:rPr>
          <w:rFonts w:ascii="Arial" w:hAnsi="Arial" w:cs="Arial"/>
        </w:rPr>
        <w:t>Overall, nutrition is an important and practical approach to supporting adults with autoimmune diseases, and further research, particularly primary studies, is needed to strengthen the evidence and guide more specific dietary recommendations.</w:t>
      </w:r>
    </w:p>
    <w:p w14:paraId="1CCD3D18" w14:textId="0BD03030" w:rsidR="00293C0A" w:rsidRPr="0011479A" w:rsidRDefault="00FB78A0" w:rsidP="008E47F7">
      <w:pPr>
        <w:pStyle w:val="Heading1"/>
      </w:pPr>
      <w:bookmarkStart w:id="71" w:name="_Toc227244871"/>
      <w:bookmarkStart w:id="72" w:name="_Toc227244919"/>
      <w:bookmarkStart w:id="73" w:name="_Toc227310922"/>
      <w:r w:rsidRPr="0011479A">
        <w:t>7</w:t>
      </w:r>
      <w:r w:rsidR="00AA3011" w:rsidRPr="001F1D6B">
        <w:t>.</w:t>
      </w:r>
      <w:r w:rsidR="001F1D6B" w:rsidRPr="001F1D6B">
        <w:t>RECOMENDATIONS for</w:t>
      </w:r>
      <w:r w:rsidR="00293C0A" w:rsidRPr="001F1D6B">
        <w:t xml:space="preserve"> future policy and health and social care practice.</w:t>
      </w:r>
      <w:bookmarkEnd w:id="71"/>
      <w:bookmarkEnd w:id="72"/>
      <w:bookmarkEnd w:id="73"/>
    </w:p>
    <w:p w14:paraId="08AD7280" w14:textId="35A81DB3" w:rsidR="00293C0A" w:rsidRDefault="0097043A" w:rsidP="00516F63">
      <w:pPr>
        <w:spacing w:after="0" w:line="360" w:lineRule="auto"/>
        <w:jc w:val="both"/>
        <w:rPr>
          <w:rFonts w:ascii="Times New Roman" w:eastAsia="Times New Roman" w:hAnsi="Times New Roman" w:cs="Times New Roman"/>
          <w:kern w:val="0"/>
          <w:lang w:eastAsia="en-GB"/>
          <w14:ligatures w14:val="none"/>
        </w:rPr>
      </w:pPr>
      <w:r w:rsidRPr="0097043A">
        <w:rPr>
          <w:rFonts w:ascii="Arial" w:eastAsia="Times New Roman" w:hAnsi="Arial" w:cs="Arial"/>
          <w:kern w:val="0"/>
          <w:lang w:eastAsia="en-GB"/>
          <w14:ligatures w14:val="none"/>
        </w:rPr>
        <w:t xml:space="preserve">Healthcare professionals should include nutritional assessment and advice as part of standard care for adults with autoimmune diseases. </w:t>
      </w:r>
      <w:r w:rsidRPr="004224A4">
        <w:rPr>
          <w:rFonts w:ascii="Arial" w:eastAsia="Times New Roman" w:hAnsi="Arial" w:cs="Arial"/>
          <w:kern w:val="0"/>
          <w:lang w:eastAsia="en-GB"/>
          <w14:ligatures w14:val="none"/>
        </w:rPr>
        <w:t xml:space="preserve"> Dietitians should be more actively involved in </w:t>
      </w:r>
      <w:r w:rsidRPr="00F80BE4">
        <w:rPr>
          <w:rFonts w:ascii="Arial" w:eastAsia="Times New Roman" w:hAnsi="Arial" w:cs="Arial"/>
          <w:kern w:val="0"/>
          <w:lang w:eastAsia="en-GB"/>
          <w14:ligatures w14:val="none"/>
        </w:rPr>
        <w:t>multidisciplinary teams</w:t>
      </w:r>
      <w:r w:rsidRPr="004224A4">
        <w:rPr>
          <w:rFonts w:ascii="Arial" w:eastAsia="Times New Roman" w:hAnsi="Arial" w:cs="Arial"/>
          <w:kern w:val="0"/>
          <w:lang w:eastAsia="en-GB"/>
          <w14:ligatures w14:val="none"/>
        </w:rPr>
        <w:t xml:space="preserve"> to support personalised care</w:t>
      </w:r>
      <w:r w:rsidRPr="0097043A">
        <w:rPr>
          <w:rFonts w:ascii="Times New Roman" w:eastAsia="Times New Roman" w:hAnsi="Times New Roman" w:cs="Times New Roman"/>
          <w:kern w:val="0"/>
          <w:lang w:eastAsia="en-GB"/>
          <w14:ligatures w14:val="none"/>
        </w:rPr>
        <w:t>.</w:t>
      </w:r>
    </w:p>
    <w:p w14:paraId="40B01A11" w14:textId="77777777" w:rsidR="003479FD" w:rsidRDefault="007E708A" w:rsidP="003479FD">
      <w:pPr>
        <w:spacing w:after="0" w:line="360" w:lineRule="auto"/>
        <w:jc w:val="both"/>
        <w:rPr>
          <w:rFonts w:ascii="Arial" w:eastAsia="Times New Roman" w:hAnsi="Arial" w:cs="Arial"/>
          <w:kern w:val="0"/>
          <w:lang w:eastAsia="en-GB"/>
          <w14:ligatures w14:val="none"/>
        </w:rPr>
      </w:pPr>
      <w:r w:rsidRPr="007E708A">
        <w:rPr>
          <w:rFonts w:ascii="Arial" w:eastAsia="Times New Roman" w:hAnsi="Arial" w:cs="Arial"/>
          <w:kern w:val="0"/>
          <w:lang w:eastAsia="en-GB"/>
          <w14:ligatures w14:val="none"/>
        </w:rPr>
        <w:t>Governments and organisations such as NHS should create specific dietary</w:t>
      </w:r>
      <w:r w:rsidRPr="007E708A">
        <w:rPr>
          <w:rFonts w:ascii="Arial" w:eastAsia="Times New Roman" w:hAnsi="Arial" w:cs="Arial"/>
          <w:b/>
          <w:bCs/>
          <w:kern w:val="0"/>
          <w:lang w:eastAsia="en-GB"/>
          <w14:ligatures w14:val="none"/>
        </w:rPr>
        <w:t xml:space="preserve"> </w:t>
      </w:r>
      <w:r w:rsidRPr="007E708A">
        <w:rPr>
          <w:rFonts w:ascii="Arial" w:eastAsia="Times New Roman" w:hAnsi="Arial" w:cs="Arial"/>
          <w:kern w:val="0"/>
          <w:lang w:eastAsia="en-GB"/>
          <w14:ligatures w14:val="none"/>
        </w:rPr>
        <w:t>guidelines for autoimmune diseases. These guidelines should promote</w:t>
      </w:r>
      <w:r w:rsidR="0051271F" w:rsidRPr="00F80BE4">
        <w:rPr>
          <w:rFonts w:ascii="Arial" w:eastAsia="Times New Roman" w:hAnsi="Arial" w:cs="Arial"/>
          <w:kern w:val="0"/>
          <w:lang w:eastAsia="en-GB"/>
          <w14:ligatures w14:val="none"/>
        </w:rPr>
        <w:t xml:space="preserve"> a</w:t>
      </w:r>
      <w:r w:rsidRPr="007E708A">
        <w:rPr>
          <w:rFonts w:ascii="Arial" w:eastAsia="Times New Roman" w:hAnsi="Arial" w:cs="Arial"/>
          <w:kern w:val="0"/>
          <w:lang w:eastAsia="en-GB"/>
          <w14:ligatures w14:val="none"/>
        </w:rPr>
        <w:t xml:space="preserve">nti-inflammatory </w:t>
      </w:r>
      <w:r w:rsidR="003479FD" w:rsidRPr="007E708A">
        <w:rPr>
          <w:rFonts w:ascii="Arial" w:eastAsia="Times New Roman" w:hAnsi="Arial" w:cs="Arial"/>
          <w:kern w:val="0"/>
          <w:lang w:eastAsia="en-GB"/>
          <w14:ligatures w14:val="none"/>
        </w:rPr>
        <w:t>diets.</w:t>
      </w:r>
      <w:r w:rsidR="003479FD" w:rsidRPr="009175B8">
        <w:rPr>
          <w:rFonts w:ascii="Arial" w:eastAsia="Times New Roman" w:hAnsi="Arial" w:cs="Arial"/>
          <w:kern w:val="0"/>
          <w:lang w:eastAsia="en-GB"/>
          <w14:ligatures w14:val="none"/>
        </w:rPr>
        <w:t xml:space="preserve"> Health</w:t>
      </w:r>
      <w:r w:rsidR="009175B8" w:rsidRPr="009175B8">
        <w:rPr>
          <w:rFonts w:ascii="Arial" w:eastAsia="Times New Roman" w:hAnsi="Arial" w:cs="Arial"/>
          <w:kern w:val="0"/>
          <w:lang w:eastAsia="en-GB"/>
          <w14:ligatures w14:val="none"/>
        </w:rPr>
        <w:t xml:space="preserve"> and social care professionals should receive better training in nutrition and autoimmune conditions. Public health campaigns should raise awareness about</w:t>
      </w:r>
      <w:r w:rsidR="00EE1BDF" w:rsidRPr="00F80BE4">
        <w:rPr>
          <w:rFonts w:ascii="Arial" w:eastAsia="Times New Roman" w:hAnsi="Arial" w:cs="Arial"/>
          <w:kern w:val="0"/>
          <w:lang w:eastAsia="en-GB"/>
          <w14:ligatures w14:val="none"/>
        </w:rPr>
        <w:t xml:space="preserve"> t</w:t>
      </w:r>
      <w:r w:rsidR="009175B8" w:rsidRPr="009175B8">
        <w:rPr>
          <w:rFonts w:ascii="Arial" w:eastAsia="Times New Roman" w:hAnsi="Arial" w:cs="Arial"/>
          <w:kern w:val="0"/>
          <w:lang w:eastAsia="en-GB"/>
          <w14:ligatures w14:val="none"/>
        </w:rPr>
        <w:t>he link between diet and immune health</w:t>
      </w:r>
      <w:r w:rsidR="00693F95" w:rsidRPr="00F80BE4">
        <w:rPr>
          <w:rFonts w:ascii="Arial" w:eastAsia="Times New Roman" w:hAnsi="Arial" w:cs="Arial"/>
          <w:kern w:val="0"/>
          <w:lang w:eastAsia="en-GB"/>
          <w14:ligatures w14:val="none"/>
        </w:rPr>
        <w:t>.</w:t>
      </w:r>
    </w:p>
    <w:p w14:paraId="5F1C9E37" w14:textId="77777777" w:rsidR="003479FD" w:rsidRDefault="00693F95" w:rsidP="003479FD">
      <w:pPr>
        <w:spacing w:after="0" w:line="360" w:lineRule="auto"/>
        <w:jc w:val="both"/>
        <w:rPr>
          <w:rFonts w:ascii="Arial" w:hAnsi="Arial" w:cs="Arial"/>
        </w:rPr>
      </w:pPr>
      <w:r w:rsidRPr="00693F95">
        <w:rPr>
          <w:rFonts w:ascii="Arial" w:hAnsi="Arial" w:cs="Arial"/>
        </w:rPr>
        <w:t>Nutritional advice should be tailored to individual needs, considering</w:t>
      </w:r>
      <w:r w:rsidRPr="00F80BE4">
        <w:rPr>
          <w:rFonts w:ascii="Arial" w:hAnsi="Arial" w:cs="Arial"/>
        </w:rPr>
        <w:t xml:space="preserve"> t</w:t>
      </w:r>
      <w:r w:rsidRPr="00693F95">
        <w:rPr>
          <w:rFonts w:ascii="Arial" w:hAnsi="Arial" w:cs="Arial"/>
        </w:rPr>
        <w:t xml:space="preserve">ype of autoimmune disease </w:t>
      </w:r>
      <w:r w:rsidRPr="00F80BE4">
        <w:rPr>
          <w:rFonts w:ascii="Arial" w:hAnsi="Arial" w:cs="Arial"/>
        </w:rPr>
        <w:t xml:space="preserve">and </w:t>
      </w:r>
      <w:r w:rsidR="00B32D35" w:rsidRPr="00F80BE4">
        <w:rPr>
          <w:rFonts w:ascii="Arial" w:hAnsi="Arial" w:cs="Arial"/>
        </w:rPr>
        <w:t>l</w:t>
      </w:r>
      <w:r w:rsidRPr="00693F95">
        <w:rPr>
          <w:rFonts w:ascii="Arial" w:hAnsi="Arial" w:cs="Arial"/>
        </w:rPr>
        <w:t xml:space="preserve">ifestyle and cultural </w:t>
      </w:r>
      <w:r w:rsidR="00F80BE4" w:rsidRPr="00693F95">
        <w:rPr>
          <w:rFonts w:ascii="Arial" w:hAnsi="Arial" w:cs="Arial"/>
        </w:rPr>
        <w:t>factors. This</w:t>
      </w:r>
      <w:r w:rsidRPr="00F80BE4">
        <w:rPr>
          <w:rFonts w:ascii="Arial" w:hAnsi="Arial" w:cs="Arial"/>
        </w:rPr>
        <w:t xml:space="preserve"> can improve patient outcomes and adherence to dietary changes.</w:t>
      </w:r>
      <w:r w:rsidR="00E443EC" w:rsidRPr="00F80BE4">
        <w:rPr>
          <w:rFonts w:ascii="Arial" w:hAnsi="Arial" w:cs="Arial"/>
        </w:rPr>
        <w:t xml:space="preserve"> Policies should aim to make </w:t>
      </w:r>
      <w:r w:rsidR="00E443EC" w:rsidRPr="00F80BE4">
        <w:rPr>
          <w:rStyle w:val="Strong"/>
          <w:rFonts w:ascii="Arial" w:eastAsiaTheme="majorEastAsia" w:hAnsi="Arial" w:cs="Arial"/>
          <w:b w:val="0"/>
          <w:bCs w:val="0"/>
        </w:rPr>
        <w:t>healthy, nutritious food more affordable and accessible</w:t>
      </w:r>
      <w:r w:rsidR="00E443EC" w:rsidRPr="00F80BE4">
        <w:rPr>
          <w:rFonts w:ascii="Arial" w:hAnsi="Arial" w:cs="Arial"/>
        </w:rPr>
        <w:t>, especially for vulnerable groups. Implementing these recommendations could improve the management of autoimmune diseases in adults by recognising nutrition as a key component of health and social care practice.</w:t>
      </w:r>
      <w:r w:rsidR="008D07FC" w:rsidRPr="00F80BE4">
        <w:rPr>
          <w:rFonts w:ascii="Arial" w:hAnsi="Arial" w:cs="Arial"/>
        </w:rPr>
        <w:t xml:space="preserve"> Based on these findings, several recommendations can be made for </w:t>
      </w:r>
      <w:r w:rsidR="008D07FC" w:rsidRPr="00F80BE4">
        <w:rPr>
          <w:rFonts w:ascii="Arial" w:hAnsi="Arial" w:cs="Arial"/>
        </w:rPr>
        <w:lastRenderedPageBreak/>
        <w:t xml:space="preserve">future policy and health and social care practice. Firstly, nutrition should be integrated into routine healthcare for individuals with autoimmune diseases, with greater involvement of dietitians in multidisciplinary teams. Secondly, organisations such as the </w:t>
      </w:r>
      <w:r w:rsidR="008D07FC" w:rsidRPr="00F80BE4">
        <w:rPr>
          <w:rStyle w:val="whitespace-normal"/>
          <w:rFonts w:ascii="Arial" w:eastAsiaTheme="majorEastAsia" w:hAnsi="Arial" w:cs="Arial"/>
        </w:rPr>
        <w:t>NHS</w:t>
      </w:r>
      <w:r w:rsidR="008D07FC" w:rsidRPr="00F80BE4">
        <w:rPr>
          <w:rFonts w:ascii="Arial" w:hAnsi="Arial" w:cs="Arial"/>
        </w:rPr>
        <w:t xml:space="preserve"> should develop clear, evidence-based dietary guidelines specifically for autoimmune conditions, promoting anti-inflammatory diets and reduced consumption of ultra-processed foods.</w:t>
      </w:r>
    </w:p>
    <w:p w14:paraId="4A857485" w14:textId="51A91878" w:rsidR="00517EA4" w:rsidRPr="003479FD" w:rsidRDefault="008D07FC" w:rsidP="003479FD">
      <w:pPr>
        <w:spacing w:after="0" w:line="360" w:lineRule="auto"/>
        <w:jc w:val="both"/>
        <w:rPr>
          <w:rFonts w:ascii="Arial" w:eastAsia="Times New Roman" w:hAnsi="Arial" w:cs="Arial"/>
          <w:kern w:val="0"/>
          <w:lang w:eastAsia="en-GB"/>
          <w14:ligatures w14:val="none"/>
        </w:rPr>
      </w:pPr>
      <w:r w:rsidRPr="00611094">
        <w:rPr>
          <w:rFonts w:ascii="Arial" w:hAnsi="Arial" w:cs="Arial"/>
        </w:rPr>
        <w:t>In addition, there is a need for improved education and training for health and social care professionals to ensure they can provide effective nutritional advice. Public health initiatives should also raise awareness of the relationship between diet and immune health. Furthermore, more UK-based primary research is required to strengthen the evidence base and identify the most effective dietary interventions. Finally, policies should promote access to affordable, healthy food and encourage personalised approaches to care, ensuring that dietary advice is tailored to individual needs.</w:t>
      </w:r>
      <w:r w:rsidR="005A6E46">
        <w:rPr>
          <w:rFonts w:ascii="Arial" w:hAnsi="Arial" w:cs="Arial"/>
        </w:rPr>
        <w:t xml:space="preserve"> </w:t>
      </w:r>
      <w:r w:rsidRPr="00611094">
        <w:rPr>
          <w:rFonts w:ascii="Arial" w:hAnsi="Arial" w:cs="Arial"/>
        </w:rPr>
        <w:t>Overall, recognising nutrition as a central component of healthcare practice has the potential to significantly improve outcomes for adults living with autoimmune diseases.</w:t>
      </w:r>
    </w:p>
    <w:p w14:paraId="06379350" w14:textId="69297132" w:rsidR="00293C0A" w:rsidRPr="00517EA4" w:rsidRDefault="00293C0A" w:rsidP="008E47F7">
      <w:pPr>
        <w:pStyle w:val="Heading1"/>
      </w:pPr>
      <w:bookmarkStart w:id="74" w:name="_Toc227244872"/>
      <w:bookmarkStart w:id="75" w:name="_Toc227244920"/>
      <w:bookmarkStart w:id="76" w:name="_Toc227310923"/>
      <w:r w:rsidRPr="00517EA4">
        <w:t>R</w:t>
      </w:r>
      <w:r w:rsidR="00DE2DDB">
        <w:t>EFERENCES</w:t>
      </w:r>
      <w:bookmarkEnd w:id="74"/>
      <w:bookmarkEnd w:id="75"/>
      <w:bookmarkEnd w:id="76"/>
    </w:p>
    <w:p w14:paraId="33D3FDC9" w14:textId="7648CB4E" w:rsidR="0020785D" w:rsidRDefault="0020785D" w:rsidP="00517EA4">
      <w:pPr>
        <w:pStyle w:val="Heading3"/>
      </w:pPr>
    </w:p>
    <w:p w14:paraId="2CDDFC0A" w14:textId="77777777" w:rsidR="00943B60" w:rsidRPr="008E47F7" w:rsidRDefault="00943B60" w:rsidP="00943B60">
      <w:pPr>
        <w:pStyle w:val="NormalWeb"/>
        <w:rPr>
          <w:rFonts w:ascii="Arial" w:hAnsi="Arial" w:cs="Arial"/>
          <w:sz w:val="22"/>
          <w:szCs w:val="22"/>
        </w:rPr>
      </w:pPr>
      <w:r w:rsidRPr="008E47F7">
        <w:rPr>
          <w:rFonts w:ascii="Arial" w:hAnsi="Arial" w:cs="Arial"/>
          <w:sz w:val="22"/>
          <w:szCs w:val="22"/>
        </w:rPr>
        <w:t>Arksey, H. and O’Malley, L. (2005) ‘</w:t>
      </w:r>
      <w:r w:rsidRPr="00046204">
        <w:rPr>
          <w:rFonts w:ascii="Arial" w:hAnsi="Arial" w:cs="Arial"/>
          <w:i/>
          <w:iCs/>
          <w:sz w:val="22"/>
          <w:szCs w:val="22"/>
        </w:rPr>
        <w:t xml:space="preserve">Scoping studies: towards a methodological framework’, </w:t>
      </w:r>
      <w:r w:rsidRPr="00046204">
        <w:rPr>
          <w:rStyle w:val="Emphasis"/>
          <w:rFonts w:ascii="Arial" w:eastAsiaTheme="majorEastAsia" w:hAnsi="Arial" w:cs="Arial"/>
          <w:sz w:val="22"/>
          <w:szCs w:val="22"/>
        </w:rPr>
        <w:t xml:space="preserve">International </w:t>
      </w:r>
      <w:r w:rsidRPr="008E47F7">
        <w:rPr>
          <w:rStyle w:val="Emphasis"/>
          <w:rFonts w:ascii="Arial" w:eastAsiaTheme="majorEastAsia" w:hAnsi="Arial" w:cs="Arial"/>
          <w:sz w:val="22"/>
          <w:szCs w:val="22"/>
        </w:rPr>
        <w:t>Journal of Social Research Methodology</w:t>
      </w:r>
      <w:r w:rsidRPr="008E47F7">
        <w:rPr>
          <w:rFonts w:ascii="Arial" w:hAnsi="Arial" w:cs="Arial"/>
          <w:sz w:val="22"/>
          <w:szCs w:val="22"/>
        </w:rPr>
        <w:t xml:space="preserve">, 8(1), pp. 19–32.Available at: </w:t>
      </w:r>
      <w:hyperlink r:id="rId10" w:history="1">
        <w:r w:rsidRPr="008E47F7">
          <w:rPr>
            <w:rStyle w:val="Hyperlink"/>
            <w:rFonts w:ascii="Arial" w:hAnsi="Arial" w:cs="Arial"/>
            <w:sz w:val="22"/>
            <w:szCs w:val="22"/>
          </w:rPr>
          <w:t>https://eprints.whiterose.ac.uk/</w:t>
        </w:r>
      </w:hyperlink>
      <w:r w:rsidRPr="008E47F7">
        <w:rPr>
          <w:rFonts w:ascii="Arial" w:hAnsi="Arial" w:cs="Arial"/>
          <w:sz w:val="22"/>
          <w:szCs w:val="22"/>
        </w:rPr>
        <w:t xml:space="preserve"> (Accessed:13April2026)</w:t>
      </w:r>
    </w:p>
    <w:p w14:paraId="66BBD39F" w14:textId="77777777" w:rsidR="0020785D" w:rsidRPr="00046204" w:rsidRDefault="0020785D" w:rsidP="0020785D">
      <w:pPr>
        <w:shd w:val="clear" w:color="auto" w:fill="FFFFFF"/>
        <w:spacing w:after="0" w:line="240" w:lineRule="auto"/>
        <w:rPr>
          <w:rFonts w:ascii="Arial" w:eastAsia="Times New Roman" w:hAnsi="Arial" w:cs="Arial"/>
          <w:kern w:val="0"/>
          <w:sz w:val="22"/>
          <w:szCs w:val="22"/>
          <w:lang w:eastAsia="en-GB"/>
          <w14:ligatures w14:val="none"/>
        </w:rPr>
      </w:pPr>
      <w:r w:rsidRPr="00046204">
        <w:rPr>
          <w:rFonts w:ascii="Arial" w:eastAsia="Times New Roman" w:hAnsi="Arial" w:cs="Arial"/>
          <w:kern w:val="0"/>
          <w:sz w:val="22"/>
          <w:szCs w:val="22"/>
          <w:lang w:eastAsia="en-GB"/>
          <w14:ligatures w14:val="none"/>
        </w:rPr>
        <w:t>Bhaskaran, K ∙ Dos-Santos-Silva, I ∙ Leon, DA ∙ et al.</w:t>
      </w:r>
    </w:p>
    <w:p w14:paraId="521F9787" w14:textId="77777777" w:rsidR="006C78D0" w:rsidRDefault="0020785D" w:rsidP="0020785D">
      <w:pPr>
        <w:shd w:val="clear" w:color="auto" w:fill="FFFFFF"/>
        <w:spacing w:after="0" w:line="240" w:lineRule="auto"/>
        <w:rPr>
          <w:rFonts w:ascii="Arial" w:eastAsia="Times New Roman" w:hAnsi="Arial" w:cs="Arial"/>
          <w:i/>
          <w:iCs/>
          <w:kern w:val="0"/>
          <w:sz w:val="22"/>
          <w:szCs w:val="22"/>
          <w:lang w:eastAsia="en-GB"/>
          <w14:ligatures w14:val="none"/>
        </w:rPr>
      </w:pPr>
      <w:r w:rsidRPr="00943B60">
        <w:rPr>
          <w:rFonts w:ascii="Arial" w:eastAsia="Times New Roman" w:hAnsi="Arial" w:cs="Arial"/>
          <w:i/>
          <w:iCs/>
          <w:kern w:val="0"/>
          <w:sz w:val="22"/>
          <w:szCs w:val="22"/>
          <w:lang w:eastAsia="en-GB"/>
          <w14:ligatures w14:val="none"/>
        </w:rPr>
        <w:t xml:space="preserve">Association of BMI with overall and cause-specific mortality: a population-based cohort study of 3·6 million adults in the UK Lancet Diabetes Endocrinol. 2018; 6:944-953 </w:t>
      </w:r>
    </w:p>
    <w:p w14:paraId="5F53951B" w14:textId="77777777" w:rsidR="006C78D0" w:rsidRDefault="0020785D" w:rsidP="006C78D0">
      <w:pPr>
        <w:shd w:val="clear" w:color="auto" w:fill="FFFFFF"/>
        <w:spacing w:after="0" w:line="240" w:lineRule="auto"/>
        <w:rPr>
          <w:rFonts w:ascii="Arial" w:eastAsia="Times New Roman" w:hAnsi="Arial" w:cs="Arial"/>
          <w:i/>
          <w:iCs/>
          <w:kern w:val="0"/>
          <w:sz w:val="22"/>
          <w:szCs w:val="22"/>
          <w:lang w:eastAsia="en-GB"/>
          <w14:ligatures w14:val="none"/>
        </w:rPr>
      </w:pPr>
      <w:r w:rsidRPr="00943B60">
        <w:rPr>
          <w:rFonts w:ascii="Arial" w:eastAsia="Times New Roman" w:hAnsi="Arial" w:cs="Arial"/>
          <w:i/>
          <w:iCs/>
          <w:kern w:val="0"/>
          <w:sz w:val="22"/>
          <w:szCs w:val="22"/>
          <w:lang w:eastAsia="en-GB"/>
          <w14:ligatures w14:val="none"/>
        </w:rPr>
        <w:t xml:space="preserve"> </w:t>
      </w:r>
    </w:p>
    <w:p w14:paraId="2104FC19" w14:textId="0E0134CF" w:rsidR="006C78D0" w:rsidRPr="006C78D0" w:rsidRDefault="006C78D0" w:rsidP="006C78D0">
      <w:pPr>
        <w:shd w:val="clear" w:color="auto" w:fill="FFFFFF"/>
        <w:spacing w:after="0" w:line="240" w:lineRule="auto"/>
        <w:rPr>
          <w:rFonts w:ascii="Arial" w:eastAsia="Times New Roman" w:hAnsi="Arial" w:cs="Arial"/>
          <w:i/>
          <w:iCs/>
          <w:kern w:val="0"/>
          <w:sz w:val="22"/>
          <w:szCs w:val="22"/>
          <w:lang w:eastAsia="en-GB"/>
          <w14:ligatures w14:val="none"/>
        </w:rPr>
      </w:pPr>
      <w:r w:rsidRPr="006F603C">
        <w:rPr>
          <w:rFonts w:ascii="Arial" w:hAnsi="Arial" w:cs="Arial"/>
          <w:sz w:val="22"/>
          <w:szCs w:val="22"/>
        </w:rPr>
        <w:t>Calder, P.C. (2020)</w:t>
      </w:r>
      <w:r w:rsidRPr="006C78D0">
        <w:rPr>
          <w:rFonts w:ascii="Arial" w:hAnsi="Arial" w:cs="Arial"/>
          <w:i/>
          <w:iCs/>
          <w:sz w:val="22"/>
          <w:szCs w:val="22"/>
        </w:rPr>
        <w:t xml:space="preserve"> ‘Omega-3 fatty acids and inflammatory processes’, </w:t>
      </w:r>
      <w:r w:rsidRPr="006C78D0">
        <w:rPr>
          <w:rStyle w:val="Emphasis"/>
          <w:rFonts w:ascii="Arial" w:hAnsi="Arial" w:cs="Arial"/>
          <w:i w:val="0"/>
          <w:iCs w:val="0"/>
          <w:sz w:val="22"/>
          <w:szCs w:val="22"/>
        </w:rPr>
        <w:t>Nutrients</w:t>
      </w:r>
      <w:r w:rsidRPr="006C78D0">
        <w:rPr>
          <w:rFonts w:ascii="Arial" w:hAnsi="Arial" w:cs="Arial"/>
          <w:i/>
          <w:iCs/>
          <w:sz w:val="22"/>
          <w:szCs w:val="22"/>
        </w:rPr>
        <w:t xml:space="preserve">, 12(2), pp. 1–18.Available at: </w:t>
      </w:r>
      <w:hyperlink r:id="rId11" w:history="1">
        <w:r w:rsidRPr="006C78D0">
          <w:rPr>
            <w:rStyle w:val="Hyperlink"/>
            <w:rFonts w:ascii="Arial" w:hAnsi="Arial" w:cs="Arial"/>
            <w:i/>
            <w:iCs/>
            <w:sz w:val="22"/>
            <w:szCs w:val="22"/>
          </w:rPr>
          <w:t>https://www.bing.com/search?q=calder%2C+p.c.+(2020)+%E2%80%98omega-3+fatty+acids+and+inflammatory+processes%E2%80%99%2C+nutrients%2C+12(2)%2C+pp.+1%E2%80%9318.&amp;gs_lcrp=Eg</w:t>
        </w:r>
      </w:hyperlink>
      <w:r w:rsidRPr="006C78D0">
        <w:rPr>
          <w:rFonts w:ascii="Arial" w:hAnsi="Arial" w:cs="Arial"/>
          <w:i/>
          <w:iCs/>
          <w:sz w:val="22"/>
          <w:szCs w:val="22"/>
        </w:rPr>
        <w:t xml:space="preserve"> (</w:t>
      </w:r>
      <w:r w:rsidRPr="009B4EEC">
        <w:rPr>
          <w:rFonts w:ascii="Arial" w:hAnsi="Arial" w:cs="Arial"/>
          <w:sz w:val="22"/>
          <w:szCs w:val="22"/>
        </w:rPr>
        <w:t>Accessed :13April2026)</w:t>
      </w:r>
    </w:p>
    <w:p w14:paraId="564606AF" w14:textId="77777777" w:rsidR="002A334A" w:rsidRPr="002A334A" w:rsidRDefault="002A334A" w:rsidP="002A334A">
      <w:pPr>
        <w:pStyle w:val="NormalWeb"/>
        <w:rPr>
          <w:rFonts w:ascii="Arial" w:hAnsi="Arial" w:cs="Arial"/>
          <w:i/>
          <w:iCs/>
          <w:sz w:val="22"/>
          <w:szCs w:val="22"/>
        </w:rPr>
      </w:pPr>
      <w:r w:rsidRPr="00565306">
        <w:rPr>
          <w:rFonts w:ascii="Arial" w:hAnsi="Arial" w:cs="Arial"/>
          <w:sz w:val="22"/>
          <w:szCs w:val="22"/>
        </w:rPr>
        <w:t>Cooper, G.S., Bynum, M.L.K. and Somers, E.C. (2009</w:t>
      </w:r>
      <w:r w:rsidRPr="002A334A">
        <w:rPr>
          <w:rFonts w:ascii="Arial" w:hAnsi="Arial" w:cs="Arial"/>
          <w:i/>
          <w:iCs/>
          <w:sz w:val="22"/>
          <w:szCs w:val="22"/>
        </w:rPr>
        <w:t xml:space="preserve">) ‘Recent insights in the epidemiology of autoimmune diseases’, </w:t>
      </w:r>
      <w:r w:rsidRPr="002A334A">
        <w:rPr>
          <w:rStyle w:val="Emphasis"/>
          <w:rFonts w:ascii="Arial" w:eastAsiaTheme="majorEastAsia" w:hAnsi="Arial" w:cs="Arial"/>
          <w:i w:val="0"/>
          <w:iCs w:val="0"/>
          <w:sz w:val="22"/>
          <w:szCs w:val="22"/>
        </w:rPr>
        <w:t>Journal of Autoimmunity</w:t>
      </w:r>
      <w:r w:rsidRPr="002A334A">
        <w:rPr>
          <w:rFonts w:ascii="Arial" w:hAnsi="Arial" w:cs="Arial"/>
          <w:i/>
          <w:iCs/>
          <w:sz w:val="22"/>
          <w:szCs w:val="22"/>
        </w:rPr>
        <w:t>, 33(3–4), pp. 197–207.</w:t>
      </w:r>
      <w:r w:rsidRPr="00565306">
        <w:rPr>
          <w:rFonts w:ascii="Arial" w:hAnsi="Arial" w:cs="Arial"/>
          <w:sz w:val="22"/>
          <w:szCs w:val="22"/>
        </w:rPr>
        <w:t>Available at</w:t>
      </w:r>
      <w:r w:rsidRPr="002A334A">
        <w:rPr>
          <w:rFonts w:ascii="Arial" w:hAnsi="Arial" w:cs="Arial"/>
          <w:i/>
          <w:iCs/>
          <w:sz w:val="22"/>
          <w:szCs w:val="22"/>
        </w:rPr>
        <w:t xml:space="preserve">: </w:t>
      </w:r>
      <w:hyperlink r:id="rId12" w:history="1">
        <w:r w:rsidRPr="002A334A">
          <w:rPr>
            <w:rStyle w:val="Hyperlink"/>
            <w:rFonts w:ascii="Arial" w:hAnsi="Arial" w:cs="Arial"/>
            <w:i/>
            <w:iCs/>
            <w:sz w:val="22"/>
            <w:szCs w:val="22"/>
          </w:rPr>
          <w:t>https://pubmed.ncbi.nlm.nih.gov/</w:t>
        </w:r>
      </w:hyperlink>
      <w:r w:rsidRPr="002A334A">
        <w:rPr>
          <w:rFonts w:ascii="Arial" w:hAnsi="Arial" w:cs="Arial"/>
          <w:i/>
          <w:iCs/>
          <w:sz w:val="22"/>
          <w:szCs w:val="22"/>
        </w:rPr>
        <w:t xml:space="preserve"> (</w:t>
      </w:r>
      <w:r w:rsidRPr="00565306">
        <w:rPr>
          <w:rFonts w:ascii="Arial" w:hAnsi="Arial" w:cs="Arial"/>
          <w:sz w:val="22"/>
          <w:szCs w:val="22"/>
        </w:rPr>
        <w:t>Accessed:13April2026)</w:t>
      </w:r>
    </w:p>
    <w:p w14:paraId="1CFDF8FF" w14:textId="12A06FDD" w:rsidR="002A334A" w:rsidRDefault="00A55968" w:rsidP="0020785D">
      <w:pPr>
        <w:shd w:val="clear" w:color="auto" w:fill="FFFFFF"/>
        <w:spacing w:after="0" w:line="240" w:lineRule="auto"/>
        <w:rPr>
          <w:rFonts w:ascii="Arial" w:eastAsia="Times New Roman" w:hAnsi="Arial" w:cs="Arial"/>
          <w:i/>
          <w:iCs/>
          <w:kern w:val="0"/>
          <w:sz w:val="22"/>
          <w:szCs w:val="22"/>
          <w:lang w:eastAsia="en-GB"/>
          <w14:ligatures w14:val="none"/>
        </w:rPr>
      </w:pPr>
      <w:proofErr w:type="spellStart"/>
      <w:r>
        <w:rPr>
          <w:rFonts w:ascii="Verdana" w:hAnsi="Verdana"/>
          <w:color w:val="232323"/>
          <w:sz w:val="21"/>
          <w:szCs w:val="21"/>
          <w:shd w:val="clear" w:color="auto" w:fill="FFFFFF"/>
        </w:rPr>
        <w:t>Croca</w:t>
      </w:r>
      <w:proofErr w:type="spellEnd"/>
      <w:r>
        <w:rPr>
          <w:rFonts w:ascii="Verdana" w:hAnsi="Verdana"/>
          <w:color w:val="232323"/>
          <w:sz w:val="21"/>
          <w:szCs w:val="21"/>
          <w:shd w:val="clear" w:color="auto" w:fill="FFFFFF"/>
        </w:rPr>
        <w:t xml:space="preserve">, S. and Rahman, A. (2017) </w:t>
      </w:r>
      <w:r w:rsidRPr="00565306">
        <w:rPr>
          <w:rFonts w:ascii="Verdana" w:hAnsi="Verdana"/>
          <w:i/>
          <w:iCs/>
          <w:color w:val="232323"/>
          <w:sz w:val="21"/>
          <w:szCs w:val="21"/>
          <w:shd w:val="clear" w:color="auto" w:fill="FFFFFF"/>
        </w:rPr>
        <w:t>Atherosclerosis in Systemic Lupus Erythematosus. Best Practice &amp; Research: Clinical Rheumatology, 31</w:t>
      </w:r>
      <w:r>
        <w:rPr>
          <w:rFonts w:ascii="Verdana" w:hAnsi="Verdana"/>
          <w:color w:val="232323"/>
          <w:sz w:val="21"/>
          <w:szCs w:val="21"/>
          <w:shd w:val="clear" w:color="auto" w:fill="FFFFFF"/>
        </w:rPr>
        <w:t>, 364</w:t>
      </w:r>
      <w:r w:rsidR="00964086">
        <w:rPr>
          <w:rFonts w:ascii="Verdana" w:hAnsi="Verdana"/>
          <w:color w:val="232323"/>
          <w:sz w:val="21"/>
          <w:szCs w:val="21"/>
          <w:shd w:val="clear" w:color="auto" w:fill="FFFFFF"/>
        </w:rPr>
        <w:t>.Available at:</w:t>
      </w:r>
      <w:r w:rsidR="00964086" w:rsidRPr="00346BD7">
        <w:rPr>
          <w:rFonts w:ascii="Verdana" w:hAnsi="Verdana"/>
          <w:color w:val="232323"/>
          <w:sz w:val="21"/>
          <w:szCs w:val="21"/>
          <w:shd w:val="clear" w:color="auto" w:fill="FFFFFF"/>
        </w:rPr>
        <w:t xml:space="preserve"> </w:t>
      </w:r>
      <w:hyperlink r:id="rId13" w:history="1">
        <w:r w:rsidR="004C5D6E" w:rsidRPr="0053395D">
          <w:rPr>
            <w:rStyle w:val="Hyperlink"/>
            <w:rFonts w:ascii="Verdana" w:hAnsi="Verdana"/>
            <w:sz w:val="21"/>
            <w:szCs w:val="21"/>
            <w:shd w:val="clear" w:color="auto" w:fill="FFFFFF"/>
          </w:rPr>
          <w:t>https://www.scirp.org</w:t>
        </w:r>
      </w:hyperlink>
      <w:r w:rsidR="00964086">
        <w:rPr>
          <w:rFonts w:ascii="Verdana" w:hAnsi="Verdana"/>
          <w:color w:val="232323"/>
          <w:sz w:val="21"/>
          <w:szCs w:val="21"/>
          <w:shd w:val="clear" w:color="auto" w:fill="FFFFFF"/>
        </w:rPr>
        <w:t>.</w:t>
      </w:r>
      <w:r w:rsidR="004C5D6E">
        <w:rPr>
          <w:rFonts w:ascii="Verdana" w:hAnsi="Verdana"/>
          <w:color w:val="232323"/>
          <w:sz w:val="21"/>
          <w:szCs w:val="21"/>
          <w:shd w:val="clear" w:color="auto" w:fill="FFFFFF"/>
        </w:rPr>
        <w:t xml:space="preserve"> </w:t>
      </w:r>
      <w:r w:rsidR="00964086">
        <w:rPr>
          <w:rFonts w:ascii="Verdana" w:hAnsi="Verdana"/>
          <w:color w:val="232323"/>
          <w:sz w:val="21"/>
          <w:szCs w:val="21"/>
          <w:shd w:val="clear" w:color="auto" w:fill="FFFFFF"/>
        </w:rPr>
        <w:t>(Accessed:10April2026)</w:t>
      </w:r>
    </w:p>
    <w:p w14:paraId="216B9B9B" w14:textId="77777777" w:rsidR="00A55968" w:rsidRDefault="00A55968" w:rsidP="0020785D">
      <w:pPr>
        <w:shd w:val="clear" w:color="auto" w:fill="FFFFFF"/>
        <w:spacing w:after="0" w:line="240" w:lineRule="auto"/>
        <w:rPr>
          <w:rFonts w:ascii="Arial" w:eastAsia="Times New Roman" w:hAnsi="Arial" w:cs="Arial"/>
          <w:i/>
          <w:iCs/>
          <w:kern w:val="0"/>
          <w:sz w:val="22"/>
          <w:szCs w:val="22"/>
          <w:lang w:eastAsia="en-GB"/>
          <w14:ligatures w14:val="none"/>
        </w:rPr>
      </w:pPr>
    </w:p>
    <w:p w14:paraId="16CBF575" w14:textId="7D40E5DB" w:rsidR="0020785D" w:rsidRPr="006C78D0" w:rsidRDefault="0020785D" w:rsidP="0020785D">
      <w:pPr>
        <w:shd w:val="clear" w:color="auto" w:fill="FFFFFF"/>
        <w:spacing w:after="0" w:line="240" w:lineRule="auto"/>
        <w:rPr>
          <w:rFonts w:ascii="Arial" w:eastAsia="Times New Roman" w:hAnsi="Arial" w:cs="Arial"/>
          <w:i/>
          <w:iCs/>
          <w:kern w:val="0"/>
          <w:sz w:val="22"/>
          <w:szCs w:val="22"/>
          <w:lang w:eastAsia="en-GB"/>
          <w14:ligatures w14:val="none"/>
        </w:rPr>
      </w:pPr>
    </w:p>
    <w:p w14:paraId="366A4110" w14:textId="1A98818D" w:rsidR="0020785D" w:rsidRPr="00BB44E7" w:rsidRDefault="0020785D" w:rsidP="0020785D">
      <w:pPr>
        <w:rPr>
          <w:rFonts w:ascii="Arial" w:hAnsi="Arial" w:cs="Arial"/>
          <w:color w:val="EE0000"/>
          <w:sz w:val="22"/>
          <w:szCs w:val="22"/>
        </w:rPr>
      </w:pPr>
      <w:r w:rsidRPr="00BB44E7">
        <w:rPr>
          <w:rFonts w:ascii="Arial" w:hAnsi="Arial" w:cs="Arial"/>
          <w:sz w:val="22"/>
          <w:szCs w:val="22"/>
        </w:rPr>
        <w:lastRenderedPageBreak/>
        <w:t xml:space="preserve">Data Protection Act 2018, c. 12. Available at: </w:t>
      </w:r>
      <w:hyperlink r:id="rId14" w:tgtFrame="_new" w:history="1">
        <w:r w:rsidRPr="00BB44E7">
          <w:rPr>
            <w:rStyle w:val="Hyperlink"/>
            <w:rFonts w:ascii="Arial" w:hAnsi="Arial" w:cs="Arial"/>
            <w:color w:val="auto"/>
            <w:sz w:val="22"/>
            <w:szCs w:val="22"/>
          </w:rPr>
          <w:t>https://www.legislation.gov.uk/ukpga/2018/12/contents</w:t>
        </w:r>
      </w:hyperlink>
      <w:r w:rsidR="00753115">
        <w:rPr>
          <w:rFonts w:ascii="Arial" w:hAnsi="Arial" w:cs="Arial"/>
          <w:sz w:val="22"/>
          <w:szCs w:val="22"/>
        </w:rPr>
        <w:t>.</w:t>
      </w:r>
      <w:r w:rsidRPr="00BB44E7">
        <w:rPr>
          <w:rFonts w:ascii="Arial" w:hAnsi="Arial" w:cs="Arial"/>
          <w:sz w:val="22"/>
          <w:szCs w:val="22"/>
        </w:rPr>
        <w:t>(Accessed: 26 February 2026</w:t>
      </w:r>
      <w:r w:rsidR="00BB44E7" w:rsidRPr="00BB44E7">
        <w:rPr>
          <w:rFonts w:ascii="Arial" w:hAnsi="Arial" w:cs="Arial"/>
          <w:sz w:val="22"/>
          <w:szCs w:val="22"/>
        </w:rPr>
        <w:t>)</w:t>
      </w:r>
    </w:p>
    <w:p w14:paraId="472AE21F" w14:textId="77777777" w:rsidR="00BB44E7" w:rsidRDefault="00BB44E7" w:rsidP="00BB44E7">
      <w:pPr>
        <w:pStyle w:val="NormalWeb"/>
        <w:rPr>
          <w:rFonts w:ascii="Arial" w:eastAsiaTheme="minorHAnsi" w:hAnsi="Arial" w:cs="Arial"/>
          <w:i/>
          <w:iCs/>
          <w:kern w:val="2"/>
          <w:sz w:val="22"/>
          <w:szCs w:val="22"/>
          <w:lang w:eastAsia="en-US"/>
          <w14:ligatures w14:val="standardContextual"/>
        </w:rPr>
      </w:pPr>
      <w:r w:rsidRPr="009719D6">
        <w:rPr>
          <w:rFonts w:ascii="Arial" w:hAnsi="Arial" w:cs="Arial"/>
          <w:sz w:val="22"/>
          <w:szCs w:val="22"/>
        </w:rPr>
        <w:t>Davidson, A. and Diamond, B. (2001</w:t>
      </w:r>
      <w:r w:rsidRPr="00BB44E7">
        <w:rPr>
          <w:rFonts w:ascii="Arial" w:hAnsi="Arial" w:cs="Arial"/>
          <w:i/>
          <w:iCs/>
          <w:sz w:val="22"/>
          <w:szCs w:val="22"/>
        </w:rPr>
        <w:t xml:space="preserve">) ‘Autoimmune diseases’, </w:t>
      </w:r>
      <w:r w:rsidRPr="00BB44E7">
        <w:rPr>
          <w:rStyle w:val="Emphasis"/>
          <w:rFonts w:ascii="Arial" w:eastAsiaTheme="majorEastAsia" w:hAnsi="Arial" w:cs="Arial"/>
          <w:i w:val="0"/>
          <w:iCs w:val="0"/>
          <w:sz w:val="22"/>
          <w:szCs w:val="22"/>
        </w:rPr>
        <w:t>New England Journal of Medicine</w:t>
      </w:r>
      <w:r w:rsidRPr="00BB44E7">
        <w:rPr>
          <w:rFonts w:ascii="Arial" w:hAnsi="Arial" w:cs="Arial"/>
          <w:i/>
          <w:iCs/>
          <w:sz w:val="22"/>
          <w:szCs w:val="22"/>
        </w:rPr>
        <w:t>, 345(5), pp. 340–350.</w:t>
      </w:r>
      <w:r w:rsidRPr="009719D6">
        <w:rPr>
          <w:rFonts w:ascii="Arial" w:hAnsi="Arial" w:cs="Arial"/>
          <w:sz w:val="22"/>
          <w:szCs w:val="22"/>
        </w:rPr>
        <w:t>Available at</w:t>
      </w:r>
      <w:r w:rsidRPr="00BB44E7">
        <w:rPr>
          <w:rFonts w:ascii="Arial" w:hAnsi="Arial" w:cs="Arial"/>
          <w:i/>
          <w:iCs/>
          <w:sz w:val="22"/>
          <w:szCs w:val="22"/>
        </w:rPr>
        <w:t>:</w:t>
      </w:r>
      <w:r w:rsidRPr="00BB44E7">
        <w:rPr>
          <w:rFonts w:ascii="Arial" w:eastAsiaTheme="minorHAnsi" w:hAnsi="Arial" w:cs="Arial"/>
          <w:i/>
          <w:iCs/>
          <w:kern w:val="2"/>
          <w:sz w:val="22"/>
          <w:szCs w:val="22"/>
          <w:lang w:eastAsia="en-US"/>
          <w14:ligatures w14:val="standardContextual"/>
        </w:rPr>
        <w:t xml:space="preserve"> </w:t>
      </w:r>
      <w:hyperlink r:id="rId15" w:history="1">
        <w:r w:rsidRPr="00BB44E7">
          <w:rPr>
            <w:rStyle w:val="Hyperlink"/>
            <w:rFonts w:ascii="Arial" w:eastAsiaTheme="minorHAnsi" w:hAnsi="Arial" w:cs="Arial"/>
            <w:i/>
            <w:iCs/>
            <w:kern w:val="2"/>
            <w:sz w:val="22"/>
            <w:szCs w:val="22"/>
            <w:lang w:eastAsia="en-US"/>
            <w14:ligatures w14:val="standardContextual"/>
          </w:rPr>
          <w:t>https://www.nejm.org/</w:t>
        </w:r>
      </w:hyperlink>
      <w:r w:rsidRPr="00BB44E7">
        <w:rPr>
          <w:rFonts w:ascii="Arial" w:eastAsiaTheme="minorHAnsi" w:hAnsi="Arial" w:cs="Arial"/>
          <w:i/>
          <w:iCs/>
          <w:kern w:val="2"/>
          <w:sz w:val="22"/>
          <w:szCs w:val="22"/>
          <w:lang w:eastAsia="en-US"/>
          <w14:ligatures w14:val="standardContextual"/>
        </w:rPr>
        <w:t xml:space="preserve"> (</w:t>
      </w:r>
      <w:r w:rsidRPr="009719D6">
        <w:rPr>
          <w:rFonts w:ascii="Arial" w:eastAsiaTheme="minorHAnsi" w:hAnsi="Arial" w:cs="Arial"/>
          <w:kern w:val="2"/>
          <w:sz w:val="22"/>
          <w:szCs w:val="22"/>
          <w:lang w:eastAsia="en-US"/>
          <w14:ligatures w14:val="standardContextual"/>
        </w:rPr>
        <w:t>Accessed :13April2026)</w:t>
      </w:r>
    </w:p>
    <w:p w14:paraId="0D4A445E" w14:textId="77777777" w:rsidR="007C0563" w:rsidRDefault="007C0563" w:rsidP="007C0563">
      <w:pPr>
        <w:pStyle w:val="NormalWeb"/>
        <w:rPr>
          <w:rFonts w:ascii="Arial" w:eastAsiaTheme="minorHAnsi" w:hAnsi="Arial" w:cs="Arial"/>
          <w:i/>
          <w:iCs/>
          <w:kern w:val="2"/>
          <w:sz w:val="22"/>
          <w:szCs w:val="22"/>
          <w:lang w:eastAsia="en-US"/>
          <w14:ligatures w14:val="standardContextual"/>
        </w:rPr>
      </w:pPr>
      <w:proofErr w:type="spellStart"/>
      <w:r w:rsidRPr="009719D6">
        <w:rPr>
          <w:rFonts w:ascii="Arial" w:hAnsi="Arial" w:cs="Arial"/>
          <w:sz w:val="22"/>
          <w:szCs w:val="22"/>
        </w:rPr>
        <w:t>Gombart</w:t>
      </w:r>
      <w:proofErr w:type="spellEnd"/>
      <w:r w:rsidRPr="009719D6">
        <w:rPr>
          <w:rFonts w:ascii="Arial" w:hAnsi="Arial" w:cs="Arial"/>
          <w:sz w:val="22"/>
          <w:szCs w:val="22"/>
        </w:rPr>
        <w:t>, A.F., Pierre, A. and Maggini, S. (2020)</w:t>
      </w:r>
      <w:r w:rsidRPr="00A1275F">
        <w:rPr>
          <w:rFonts w:ascii="Arial" w:hAnsi="Arial" w:cs="Arial"/>
          <w:i/>
          <w:iCs/>
          <w:sz w:val="22"/>
          <w:szCs w:val="22"/>
        </w:rPr>
        <w:t xml:space="preserve"> ‘A review of micronutrients and the immune system’, </w:t>
      </w:r>
      <w:r w:rsidRPr="00A1275F">
        <w:rPr>
          <w:rStyle w:val="Emphasis"/>
          <w:rFonts w:ascii="Arial" w:eastAsiaTheme="majorEastAsia" w:hAnsi="Arial" w:cs="Arial"/>
          <w:i w:val="0"/>
          <w:iCs w:val="0"/>
          <w:sz w:val="22"/>
          <w:szCs w:val="22"/>
        </w:rPr>
        <w:t>Nutrients</w:t>
      </w:r>
      <w:r w:rsidRPr="00A1275F">
        <w:rPr>
          <w:rFonts w:ascii="Arial" w:hAnsi="Arial" w:cs="Arial"/>
          <w:i/>
          <w:iCs/>
          <w:sz w:val="22"/>
          <w:szCs w:val="22"/>
        </w:rPr>
        <w:t xml:space="preserve">, 12(1), pp. 1–36. </w:t>
      </w:r>
      <w:r w:rsidRPr="009719D6">
        <w:rPr>
          <w:rFonts w:ascii="Arial" w:hAnsi="Arial" w:cs="Arial"/>
          <w:sz w:val="22"/>
          <w:szCs w:val="22"/>
        </w:rPr>
        <w:t>Available at:</w:t>
      </w:r>
      <w:r w:rsidRPr="00A1275F">
        <w:rPr>
          <w:rFonts w:ascii="Arial" w:eastAsiaTheme="minorHAnsi" w:hAnsi="Arial" w:cs="Arial"/>
          <w:i/>
          <w:iCs/>
          <w:kern w:val="2"/>
          <w:sz w:val="22"/>
          <w:szCs w:val="22"/>
          <w:lang w:eastAsia="en-US"/>
          <w14:ligatures w14:val="standardContextual"/>
        </w:rPr>
        <w:t xml:space="preserve"> https://pmc.ncbi.nlm.nih.gov/articles.(</w:t>
      </w:r>
      <w:r w:rsidRPr="009719D6">
        <w:rPr>
          <w:rFonts w:ascii="Arial" w:eastAsiaTheme="minorHAnsi" w:hAnsi="Arial" w:cs="Arial"/>
          <w:kern w:val="2"/>
          <w:sz w:val="22"/>
          <w:szCs w:val="22"/>
          <w:lang w:eastAsia="en-US"/>
          <w14:ligatures w14:val="standardContextual"/>
        </w:rPr>
        <w:t>Accessed :13April2026</w:t>
      </w:r>
      <w:r w:rsidRPr="00A1275F">
        <w:rPr>
          <w:rFonts w:ascii="Arial" w:eastAsiaTheme="minorHAnsi" w:hAnsi="Arial" w:cs="Arial"/>
          <w:i/>
          <w:iCs/>
          <w:kern w:val="2"/>
          <w:sz w:val="22"/>
          <w:szCs w:val="22"/>
          <w:lang w:eastAsia="en-US"/>
          <w14:ligatures w14:val="standardContextual"/>
        </w:rPr>
        <w:t>)</w:t>
      </w:r>
    </w:p>
    <w:p w14:paraId="5B7BE77F" w14:textId="77777777" w:rsidR="001C00B2" w:rsidRDefault="001C00B2" w:rsidP="001C00B2">
      <w:pPr>
        <w:pStyle w:val="NormalWeb"/>
        <w:rPr>
          <w:rFonts w:ascii="Arial" w:eastAsiaTheme="minorHAnsi" w:hAnsi="Arial" w:cs="Arial"/>
          <w:i/>
          <w:iCs/>
          <w:color w:val="2A2A2A"/>
          <w:kern w:val="2"/>
          <w:sz w:val="22"/>
          <w:szCs w:val="22"/>
          <w:bdr w:val="none" w:sz="0" w:space="0" w:color="auto" w:frame="1"/>
          <w:shd w:val="clear" w:color="auto" w:fill="FFFFFF"/>
          <w:lang w:eastAsia="en-US"/>
          <w14:ligatures w14:val="standardContextual"/>
        </w:rPr>
      </w:pPr>
      <w:r w:rsidRPr="008F5A58">
        <w:rPr>
          <w:rFonts w:ascii="Arial" w:hAnsi="Arial" w:cs="Arial"/>
          <w:sz w:val="22"/>
          <w:szCs w:val="22"/>
        </w:rPr>
        <w:t>Iltis, A.S. and MacKay, D. (2024)</w:t>
      </w:r>
      <w:r w:rsidRPr="001C00B2">
        <w:rPr>
          <w:rFonts w:ascii="Arial" w:hAnsi="Arial" w:cs="Arial"/>
          <w:i/>
          <w:iCs/>
          <w:sz w:val="22"/>
          <w:szCs w:val="22"/>
        </w:rPr>
        <w:t xml:space="preserve"> </w:t>
      </w:r>
      <w:r w:rsidRPr="001C00B2">
        <w:rPr>
          <w:rStyle w:val="Emphasis"/>
          <w:rFonts w:ascii="Arial" w:eastAsiaTheme="majorEastAsia" w:hAnsi="Arial" w:cs="Arial"/>
          <w:i w:val="0"/>
          <w:iCs w:val="0"/>
          <w:sz w:val="22"/>
          <w:szCs w:val="22"/>
        </w:rPr>
        <w:t>Ethics in research and publication</w:t>
      </w:r>
      <w:r w:rsidRPr="001C00B2">
        <w:rPr>
          <w:rFonts w:ascii="Arial" w:hAnsi="Arial" w:cs="Arial"/>
          <w:i/>
          <w:iCs/>
          <w:sz w:val="22"/>
          <w:szCs w:val="22"/>
        </w:rPr>
        <w:t xml:space="preserve">. Oxford: Oxford University </w:t>
      </w:r>
      <w:proofErr w:type="spellStart"/>
      <w:r w:rsidRPr="001C00B2">
        <w:rPr>
          <w:rFonts w:ascii="Arial" w:hAnsi="Arial" w:cs="Arial"/>
          <w:i/>
          <w:iCs/>
          <w:sz w:val="22"/>
          <w:szCs w:val="22"/>
        </w:rPr>
        <w:t>Press.</w:t>
      </w:r>
      <w:r w:rsidRPr="008F5A58">
        <w:rPr>
          <w:rFonts w:ascii="Arial" w:hAnsi="Arial" w:cs="Arial"/>
          <w:sz w:val="22"/>
          <w:szCs w:val="22"/>
        </w:rPr>
        <w:t>Available</w:t>
      </w:r>
      <w:proofErr w:type="spellEnd"/>
      <w:r w:rsidRPr="008F5A58">
        <w:rPr>
          <w:rFonts w:ascii="Arial" w:hAnsi="Arial" w:cs="Arial"/>
          <w:sz w:val="22"/>
          <w:szCs w:val="22"/>
        </w:rPr>
        <w:t xml:space="preserve"> at:</w:t>
      </w:r>
      <w:r w:rsidRPr="001C00B2">
        <w:rPr>
          <w:rFonts w:ascii="Arial" w:eastAsiaTheme="minorHAnsi" w:hAnsi="Arial" w:cs="Arial"/>
          <w:i/>
          <w:iCs/>
          <w:kern w:val="2"/>
          <w:sz w:val="22"/>
          <w:szCs w:val="22"/>
          <w:lang w:eastAsia="en-US"/>
          <w14:ligatures w14:val="standardContextual"/>
        </w:rPr>
        <w:t xml:space="preserve"> </w:t>
      </w:r>
      <w:hyperlink r:id="rId16" w:history="1">
        <w:r w:rsidRPr="001C00B2">
          <w:rPr>
            <w:rFonts w:ascii="Arial" w:eastAsiaTheme="minorHAnsi" w:hAnsi="Arial" w:cs="Arial"/>
            <w:i/>
            <w:iCs/>
            <w:color w:val="006FB7"/>
            <w:kern w:val="2"/>
            <w:sz w:val="22"/>
            <w:szCs w:val="22"/>
            <w:u w:val="single"/>
            <w:bdr w:val="none" w:sz="0" w:space="0" w:color="auto" w:frame="1"/>
            <w:shd w:val="clear" w:color="auto" w:fill="FFFFFF"/>
            <w:lang w:eastAsia="en-US"/>
            <w14:ligatures w14:val="standardContextual"/>
          </w:rPr>
          <w:t>https://doi.org/10.1093/oxfordhb/9780190947750.001.0001</w:t>
        </w:r>
      </w:hyperlink>
      <w:r w:rsidRPr="001C00B2">
        <w:rPr>
          <w:rFonts w:ascii="Arial" w:eastAsiaTheme="minorHAnsi" w:hAnsi="Arial" w:cs="Arial"/>
          <w:i/>
          <w:iCs/>
          <w:color w:val="2A2A2A"/>
          <w:kern w:val="2"/>
          <w:sz w:val="22"/>
          <w:szCs w:val="22"/>
          <w:shd w:val="clear" w:color="auto" w:fill="FFFFFF"/>
          <w:lang w:eastAsia="en-US"/>
          <w14:ligatures w14:val="standardContextual"/>
        </w:rPr>
        <w:t>,( </w:t>
      </w:r>
      <w:r w:rsidRPr="008F5A58">
        <w:rPr>
          <w:rFonts w:ascii="Arial" w:eastAsiaTheme="minorHAnsi" w:hAnsi="Arial" w:cs="Arial"/>
          <w:color w:val="2A2A2A"/>
          <w:kern w:val="2"/>
          <w:sz w:val="22"/>
          <w:szCs w:val="22"/>
          <w:bdr w:val="none" w:sz="0" w:space="0" w:color="auto" w:frame="1"/>
          <w:shd w:val="clear" w:color="auto" w:fill="FFFFFF"/>
          <w:lang w:eastAsia="en-US"/>
          <w14:ligatures w14:val="standardContextual"/>
        </w:rPr>
        <w:t>Accessed 12 Apr. 2026).</w:t>
      </w:r>
    </w:p>
    <w:p w14:paraId="31F104A8" w14:textId="77777777" w:rsidR="00F814E9" w:rsidRPr="00F814E9" w:rsidRDefault="00F814E9" w:rsidP="00F814E9">
      <w:pPr>
        <w:rPr>
          <w:rFonts w:ascii="Arial" w:hAnsi="Arial" w:cs="Arial"/>
          <w:i/>
          <w:iCs/>
          <w:sz w:val="22"/>
          <w:szCs w:val="22"/>
        </w:rPr>
      </w:pPr>
      <w:r w:rsidRPr="002C4DBB">
        <w:rPr>
          <w:rFonts w:ascii="Arial" w:hAnsi="Arial" w:cs="Arial"/>
          <w:sz w:val="22"/>
          <w:szCs w:val="22"/>
        </w:rPr>
        <w:t>Health Research Authority, (2024</w:t>
      </w:r>
      <w:r w:rsidRPr="00F814E9">
        <w:rPr>
          <w:rFonts w:ascii="Arial" w:hAnsi="Arial" w:cs="Arial"/>
          <w:i/>
          <w:iCs/>
          <w:sz w:val="22"/>
          <w:szCs w:val="22"/>
        </w:rPr>
        <w:t xml:space="preserve">). Declaration of Helsinki revisions: our response to the consultation. </w:t>
      </w:r>
      <w:r w:rsidRPr="002C4DBB">
        <w:rPr>
          <w:rFonts w:ascii="Arial" w:hAnsi="Arial" w:cs="Arial"/>
          <w:sz w:val="22"/>
          <w:szCs w:val="22"/>
        </w:rPr>
        <w:t>Available at</w:t>
      </w:r>
      <w:r w:rsidRPr="00F814E9">
        <w:rPr>
          <w:rFonts w:ascii="Arial" w:hAnsi="Arial" w:cs="Arial"/>
          <w:i/>
          <w:iCs/>
          <w:sz w:val="22"/>
          <w:szCs w:val="22"/>
        </w:rPr>
        <w:t xml:space="preserve">: </w:t>
      </w:r>
      <w:hyperlink r:id="rId17" w:tgtFrame="_new" w:history="1">
        <w:r w:rsidRPr="00F814E9">
          <w:rPr>
            <w:rStyle w:val="Hyperlink"/>
            <w:rFonts w:ascii="Arial" w:hAnsi="Arial" w:cs="Arial"/>
            <w:i/>
            <w:iCs/>
            <w:color w:val="auto"/>
            <w:sz w:val="22"/>
            <w:szCs w:val="22"/>
          </w:rPr>
          <w:t>https://www.hra.nhs.uk/about-us/news-updates/declaration-helsinki/</w:t>
        </w:r>
      </w:hyperlink>
      <w:r w:rsidRPr="00F814E9">
        <w:rPr>
          <w:rFonts w:ascii="Arial" w:hAnsi="Arial" w:cs="Arial"/>
          <w:i/>
          <w:iCs/>
          <w:sz w:val="22"/>
          <w:szCs w:val="22"/>
        </w:rPr>
        <w:t xml:space="preserve"> (</w:t>
      </w:r>
      <w:r w:rsidRPr="002C4DBB">
        <w:rPr>
          <w:rFonts w:ascii="Arial" w:hAnsi="Arial" w:cs="Arial"/>
          <w:sz w:val="22"/>
          <w:szCs w:val="22"/>
        </w:rPr>
        <w:t>Accessed: 26 February 2026).</w:t>
      </w:r>
    </w:p>
    <w:p w14:paraId="064C660B" w14:textId="77777777" w:rsidR="00F814E9" w:rsidRPr="00F814E9" w:rsidRDefault="00F814E9" w:rsidP="00F814E9">
      <w:pPr>
        <w:rPr>
          <w:rFonts w:ascii="Arial" w:hAnsi="Arial" w:cs="Arial"/>
          <w:i/>
          <w:iCs/>
          <w:sz w:val="22"/>
          <w:szCs w:val="22"/>
        </w:rPr>
      </w:pPr>
      <w:r w:rsidRPr="002C4DBB">
        <w:rPr>
          <w:rFonts w:ascii="Arial" w:hAnsi="Arial" w:cs="Arial"/>
          <w:sz w:val="22"/>
          <w:szCs w:val="22"/>
        </w:rPr>
        <w:t>Health Research Authority, (2026).</w:t>
      </w:r>
      <w:r w:rsidRPr="00F814E9">
        <w:rPr>
          <w:rFonts w:ascii="Arial" w:hAnsi="Arial" w:cs="Arial"/>
          <w:i/>
          <w:iCs/>
          <w:sz w:val="22"/>
          <w:szCs w:val="22"/>
        </w:rPr>
        <w:t xml:space="preserve"> HRA Approval – What approvals do I need? </w:t>
      </w:r>
      <w:r w:rsidRPr="0097249B">
        <w:rPr>
          <w:rFonts w:ascii="Arial" w:hAnsi="Arial" w:cs="Arial"/>
          <w:sz w:val="22"/>
          <w:szCs w:val="22"/>
        </w:rPr>
        <w:t>Available at:</w:t>
      </w:r>
      <w:r w:rsidRPr="00F814E9">
        <w:rPr>
          <w:rFonts w:ascii="Arial" w:hAnsi="Arial" w:cs="Arial"/>
          <w:i/>
          <w:iCs/>
          <w:sz w:val="22"/>
          <w:szCs w:val="22"/>
        </w:rPr>
        <w:t xml:space="preserve"> </w:t>
      </w:r>
      <w:hyperlink r:id="rId18" w:tgtFrame="_new" w:history="1">
        <w:r w:rsidRPr="00F814E9">
          <w:rPr>
            <w:rStyle w:val="Hyperlink"/>
            <w:rFonts w:ascii="Arial" w:hAnsi="Arial" w:cs="Arial"/>
            <w:i/>
            <w:iCs/>
            <w:color w:val="auto"/>
            <w:sz w:val="22"/>
            <w:szCs w:val="22"/>
          </w:rPr>
          <w:t>https://www.hra.nhs.uk/approvals-amendments/what-approvals-do-i-need/hra-approval/</w:t>
        </w:r>
      </w:hyperlink>
      <w:r w:rsidRPr="00F814E9">
        <w:rPr>
          <w:rFonts w:ascii="Arial" w:hAnsi="Arial" w:cs="Arial"/>
          <w:i/>
          <w:iCs/>
          <w:sz w:val="22"/>
          <w:szCs w:val="22"/>
        </w:rPr>
        <w:t xml:space="preserve"> (</w:t>
      </w:r>
      <w:r w:rsidRPr="0097249B">
        <w:rPr>
          <w:rFonts w:ascii="Arial" w:hAnsi="Arial" w:cs="Arial"/>
          <w:sz w:val="22"/>
          <w:szCs w:val="22"/>
        </w:rPr>
        <w:t>Accessed: 26 February 2026).</w:t>
      </w:r>
    </w:p>
    <w:p w14:paraId="72A8018E" w14:textId="77777777" w:rsidR="000C733B" w:rsidRDefault="000C733B" w:rsidP="000C733B">
      <w:pPr>
        <w:pStyle w:val="NormalWeb"/>
        <w:rPr>
          <w:rFonts w:ascii="Arial" w:eastAsiaTheme="minorHAnsi" w:hAnsi="Arial" w:cs="Arial"/>
          <w:kern w:val="2"/>
          <w:sz w:val="22"/>
          <w:szCs w:val="22"/>
          <w:lang w:eastAsia="en-US"/>
          <w14:ligatures w14:val="standardContextual"/>
        </w:rPr>
      </w:pPr>
      <w:r w:rsidRPr="0097249B">
        <w:rPr>
          <w:rFonts w:ascii="Arial" w:hAnsi="Arial" w:cs="Arial"/>
          <w:sz w:val="22"/>
          <w:szCs w:val="22"/>
        </w:rPr>
        <w:t>Holick, M.F. (2017)</w:t>
      </w:r>
      <w:r w:rsidRPr="00A1275F">
        <w:rPr>
          <w:rFonts w:ascii="Arial" w:hAnsi="Arial" w:cs="Arial"/>
          <w:i/>
          <w:iCs/>
          <w:sz w:val="22"/>
          <w:szCs w:val="22"/>
        </w:rPr>
        <w:t xml:space="preserve"> ‘Vitamin D deficiency’, </w:t>
      </w:r>
      <w:r w:rsidRPr="00A1275F">
        <w:rPr>
          <w:rStyle w:val="Emphasis"/>
          <w:rFonts w:ascii="Arial" w:eastAsiaTheme="majorEastAsia" w:hAnsi="Arial" w:cs="Arial"/>
          <w:i w:val="0"/>
          <w:iCs w:val="0"/>
          <w:sz w:val="22"/>
          <w:szCs w:val="22"/>
        </w:rPr>
        <w:t>New England Journal of Medicine</w:t>
      </w:r>
      <w:r w:rsidRPr="00A1275F">
        <w:rPr>
          <w:rFonts w:ascii="Arial" w:hAnsi="Arial" w:cs="Arial"/>
          <w:i/>
          <w:iCs/>
          <w:sz w:val="22"/>
          <w:szCs w:val="22"/>
        </w:rPr>
        <w:t>, 357(3), pp. 266–281.</w:t>
      </w:r>
      <w:r w:rsidRPr="0097249B">
        <w:rPr>
          <w:rFonts w:ascii="Arial" w:hAnsi="Arial" w:cs="Arial"/>
          <w:sz w:val="22"/>
          <w:szCs w:val="22"/>
        </w:rPr>
        <w:t>Available at</w:t>
      </w:r>
      <w:r w:rsidRPr="00A1275F">
        <w:rPr>
          <w:rFonts w:ascii="Arial" w:hAnsi="Arial" w:cs="Arial"/>
          <w:i/>
          <w:iCs/>
          <w:sz w:val="22"/>
          <w:szCs w:val="22"/>
        </w:rPr>
        <w:t>:</w:t>
      </w:r>
      <w:r w:rsidRPr="00A1275F">
        <w:rPr>
          <w:rFonts w:ascii="Arial" w:eastAsiaTheme="minorHAnsi" w:hAnsi="Arial" w:cs="Arial"/>
          <w:i/>
          <w:iCs/>
          <w:kern w:val="2"/>
          <w:sz w:val="22"/>
          <w:szCs w:val="22"/>
          <w:lang w:eastAsia="en-US"/>
          <w14:ligatures w14:val="standardContextual"/>
        </w:rPr>
        <w:t xml:space="preserve"> </w:t>
      </w:r>
      <w:hyperlink r:id="rId19" w:history="1">
        <w:r w:rsidRPr="00A1275F">
          <w:rPr>
            <w:rStyle w:val="Hyperlink"/>
            <w:rFonts w:ascii="Arial" w:eastAsiaTheme="minorHAnsi" w:hAnsi="Arial" w:cs="Arial"/>
            <w:i/>
            <w:iCs/>
            <w:kern w:val="2"/>
            <w:sz w:val="22"/>
            <w:szCs w:val="22"/>
            <w:lang w:eastAsia="en-US"/>
            <w14:ligatures w14:val="standardContextual"/>
          </w:rPr>
          <w:t>www.nejm.org</w:t>
        </w:r>
      </w:hyperlink>
      <w:r w:rsidRPr="00A1275F">
        <w:rPr>
          <w:rFonts w:ascii="Arial" w:eastAsiaTheme="minorHAnsi" w:hAnsi="Arial" w:cs="Arial"/>
          <w:i/>
          <w:iCs/>
          <w:kern w:val="2"/>
          <w:sz w:val="22"/>
          <w:szCs w:val="22"/>
          <w:lang w:eastAsia="en-US"/>
          <w14:ligatures w14:val="standardContextual"/>
        </w:rPr>
        <w:t xml:space="preserve"> (</w:t>
      </w:r>
      <w:r w:rsidRPr="0097249B">
        <w:rPr>
          <w:rFonts w:ascii="Arial" w:eastAsiaTheme="minorHAnsi" w:hAnsi="Arial" w:cs="Arial"/>
          <w:kern w:val="2"/>
          <w:sz w:val="22"/>
          <w:szCs w:val="22"/>
          <w:lang w:eastAsia="en-US"/>
          <w14:ligatures w14:val="standardContextual"/>
        </w:rPr>
        <w:t>Accessed :13April2036)</w:t>
      </w:r>
    </w:p>
    <w:p w14:paraId="070B516D" w14:textId="77777777" w:rsidR="00526FF8" w:rsidRPr="00526FF8" w:rsidRDefault="00526FF8" w:rsidP="00526FF8">
      <w:pPr>
        <w:shd w:val="clear" w:color="auto" w:fill="FFFFFF"/>
        <w:spacing w:after="0" w:line="240" w:lineRule="auto"/>
        <w:rPr>
          <w:rFonts w:ascii="Aptos" w:eastAsia="Times New Roman" w:hAnsi="Aptos" w:cs="Times New Roman"/>
          <w:kern w:val="0"/>
          <w:sz w:val="22"/>
          <w:szCs w:val="22"/>
          <w:lang w:eastAsia="en-GB"/>
          <w14:ligatures w14:val="none"/>
        </w:rPr>
      </w:pPr>
      <w:r w:rsidRPr="00526FF8">
        <w:rPr>
          <w:rFonts w:ascii="Arial" w:eastAsia="Times New Roman" w:hAnsi="Arial" w:cs="Arial"/>
          <w:kern w:val="0"/>
          <w:sz w:val="22"/>
          <w:szCs w:val="22"/>
          <w:bdr w:val="none" w:sz="0" w:space="0" w:color="auto" w:frame="1"/>
          <w:lang w:eastAsia="en-GB"/>
          <w14:ligatures w14:val="none"/>
        </w:rPr>
        <w:t>Living Well (2026)</w:t>
      </w:r>
      <w:r w:rsidRPr="00526FF8">
        <w:rPr>
          <w:rFonts w:ascii="Calibri" w:eastAsia="Times New Roman" w:hAnsi="Calibri" w:cs="Calibri"/>
          <w:kern w:val="0"/>
          <w:sz w:val="22"/>
          <w:szCs w:val="22"/>
          <w:bdr w:val="none" w:sz="0" w:space="0" w:color="auto" w:frame="1"/>
          <w:lang w:eastAsia="en-GB"/>
          <w14:ligatures w14:val="none"/>
        </w:rPr>
        <w:t> </w:t>
      </w:r>
      <w:r w:rsidRPr="00526FF8">
        <w:rPr>
          <w:rFonts w:ascii="Calibri" w:eastAsia="Times New Roman" w:hAnsi="Calibri" w:cs="Calibri"/>
          <w:i/>
          <w:iCs/>
          <w:kern w:val="0"/>
          <w:sz w:val="22"/>
          <w:szCs w:val="22"/>
          <w:bdr w:val="none" w:sz="0" w:space="0" w:color="auto" w:frame="1"/>
          <w:lang w:eastAsia="en-GB"/>
          <w14:ligatures w14:val="none"/>
        </w:rPr>
        <w:t>Long Term Conditions. </w:t>
      </w:r>
      <w:r w:rsidRPr="00526FF8">
        <w:rPr>
          <w:rFonts w:ascii="Arial" w:eastAsia="Times New Roman" w:hAnsi="Arial" w:cs="Arial"/>
          <w:kern w:val="0"/>
          <w:sz w:val="22"/>
          <w:szCs w:val="22"/>
          <w:bdr w:val="none" w:sz="0" w:space="0" w:color="auto" w:frame="1"/>
          <w:lang w:eastAsia="en-GB"/>
          <w14:ligatures w14:val="none"/>
        </w:rPr>
        <w:t>Available at:</w:t>
      </w:r>
    </w:p>
    <w:p w14:paraId="583F6763" w14:textId="77777777" w:rsidR="00526FF8" w:rsidRPr="00526FF8" w:rsidRDefault="00526FF8" w:rsidP="00526FF8">
      <w:pPr>
        <w:shd w:val="clear" w:color="auto" w:fill="FFFFFF"/>
        <w:spacing w:after="0" w:line="240" w:lineRule="auto"/>
        <w:rPr>
          <w:rFonts w:ascii="Arial" w:eastAsia="Times New Roman" w:hAnsi="Arial" w:cs="Arial"/>
          <w:kern w:val="0"/>
          <w:sz w:val="22"/>
          <w:szCs w:val="22"/>
          <w:lang w:eastAsia="en-GB"/>
          <w14:ligatures w14:val="none"/>
        </w:rPr>
      </w:pPr>
      <w:r w:rsidRPr="00526FF8">
        <w:rPr>
          <w:rFonts w:ascii="Calibri" w:eastAsia="Times New Roman" w:hAnsi="Calibri" w:cs="Calibri"/>
          <w:kern w:val="0"/>
          <w:sz w:val="22"/>
          <w:szCs w:val="22"/>
          <w:bdr w:val="none" w:sz="0" w:space="0" w:color="auto" w:frame="1"/>
          <w:lang w:eastAsia="en-GB"/>
          <w14:ligatures w14:val="none"/>
        </w:rPr>
        <w:t> </w:t>
      </w:r>
      <w:hyperlink r:id="rId20" w:tgtFrame="_blank" w:tooltip="Original URL: https://livingwellpartnership.nhs.uk/services-longtermconditions/#:~:text=A%20long%20term%20condition%20is,provide%20long%20term%20management%20advice.(Accessed. Click or tap if you trust this link." w:history="1">
        <w:r w:rsidRPr="00526FF8">
          <w:rPr>
            <w:rFonts w:ascii="Arial" w:eastAsia="Times New Roman" w:hAnsi="Arial" w:cs="Arial"/>
            <w:kern w:val="0"/>
            <w:sz w:val="22"/>
            <w:szCs w:val="22"/>
            <w:u w:val="single"/>
            <w:bdr w:val="none" w:sz="0" w:space="0" w:color="auto" w:frame="1"/>
            <w:lang w:eastAsia="en-GB"/>
            <w14:ligatures w14:val="none"/>
          </w:rPr>
          <w:t>https://livingwellpartnership.nhs.uk/services-longtermconditions/#:~:text=A%20long%20term%20condition%20is,provide%20long%20term%20management%20advice.(Accessed</w:t>
        </w:r>
      </w:hyperlink>
      <w:r w:rsidRPr="00526FF8">
        <w:rPr>
          <w:rFonts w:ascii="Arial" w:eastAsia="Times New Roman" w:hAnsi="Arial" w:cs="Arial"/>
          <w:kern w:val="0"/>
          <w:sz w:val="22"/>
          <w:szCs w:val="22"/>
          <w:bdr w:val="none" w:sz="0" w:space="0" w:color="auto" w:frame="1"/>
          <w:lang w:eastAsia="en-GB"/>
          <w14:ligatures w14:val="none"/>
        </w:rPr>
        <w:t>: 16 April 2026)</w:t>
      </w:r>
    </w:p>
    <w:p w14:paraId="30B1274D" w14:textId="1A99254E" w:rsidR="003D3491" w:rsidRDefault="003D3491" w:rsidP="003D3491">
      <w:pPr>
        <w:pStyle w:val="NormalWeb"/>
        <w:rPr>
          <w:rFonts w:ascii="Arial" w:hAnsi="Arial" w:cs="Arial"/>
          <w:i/>
          <w:iCs/>
          <w:sz w:val="22"/>
          <w:szCs w:val="22"/>
        </w:rPr>
      </w:pPr>
      <w:r w:rsidRPr="0097249B">
        <w:rPr>
          <w:rFonts w:ascii="Arial" w:hAnsi="Arial" w:cs="Arial"/>
          <w:sz w:val="22"/>
          <w:szCs w:val="22"/>
        </w:rPr>
        <w:t xml:space="preserve">Makki, K., Deehan, E.C., Walter, J. and </w:t>
      </w:r>
      <w:proofErr w:type="spellStart"/>
      <w:r w:rsidRPr="0097249B">
        <w:rPr>
          <w:rFonts w:ascii="Arial" w:hAnsi="Arial" w:cs="Arial"/>
          <w:sz w:val="22"/>
          <w:szCs w:val="22"/>
        </w:rPr>
        <w:t>Bäckhed</w:t>
      </w:r>
      <w:proofErr w:type="spellEnd"/>
      <w:r w:rsidRPr="0097249B">
        <w:rPr>
          <w:rFonts w:ascii="Arial" w:hAnsi="Arial" w:cs="Arial"/>
          <w:sz w:val="22"/>
          <w:szCs w:val="22"/>
        </w:rPr>
        <w:t>, F. (2018)</w:t>
      </w:r>
      <w:r w:rsidRPr="003D3491">
        <w:rPr>
          <w:rFonts w:ascii="Arial" w:hAnsi="Arial" w:cs="Arial"/>
          <w:i/>
          <w:iCs/>
          <w:sz w:val="22"/>
          <w:szCs w:val="22"/>
        </w:rPr>
        <w:t xml:space="preserve"> ‘The impact of dietary fibre on gut microbiota’, </w:t>
      </w:r>
      <w:r w:rsidRPr="003D3491">
        <w:rPr>
          <w:rStyle w:val="Emphasis"/>
          <w:rFonts w:ascii="Arial" w:eastAsiaTheme="majorEastAsia" w:hAnsi="Arial" w:cs="Arial"/>
          <w:i w:val="0"/>
          <w:iCs w:val="0"/>
          <w:sz w:val="22"/>
          <w:szCs w:val="22"/>
        </w:rPr>
        <w:t>Cell Host &amp; Microbe</w:t>
      </w:r>
      <w:r w:rsidRPr="003D3491">
        <w:rPr>
          <w:rFonts w:ascii="Arial" w:hAnsi="Arial" w:cs="Arial"/>
          <w:i/>
          <w:iCs/>
          <w:sz w:val="22"/>
          <w:szCs w:val="22"/>
        </w:rPr>
        <w:t>, 23(6), pp. 705–715.</w:t>
      </w:r>
      <w:r w:rsidRPr="0097249B">
        <w:rPr>
          <w:rFonts w:ascii="Arial" w:hAnsi="Arial" w:cs="Arial"/>
          <w:sz w:val="22"/>
          <w:szCs w:val="22"/>
        </w:rPr>
        <w:t xml:space="preserve">Available at: </w:t>
      </w:r>
      <w:hyperlink r:id="rId21" w:history="1">
        <w:r w:rsidRPr="003D3491">
          <w:rPr>
            <w:rStyle w:val="Hyperlink"/>
            <w:rFonts w:ascii="Arial" w:hAnsi="Arial" w:cs="Arial"/>
            <w:i/>
            <w:iCs/>
            <w:sz w:val="22"/>
            <w:szCs w:val="22"/>
          </w:rPr>
          <w:t>https://www.sciencedirect.com/</w:t>
        </w:r>
      </w:hyperlink>
      <w:r w:rsidRPr="003D3491">
        <w:rPr>
          <w:rFonts w:ascii="Arial" w:hAnsi="Arial" w:cs="Arial"/>
          <w:i/>
          <w:iCs/>
          <w:sz w:val="22"/>
          <w:szCs w:val="22"/>
        </w:rPr>
        <w:t xml:space="preserve"> (</w:t>
      </w:r>
      <w:r w:rsidRPr="0097249B">
        <w:rPr>
          <w:rFonts w:ascii="Arial" w:hAnsi="Arial" w:cs="Arial"/>
          <w:sz w:val="22"/>
          <w:szCs w:val="22"/>
        </w:rPr>
        <w:t>A</w:t>
      </w:r>
      <w:r w:rsidR="0097249B">
        <w:rPr>
          <w:rFonts w:ascii="Arial" w:hAnsi="Arial" w:cs="Arial"/>
          <w:sz w:val="22"/>
          <w:szCs w:val="22"/>
        </w:rPr>
        <w:t>ccessed</w:t>
      </w:r>
      <w:r w:rsidRPr="0097249B">
        <w:rPr>
          <w:rFonts w:ascii="Arial" w:hAnsi="Arial" w:cs="Arial"/>
          <w:sz w:val="22"/>
          <w:szCs w:val="22"/>
        </w:rPr>
        <w:t>:13April2026</w:t>
      </w:r>
      <w:r w:rsidRPr="003D3491">
        <w:rPr>
          <w:rFonts w:ascii="Arial" w:hAnsi="Arial" w:cs="Arial"/>
          <w:i/>
          <w:iCs/>
          <w:sz w:val="22"/>
          <w:szCs w:val="22"/>
        </w:rPr>
        <w:t>)</w:t>
      </w:r>
    </w:p>
    <w:p w14:paraId="7E3ED08E" w14:textId="77777777" w:rsidR="003D3491" w:rsidRDefault="003D3491" w:rsidP="003D3491">
      <w:pPr>
        <w:rPr>
          <w:rFonts w:ascii="Arial" w:hAnsi="Arial" w:cs="Arial"/>
          <w:i/>
          <w:iCs/>
          <w:sz w:val="22"/>
          <w:szCs w:val="22"/>
        </w:rPr>
      </w:pPr>
      <w:r w:rsidRPr="00DE3264">
        <w:rPr>
          <w:rFonts w:ascii="Arial" w:hAnsi="Arial" w:cs="Arial"/>
          <w:sz w:val="22"/>
          <w:szCs w:val="22"/>
        </w:rPr>
        <w:t>Mazzucca, C.B., Cianci, R., Molfino, A., Paone, C., Iannace, A. and Rossi Fanelli, F. (2022)</w:t>
      </w:r>
      <w:r w:rsidRPr="003D3491">
        <w:rPr>
          <w:rFonts w:ascii="Arial" w:hAnsi="Arial" w:cs="Arial"/>
          <w:i/>
          <w:iCs/>
          <w:sz w:val="22"/>
          <w:szCs w:val="22"/>
        </w:rPr>
        <w:t xml:space="preserve"> </w:t>
      </w:r>
      <w:r w:rsidRPr="00DE3264">
        <w:rPr>
          <w:rStyle w:val="Emphasis"/>
          <w:rFonts w:ascii="Arial" w:hAnsi="Arial" w:cs="Arial"/>
          <w:sz w:val="22"/>
          <w:szCs w:val="22"/>
        </w:rPr>
        <w:t>Nutrition and rheumatoid arthritis onset: a prospective study from the UK Biobank</w:t>
      </w:r>
      <w:r w:rsidRPr="00DE3264">
        <w:rPr>
          <w:rFonts w:ascii="Arial" w:hAnsi="Arial" w:cs="Arial"/>
          <w:sz w:val="22"/>
          <w:szCs w:val="22"/>
        </w:rPr>
        <w:t>.</w:t>
      </w:r>
      <w:r w:rsidRPr="003D3491">
        <w:rPr>
          <w:rFonts w:ascii="Arial" w:hAnsi="Arial" w:cs="Arial"/>
          <w:i/>
          <w:iCs/>
          <w:sz w:val="22"/>
          <w:szCs w:val="22"/>
        </w:rPr>
        <w:t xml:space="preserve"> </w:t>
      </w:r>
      <w:r w:rsidRPr="003D3491">
        <w:rPr>
          <w:rStyle w:val="Strong"/>
          <w:rFonts w:ascii="Arial" w:hAnsi="Arial" w:cs="Arial"/>
          <w:b w:val="0"/>
          <w:bCs w:val="0"/>
          <w:i/>
          <w:iCs/>
          <w:sz w:val="22"/>
          <w:szCs w:val="22"/>
        </w:rPr>
        <w:t>Nutrients</w:t>
      </w:r>
      <w:r w:rsidRPr="003D3491">
        <w:rPr>
          <w:rFonts w:ascii="Arial" w:hAnsi="Arial" w:cs="Arial"/>
          <w:i/>
          <w:iCs/>
          <w:sz w:val="22"/>
          <w:szCs w:val="22"/>
        </w:rPr>
        <w:t>, 14(6), pp .</w:t>
      </w:r>
      <w:r w:rsidRPr="00DE3264">
        <w:rPr>
          <w:rFonts w:ascii="Arial" w:hAnsi="Arial" w:cs="Arial"/>
          <w:sz w:val="22"/>
          <w:szCs w:val="22"/>
        </w:rPr>
        <w:t>Available at</w:t>
      </w:r>
      <w:r w:rsidRPr="003D3491">
        <w:rPr>
          <w:rFonts w:ascii="Arial" w:hAnsi="Arial" w:cs="Arial"/>
          <w:i/>
          <w:iCs/>
          <w:sz w:val="22"/>
          <w:szCs w:val="22"/>
        </w:rPr>
        <w:t>:</w:t>
      </w:r>
      <w:hyperlink r:id="rId22" w:history="1">
        <w:r w:rsidRPr="003D3491">
          <w:rPr>
            <w:rStyle w:val="Hyperlink"/>
            <w:rFonts w:ascii="Arial" w:hAnsi="Arial" w:cs="Arial"/>
            <w:i/>
            <w:iCs/>
            <w:color w:val="auto"/>
            <w:sz w:val="22"/>
            <w:szCs w:val="22"/>
          </w:rPr>
          <w:t>https://www.coffeeandhealth.org/health/research/c-b-mazzucca-et-al-2022-nutrition-and-rheumatoid-arthritis-onset-a-prospective-analysis-using-the-uk-bioba</w:t>
        </w:r>
      </w:hyperlink>
      <w:r w:rsidRPr="003D3491">
        <w:rPr>
          <w:rFonts w:ascii="Arial" w:hAnsi="Arial" w:cs="Arial"/>
          <w:i/>
          <w:iCs/>
          <w:sz w:val="22"/>
          <w:szCs w:val="22"/>
        </w:rPr>
        <w:t xml:space="preserve"> (</w:t>
      </w:r>
      <w:r w:rsidRPr="00DE3264">
        <w:rPr>
          <w:rFonts w:ascii="Arial" w:hAnsi="Arial" w:cs="Arial"/>
          <w:sz w:val="22"/>
          <w:szCs w:val="22"/>
        </w:rPr>
        <w:t>Accessed :10April2026)</w:t>
      </w:r>
    </w:p>
    <w:p w14:paraId="1F6142FE" w14:textId="77777777" w:rsidR="00520E91" w:rsidRDefault="00520E91" w:rsidP="00520E91">
      <w:pPr>
        <w:rPr>
          <w:rFonts w:ascii="Arial" w:hAnsi="Arial" w:cs="Arial"/>
          <w:i/>
          <w:iCs/>
          <w:sz w:val="22"/>
          <w:szCs w:val="22"/>
        </w:rPr>
      </w:pPr>
      <w:r w:rsidRPr="00DE3264">
        <w:rPr>
          <w:rFonts w:ascii="Arial" w:hAnsi="Arial" w:cs="Arial"/>
          <w:sz w:val="22"/>
          <w:szCs w:val="22"/>
        </w:rPr>
        <w:t>NHS (2023)</w:t>
      </w:r>
      <w:r w:rsidRPr="00A1275F">
        <w:rPr>
          <w:rFonts w:ascii="Arial" w:hAnsi="Arial" w:cs="Arial"/>
          <w:i/>
          <w:iCs/>
          <w:sz w:val="22"/>
          <w:szCs w:val="22"/>
        </w:rPr>
        <w:t xml:space="preserve"> Autoimmune diseases. </w:t>
      </w:r>
      <w:r w:rsidRPr="00DE3264">
        <w:rPr>
          <w:rFonts w:ascii="Arial" w:hAnsi="Arial" w:cs="Arial"/>
          <w:sz w:val="22"/>
          <w:szCs w:val="22"/>
        </w:rPr>
        <w:t>Available at</w:t>
      </w:r>
      <w:r w:rsidRPr="00A1275F">
        <w:rPr>
          <w:rFonts w:ascii="Arial" w:hAnsi="Arial" w:cs="Arial"/>
          <w:i/>
          <w:iCs/>
          <w:sz w:val="22"/>
          <w:szCs w:val="22"/>
        </w:rPr>
        <w:t xml:space="preserve">: </w:t>
      </w:r>
      <w:hyperlink r:id="rId23" w:tgtFrame="_new" w:history="1">
        <w:r w:rsidRPr="00A1275F">
          <w:rPr>
            <w:rFonts w:ascii="Arial" w:hAnsi="Arial" w:cs="Arial"/>
            <w:i/>
            <w:iCs/>
            <w:color w:val="0000FF"/>
            <w:sz w:val="22"/>
            <w:szCs w:val="22"/>
            <w:u w:val="single"/>
          </w:rPr>
          <w:t>https://www.nhs.uk</w:t>
        </w:r>
      </w:hyperlink>
      <w:r w:rsidRPr="00A1275F">
        <w:rPr>
          <w:rFonts w:ascii="Arial" w:hAnsi="Arial" w:cs="Arial"/>
          <w:i/>
          <w:iCs/>
          <w:sz w:val="22"/>
          <w:szCs w:val="22"/>
        </w:rPr>
        <w:t xml:space="preserve"> (</w:t>
      </w:r>
      <w:r w:rsidRPr="00DE3264">
        <w:rPr>
          <w:rFonts w:ascii="Arial" w:hAnsi="Arial" w:cs="Arial"/>
          <w:sz w:val="22"/>
          <w:szCs w:val="22"/>
        </w:rPr>
        <w:t>Accessed: 13 April 2026).</w:t>
      </w:r>
    </w:p>
    <w:p w14:paraId="370BB10F" w14:textId="0C4E293C" w:rsidR="00520E91" w:rsidRDefault="00520E91" w:rsidP="00520E91">
      <w:pPr>
        <w:rPr>
          <w:rFonts w:ascii="Arial" w:hAnsi="Arial" w:cs="Arial"/>
          <w:i/>
          <w:iCs/>
          <w:sz w:val="22"/>
          <w:szCs w:val="22"/>
        </w:rPr>
      </w:pPr>
      <w:r w:rsidRPr="00DE3264">
        <w:rPr>
          <w:rFonts w:ascii="Arial" w:hAnsi="Arial" w:cs="Arial"/>
          <w:sz w:val="22"/>
          <w:szCs w:val="22"/>
        </w:rPr>
        <w:t>Rayman, M.P. (2019)</w:t>
      </w:r>
      <w:r w:rsidRPr="00520E91">
        <w:rPr>
          <w:rFonts w:ascii="Arial" w:hAnsi="Arial" w:cs="Arial"/>
          <w:i/>
          <w:iCs/>
          <w:sz w:val="22"/>
          <w:szCs w:val="22"/>
        </w:rPr>
        <w:t xml:space="preserve"> Multiple nutritional factors and thyroid disease, with </w:t>
      </w:r>
      <w:r w:rsidR="0091376A" w:rsidRPr="00520E91">
        <w:rPr>
          <w:rFonts w:ascii="Arial" w:hAnsi="Arial" w:cs="Arial"/>
          <w:i/>
          <w:iCs/>
          <w:sz w:val="22"/>
          <w:szCs w:val="22"/>
        </w:rPr>
        <w:t>reference</w:t>
      </w:r>
      <w:r w:rsidRPr="00520E91">
        <w:rPr>
          <w:rFonts w:ascii="Arial" w:hAnsi="Arial" w:cs="Arial"/>
          <w:i/>
          <w:iCs/>
          <w:sz w:val="22"/>
          <w:szCs w:val="22"/>
        </w:rPr>
        <w:t xml:space="preserve"> to autoimmune thyroid disease. Proceedings of the Nutrition Society, 78(1), pp. 34–44. </w:t>
      </w:r>
      <w:r w:rsidRPr="00DE3264">
        <w:rPr>
          <w:rFonts w:ascii="Arial" w:hAnsi="Arial" w:cs="Arial"/>
          <w:sz w:val="22"/>
          <w:szCs w:val="22"/>
        </w:rPr>
        <w:t>Available at:</w:t>
      </w:r>
      <w:r w:rsidRPr="00520E91">
        <w:rPr>
          <w:rFonts w:ascii="Arial" w:hAnsi="Arial" w:cs="Arial"/>
          <w:i/>
          <w:iCs/>
          <w:sz w:val="22"/>
          <w:szCs w:val="22"/>
        </w:rPr>
        <w:t xml:space="preserve"> </w:t>
      </w:r>
      <w:hyperlink r:id="rId24" w:tgtFrame="_new" w:history="1">
        <w:r w:rsidRPr="00520E91">
          <w:rPr>
            <w:rFonts w:ascii="Arial" w:hAnsi="Arial" w:cs="Arial"/>
            <w:i/>
            <w:iCs/>
            <w:sz w:val="22"/>
            <w:szCs w:val="22"/>
            <w:u w:val="single"/>
          </w:rPr>
          <w:t>https://doi.org/10.1017/S0029665118001192</w:t>
        </w:r>
      </w:hyperlink>
      <w:r w:rsidRPr="00520E91">
        <w:rPr>
          <w:rFonts w:ascii="Arial" w:hAnsi="Arial" w:cs="Arial"/>
          <w:i/>
          <w:iCs/>
          <w:sz w:val="22"/>
          <w:szCs w:val="22"/>
        </w:rPr>
        <w:t xml:space="preserve"> </w:t>
      </w:r>
      <w:r w:rsidRPr="00DE3264">
        <w:rPr>
          <w:rFonts w:ascii="Arial" w:hAnsi="Arial" w:cs="Arial"/>
          <w:sz w:val="22"/>
          <w:szCs w:val="22"/>
        </w:rPr>
        <w:t>(Accessed: 10 April 2026).</w:t>
      </w:r>
    </w:p>
    <w:p w14:paraId="2FB09ABF" w14:textId="77777777" w:rsidR="00DD1D3D" w:rsidRDefault="00DD1D3D" w:rsidP="00DD1D3D">
      <w:pPr>
        <w:pStyle w:val="NormalWeb"/>
        <w:rPr>
          <w:rFonts w:ascii="Arial" w:hAnsi="Arial" w:cs="Arial"/>
          <w:i/>
          <w:iCs/>
          <w:sz w:val="22"/>
          <w:szCs w:val="22"/>
        </w:rPr>
      </w:pPr>
      <w:r w:rsidRPr="003549B6">
        <w:rPr>
          <w:rFonts w:ascii="Arial" w:hAnsi="Arial" w:cs="Arial"/>
          <w:sz w:val="22"/>
          <w:szCs w:val="22"/>
        </w:rPr>
        <w:t>Winther, K.H., Rayman, M.P. and Bonnema, S.J. (2020)</w:t>
      </w:r>
      <w:r w:rsidRPr="00A1275F">
        <w:rPr>
          <w:rFonts w:ascii="Arial" w:hAnsi="Arial" w:cs="Arial"/>
          <w:i/>
          <w:iCs/>
          <w:sz w:val="22"/>
          <w:szCs w:val="22"/>
        </w:rPr>
        <w:t xml:space="preserve"> ‘Selenium in thyroid disorders’, </w:t>
      </w:r>
      <w:r w:rsidRPr="00A1275F">
        <w:rPr>
          <w:rStyle w:val="Emphasis"/>
          <w:rFonts w:ascii="Arial" w:eastAsiaTheme="majorEastAsia" w:hAnsi="Arial" w:cs="Arial"/>
          <w:i w:val="0"/>
          <w:iCs w:val="0"/>
          <w:sz w:val="22"/>
          <w:szCs w:val="22"/>
        </w:rPr>
        <w:t>Endocrine Reviews</w:t>
      </w:r>
      <w:r w:rsidRPr="00A1275F">
        <w:rPr>
          <w:rFonts w:ascii="Arial" w:hAnsi="Arial" w:cs="Arial"/>
          <w:i/>
          <w:iCs/>
          <w:sz w:val="22"/>
          <w:szCs w:val="22"/>
        </w:rPr>
        <w:t>, 41(2), pp. 1–17.</w:t>
      </w:r>
      <w:r w:rsidRPr="003549B6">
        <w:rPr>
          <w:rFonts w:ascii="Arial" w:hAnsi="Arial" w:cs="Arial"/>
          <w:sz w:val="22"/>
          <w:szCs w:val="22"/>
        </w:rPr>
        <w:t>Available at</w:t>
      </w:r>
      <w:r w:rsidRPr="00A1275F">
        <w:rPr>
          <w:rFonts w:ascii="Arial" w:hAnsi="Arial" w:cs="Arial"/>
          <w:i/>
          <w:iCs/>
          <w:sz w:val="22"/>
          <w:szCs w:val="22"/>
        </w:rPr>
        <w:t xml:space="preserve">: </w:t>
      </w:r>
      <w:hyperlink r:id="rId25" w:history="1">
        <w:r w:rsidRPr="00A1275F">
          <w:rPr>
            <w:rStyle w:val="Hyperlink"/>
            <w:rFonts w:ascii="Arial" w:hAnsi="Arial" w:cs="Arial"/>
            <w:i/>
            <w:iCs/>
            <w:sz w:val="22"/>
            <w:szCs w:val="22"/>
          </w:rPr>
          <w:t xml:space="preserve">https://pubmed.ncbi.nlm.nih.gov/ </w:t>
        </w:r>
        <w:r w:rsidRPr="00A1275F">
          <w:rPr>
            <w:rStyle w:val="Hyperlink"/>
            <w:rFonts w:ascii="Arial" w:hAnsi="Arial" w:cs="Arial"/>
            <w:i/>
            <w:iCs/>
            <w:color w:val="auto"/>
            <w:sz w:val="22"/>
            <w:szCs w:val="22"/>
            <w:u w:val="none"/>
          </w:rPr>
          <w:t>(</w:t>
        </w:r>
        <w:r w:rsidRPr="003549B6">
          <w:rPr>
            <w:rStyle w:val="Hyperlink"/>
            <w:rFonts w:ascii="Arial" w:hAnsi="Arial" w:cs="Arial"/>
            <w:color w:val="auto"/>
            <w:sz w:val="22"/>
            <w:szCs w:val="22"/>
            <w:u w:val="none"/>
          </w:rPr>
          <w:t>Accessed:13April2026)</w:t>
        </w:r>
      </w:hyperlink>
    </w:p>
    <w:p w14:paraId="274E8A25" w14:textId="77777777" w:rsidR="00DD1D3D" w:rsidRDefault="00DD1D3D" w:rsidP="00DD1D3D">
      <w:pPr>
        <w:rPr>
          <w:rFonts w:ascii="Arial" w:hAnsi="Arial" w:cs="Arial"/>
          <w:i/>
          <w:iCs/>
          <w:sz w:val="22"/>
          <w:szCs w:val="22"/>
        </w:rPr>
      </w:pPr>
      <w:r w:rsidRPr="003549B6">
        <w:rPr>
          <w:rFonts w:ascii="Arial" w:hAnsi="Arial" w:cs="Arial"/>
          <w:sz w:val="22"/>
          <w:szCs w:val="22"/>
        </w:rPr>
        <w:lastRenderedPageBreak/>
        <w:t>World Health Organization (2023)</w:t>
      </w:r>
      <w:r w:rsidRPr="000055E6">
        <w:rPr>
          <w:rFonts w:ascii="Arial" w:hAnsi="Arial" w:cs="Arial"/>
          <w:i/>
          <w:iCs/>
          <w:sz w:val="22"/>
          <w:szCs w:val="22"/>
        </w:rPr>
        <w:t xml:space="preserve"> Nutrition. </w:t>
      </w:r>
      <w:r w:rsidRPr="003549B6">
        <w:rPr>
          <w:rFonts w:ascii="Arial" w:hAnsi="Arial" w:cs="Arial"/>
          <w:sz w:val="22"/>
          <w:szCs w:val="22"/>
        </w:rPr>
        <w:t>Available at</w:t>
      </w:r>
      <w:r w:rsidRPr="000055E6">
        <w:rPr>
          <w:rFonts w:ascii="Arial" w:hAnsi="Arial" w:cs="Arial"/>
          <w:i/>
          <w:iCs/>
          <w:sz w:val="22"/>
          <w:szCs w:val="22"/>
        </w:rPr>
        <w:t xml:space="preserve">: </w:t>
      </w:r>
      <w:hyperlink r:id="rId26" w:tgtFrame="_new" w:history="1">
        <w:r w:rsidRPr="000055E6">
          <w:rPr>
            <w:rFonts w:ascii="Arial" w:hAnsi="Arial" w:cs="Arial"/>
            <w:i/>
            <w:iCs/>
            <w:color w:val="0000FF"/>
            <w:sz w:val="22"/>
            <w:szCs w:val="22"/>
            <w:u w:val="single"/>
          </w:rPr>
          <w:t>https://www.who.int</w:t>
        </w:r>
      </w:hyperlink>
      <w:r w:rsidRPr="000055E6">
        <w:rPr>
          <w:rFonts w:ascii="Arial" w:hAnsi="Arial" w:cs="Arial"/>
          <w:i/>
          <w:iCs/>
          <w:sz w:val="22"/>
          <w:szCs w:val="22"/>
        </w:rPr>
        <w:t xml:space="preserve"> (</w:t>
      </w:r>
      <w:r w:rsidRPr="003549B6">
        <w:rPr>
          <w:rFonts w:ascii="Arial" w:hAnsi="Arial" w:cs="Arial"/>
          <w:sz w:val="22"/>
          <w:szCs w:val="22"/>
        </w:rPr>
        <w:t>Accessed: 13 April 2026).</w:t>
      </w:r>
    </w:p>
    <w:p w14:paraId="656E78E2" w14:textId="3843E458" w:rsidR="005A364B" w:rsidRPr="00B65A08" w:rsidRDefault="00B65A08" w:rsidP="00B65A08">
      <w:pPr>
        <w:pStyle w:val="NormalWeb"/>
        <w:rPr>
          <w:rFonts w:ascii="Arial" w:hAnsi="Arial" w:cs="Arial"/>
          <w:i/>
          <w:iCs/>
          <w:sz w:val="22"/>
          <w:szCs w:val="22"/>
        </w:rPr>
      </w:pPr>
      <w:proofErr w:type="spellStart"/>
      <w:r w:rsidRPr="003549B6">
        <w:rPr>
          <w:rFonts w:ascii="Arial" w:hAnsi="Arial" w:cs="Arial"/>
          <w:sz w:val="22"/>
          <w:szCs w:val="22"/>
        </w:rPr>
        <w:t>Zairul</w:t>
      </w:r>
      <w:proofErr w:type="spellEnd"/>
      <w:r w:rsidRPr="003549B6">
        <w:rPr>
          <w:rFonts w:ascii="Arial" w:hAnsi="Arial" w:cs="Arial"/>
          <w:sz w:val="22"/>
          <w:szCs w:val="22"/>
        </w:rPr>
        <w:t>, M. (2025)</w:t>
      </w:r>
      <w:r w:rsidRPr="00B65A08">
        <w:rPr>
          <w:rFonts w:ascii="Arial" w:hAnsi="Arial" w:cs="Arial"/>
          <w:i/>
          <w:iCs/>
          <w:sz w:val="22"/>
          <w:szCs w:val="22"/>
        </w:rPr>
        <w:t xml:space="preserve"> </w:t>
      </w:r>
      <w:r w:rsidRPr="003F17B4">
        <w:rPr>
          <w:rStyle w:val="Emphasis"/>
          <w:rFonts w:ascii="Arial" w:eastAsiaTheme="majorEastAsia" w:hAnsi="Arial" w:cs="Arial"/>
          <w:sz w:val="22"/>
          <w:szCs w:val="22"/>
        </w:rPr>
        <w:t>Thematic analysis in qualitative research: A practical guide</w:t>
      </w:r>
      <w:r w:rsidRPr="003F17B4">
        <w:rPr>
          <w:rFonts w:ascii="Arial" w:hAnsi="Arial" w:cs="Arial"/>
          <w:sz w:val="22"/>
          <w:szCs w:val="22"/>
        </w:rPr>
        <w:t>.</w:t>
      </w:r>
      <w:r w:rsidRPr="00B65A08">
        <w:rPr>
          <w:rFonts w:ascii="Arial" w:hAnsi="Arial" w:cs="Arial"/>
          <w:i/>
          <w:iCs/>
          <w:sz w:val="22"/>
          <w:szCs w:val="22"/>
        </w:rPr>
        <w:t xml:space="preserve"> London: </w:t>
      </w:r>
      <w:proofErr w:type="spellStart"/>
      <w:r w:rsidRPr="00B65A08">
        <w:rPr>
          <w:rFonts w:ascii="Arial" w:hAnsi="Arial" w:cs="Arial"/>
          <w:i/>
          <w:iCs/>
          <w:sz w:val="22"/>
          <w:szCs w:val="22"/>
        </w:rPr>
        <w:t>Sage.</w:t>
      </w:r>
      <w:r w:rsidRPr="003F17B4">
        <w:rPr>
          <w:rFonts w:ascii="Arial" w:hAnsi="Arial" w:cs="Arial"/>
          <w:sz w:val="22"/>
          <w:szCs w:val="22"/>
        </w:rPr>
        <w:t>Available</w:t>
      </w:r>
      <w:proofErr w:type="spellEnd"/>
      <w:r w:rsidRPr="003F17B4">
        <w:rPr>
          <w:rFonts w:ascii="Arial" w:hAnsi="Arial" w:cs="Arial"/>
          <w:sz w:val="22"/>
          <w:szCs w:val="22"/>
        </w:rPr>
        <w:t xml:space="preserve"> at</w:t>
      </w:r>
      <w:r w:rsidRPr="00B65A08">
        <w:rPr>
          <w:rFonts w:ascii="Arial" w:hAnsi="Arial" w:cs="Arial"/>
          <w:i/>
          <w:iCs/>
          <w:sz w:val="22"/>
          <w:szCs w:val="22"/>
        </w:rPr>
        <w:t xml:space="preserve">: </w:t>
      </w:r>
      <w:hyperlink r:id="rId27" w:history="1">
        <w:r w:rsidRPr="00B65A08">
          <w:rPr>
            <w:rStyle w:val="Hyperlink"/>
            <w:rFonts w:ascii="Arial" w:hAnsi="Arial" w:cs="Arial"/>
            <w:i/>
            <w:iCs/>
            <w:sz w:val="22"/>
            <w:szCs w:val="22"/>
          </w:rPr>
          <w:t>https://journals.sagepub.com/</w:t>
        </w:r>
      </w:hyperlink>
      <w:r w:rsidRPr="00B65A08">
        <w:rPr>
          <w:rFonts w:ascii="Arial" w:hAnsi="Arial" w:cs="Arial"/>
          <w:i/>
          <w:iCs/>
          <w:sz w:val="22"/>
          <w:szCs w:val="22"/>
        </w:rPr>
        <w:t xml:space="preserve"> (</w:t>
      </w:r>
      <w:r w:rsidRPr="003F17B4">
        <w:rPr>
          <w:rFonts w:ascii="Arial" w:hAnsi="Arial" w:cs="Arial"/>
          <w:sz w:val="22"/>
          <w:szCs w:val="22"/>
        </w:rPr>
        <w:t>Accessd:10April2026)</w:t>
      </w:r>
    </w:p>
    <w:p w14:paraId="2CD759A3" w14:textId="6E4AEF09" w:rsidR="0073665E" w:rsidRPr="00B65A08" w:rsidRDefault="00321AAF">
      <w:pPr>
        <w:rPr>
          <w:rFonts w:ascii="Arial" w:hAnsi="Arial" w:cs="Arial"/>
          <w:sz w:val="22"/>
          <w:szCs w:val="22"/>
        </w:rPr>
      </w:pPr>
      <w:r w:rsidRPr="00B65A08">
        <w:rPr>
          <w:rFonts w:ascii="Arial" w:hAnsi="Arial" w:cs="Arial"/>
          <w:sz w:val="22"/>
          <w:szCs w:val="22"/>
        </w:rPr>
        <w:t xml:space="preserve">Yu, X., Pu, H. and Voss, M. (2024) </w:t>
      </w:r>
      <w:r w:rsidRPr="00B65A08">
        <w:rPr>
          <w:rStyle w:val="Emphasis"/>
          <w:rFonts w:ascii="Arial" w:hAnsi="Arial" w:cs="Arial"/>
          <w:sz w:val="22"/>
          <w:szCs w:val="22"/>
        </w:rPr>
        <w:t>Overview of anti-inflammatory diets and their promising effects on non-communicable diseases</w:t>
      </w:r>
      <w:r w:rsidRPr="00B65A08">
        <w:rPr>
          <w:rFonts w:ascii="Arial" w:hAnsi="Arial" w:cs="Arial"/>
          <w:sz w:val="22"/>
          <w:szCs w:val="22"/>
        </w:rPr>
        <w:t xml:space="preserve">. </w:t>
      </w:r>
      <w:r w:rsidRPr="003F17B4">
        <w:rPr>
          <w:rStyle w:val="Strong"/>
          <w:rFonts w:ascii="Arial" w:hAnsi="Arial" w:cs="Arial"/>
          <w:b w:val="0"/>
          <w:bCs w:val="0"/>
          <w:sz w:val="22"/>
          <w:szCs w:val="22"/>
        </w:rPr>
        <w:t>British Journal of Nutrition</w:t>
      </w:r>
      <w:r w:rsidRPr="00B65A08">
        <w:rPr>
          <w:rFonts w:ascii="Arial" w:hAnsi="Arial" w:cs="Arial"/>
          <w:sz w:val="22"/>
          <w:szCs w:val="22"/>
        </w:rPr>
        <w:t>, 132(7), pp. 898–918</w:t>
      </w:r>
      <w:r w:rsidR="00270E05" w:rsidRPr="00B65A08">
        <w:rPr>
          <w:rFonts w:ascii="Arial" w:hAnsi="Arial" w:cs="Arial"/>
          <w:sz w:val="22"/>
          <w:szCs w:val="22"/>
        </w:rPr>
        <w:t>.Available at:</w:t>
      </w:r>
      <w:r w:rsidR="00897C25" w:rsidRPr="00B65A08">
        <w:rPr>
          <w:rFonts w:ascii="Arial" w:hAnsi="Arial" w:cs="Arial"/>
          <w:sz w:val="22"/>
          <w:szCs w:val="22"/>
        </w:rPr>
        <w:t xml:space="preserve"> </w:t>
      </w:r>
      <w:hyperlink r:id="rId28" w:history="1">
        <w:r w:rsidR="00976C6B" w:rsidRPr="00B65A08">
          <w:rPr>
            <w:rStyle w:val="Hyperlink"/>
            <w:rFonts w:ascii="Arial" w:hAnsi="Arial" w:cs="Arial"/>
            <w:color w:val="auto"/>
            <w:sz w:val="22"/>
            <w:szCs w:val="22"/>
          </w:rPr>
          <w:t>https://www.cambridge.org/core/journals/british-journal-of-nutrition/article/overview-of-antiinflammatory-diets-and-their-promising-effects-on-noncommunicabl(Accessed:10April2026)</w:t>
        </w:r>
      </w:hyperlink>
    </w:p>
    <w:p w14:paraId="0547AEAD" w14:textId="008986CE" w:rsidR="00264A0C" w:rsidRDefault="00264A0C">
      <w:pPr>
        <w:rPr>
          <w:rFonts w:ascii="Arial" w:hAnsi="Arial" w:cs="Arial"/>
          <w:i/>
          <w:iCs/>
          <w:sz w:val="22"/>
          <w:szCs w:val="22"/>
        </w:rPr>
      </w:pPr>
    </w:p>
    <w:p w14:paraId="6049010D" w14:textId="77777777" w:rsidR="00363C09" w:rsidRPr="00A1275F" w:rsidRDefault="00363C09" w:rsidP="00835983">
      <w:pPr>
        <w:pStyle w:val="NormalWeb"/>
        <w:rPr>
          <w:rFonts w:ascii="Arial" w:hAnsi="Arial" w:cs="Arial"/>
          <w:i/>
          <w:iCs/>
          <w:sz w:val="22"/>
          <w:szCs w:val="22"/>
        </w:rPr>
      </w:pPr>
    </w:p>
    <w:p w14:paraId="20F9487D" w14:textId="77777777" w:rsidR="00592A57" w:rsidRDefault="00592A57" w:rsidP="00363C09">
      <w:pPr>
        <w:pStyle w:val="NormalWeb"/>
      </w:pPr>
    </w:p>
    <w:p w14:paraId="0739C8AD" w14:textId="77777777" w:rsidR="007C5EF7" w:rsidRDefault="007C5EF7" w:rsidP="00C6459A">
      <w:pPr>
        <w:pStyle w:val="NormalWeb"/>
      </w:pPr>
    </w:p>
    <w:p w14:paraId="6B4DDCE2" w14:textId="77777777" w:rsidR="00835983" w:rsidRPr="000055E6" w:rsidRDefault="00835983">
      <w:pPr>
        <w:rPr>
          <w:rFonts w:ascii="Arial" w:hAnsi="Arial" w:cs="Arial"/>
          <w:i/>
          <w:iCs/>
          <w:sz w:val="22"/>
          <w:szCs w:val="22"/>
        </w:rPr>
      </w:pPr>
    </w:p>
    <w:sectPr w:rsidR="00835983" w:rsidRPr="000055E6">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70897" w14:textId="77777777" w:rsidR="00396D34" w:rsidRDefault="00396D34" w:rsidP="00D02177">
      <w:pPr>
        <w:spacing w:after="0" w:line="240" w:lineRule="auto"/>
      </w:pPr>
      <w:r>
        <w:separator/>
      </w:r>
    </w:p>
  </w:endnote>
  <w:endnote w:type="continuationSeparator" w:id="0">
    <w:p w14:paraId="202FD20F" w14:textId="77777777" w:rsidR="00396D34" w:rsidRDefault="00396D34" w:rsidP="00D0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3F1BE" w14:textId="77777777" w:rsidR="00396D34" w:rsidRDefault="00396D34" w:rsidP="00D02177">
      <w:pPr>
        <w:spacing w:after="0" w:line="240" w:lineRule="auto"/>
      </w:pPr>
      <w:r>
        <w:separator/>
      </w:r>
    </w:p>
  </w:footnote>
  <w:footnote w:type="continuationSeparator" w:id="0">
    <w:p w14:paraId="2DD26F56" w14:textId="77777777" w:rsidR="00396D34" w:rsidRDefault="00396D34" w:rsidP="00D0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41D22" w14:textId="77777777" w:rsidR="00D02177" w:rsidRDefault="00D02177">
    <w:pPr>
      <w:pStyle w:val="Header"/>
    </w:pPr>
  </w:p>
  <w:p w14:paraId="3522B205" w14:textId="77777777" w:rsidR="00D02177" w:rsidRDefault="00D02177">
    <w:pPr>
      <w:pStyle w:val="Header"/>
    </w:pPr>
  </w:p>
  <w:p w14:paraId="149FF64C" w14:textId="77777777" w:rsidR="00D02177" w:rsidRDefault="00D021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BE5"/>
    <w:multiLevelType w:val="multilevel"/>
    <w:tmpl w:val="6E981B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F3138"/>
    <w:multiLevelType w:val="multilevel"/>
    <w:tmpl w:val="C41622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A170E"/>
    <w:multiLevelType w:val="multilevel"/>
    <w:tmpl w:val="6214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C71323"/>
    <w:multiLevelType w:val="multilevel"/>
    <w:tmpl w:val="B3D6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6146F5"/>
    <w:multiLevelType w:val="multilevel"/>
    <w:tmpl w:val="C4C2B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920800"/>
    <w:multiLevelType w:val="hybridMultilevel"/>
    <w:tmpl w:val="8DAEB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053434"/>
    <w:multiLevelType w:val="multilevel"/>
    <w:tmpl w:val="EF98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9C5C8F"/>
    <w:multiLevelType w:val="multilevel"/>
    <w:tmpl w:val="385C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526CE8"/>
    <w:multiLevelType w:val="hybridMultilevel"/>
    <w:tmpl w:val="AA7618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25706147">
    <w:abstractNumId w:val="8"/>
  </w:num>
  <w:num w:numId="2" w16cid:durableId="147719625">
    <w:abstractNumId w:val="0"/>
  </w:num>
  <w:num w:numId="3" w16cid:durableId="739445729">
    <w:abstractNumId w:val="4"/>
  </w:num>
  <w:num w:numId="4" w16cid:durableId="611790422">
    <w:abstractNumId w:val="3"/>
  </w:num>
  <w:num w:numId="5" w16cid:durableId="996802986">
    <w:abstractNumId w:val="1"/>
  </w:num>
  <w:num w:numId="6" w16cid:durableId="1927691159">
    <w:abstractNumId w:val="6"/>
  </w:num>
  <w:num w:numId="7" w16cid:durableId="193813913">
    <w:abstractNumId w:val="7"/>
  </w:num>
  <w:num w:numId="8" w16cid:durableId="1741519099">
    <w:abstractNumId w:val="2"/>
  </w:num>
  <w:num w:numId="9" w16cid:durableId="15362309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C15"/>
    <w:rsid w:val="000055E6"/>
    <w:rsid w:val="000063D5"/>
    <w:rsid w:val="00007A92"/>
    <w:rsid w:val="00007EE2"/>
    <w:rsid w:val="00020057"/>
    <w:rsid w:val="00043A6F"/>
    <w:rsid w:val="00046204"/>
    <w:rsid w:val="00076EE9"/>
    <w:rsid w:val="000A0281"/>
    <w:rsid w:val="000C1A7D"/>
    <w:rsid w:val="000C1E65"/>
    <w:rsid w:val="000C733B"/>
    <w:rsid w:val="000E2068"/>
    <w:rsid w:val="001144A8"/>
    <w:rsid w:val="0011479A"/>
    <w:rsid w:val="00115BEC"/>
    <w:rsid w:val="00137D81"/>
    <w:rsid w:val="001419CF"/>
    <w:rsid w:val="00145C94"/>
    <w:rsid w:val="0014624C"/>
    <w:rsid w:val="0015033C"/>
    <w:rsid w:val="001505C1"/>
    <w:rsid w:val="001517A7"/>
    <w:rsid w:val="00161F9D"/>
    <w:rsid w:val="00163229"/>
    <w:rsid w:val="00166430"/>
    <w:rsid w:val="00174CF3"/>
    <w:rsid w:val="00176734"/>
    <w:rsid w:val="00182D5F"/>
    <w:rsid w:val="0018403E"/>
    <w:rsid w:val="001844AA"/>
    <w:rsid w:val="001A26C6"/>
    <w:rsid w:val="001A7B9E"/>
    <w:rsid w:val="001C00B2"/>
    <w:rsid w:val="001C05B6"/>
    <w:rsid w:val="001F08F4"/>
    <w:rsid w:val="001F1D6B"/>
    <w:rsid w:val="00206C40"/>
    <w:rsid w:val="0020785D"/>
    <w:rsid w:val="0022137F"/>
    <w:rsid w:val="00231550"/>
    <w:rsid w:val="002371E6"/>
    <w:rsid w:val="00243223"/>
    <w:rsid w:val="00250A1C"/>
    <w:rsid w:val="00262715"/>
    <w:rsid w:val="00263B06"/>
    <w:rsid w:val="00264A0C"/>
    <w:rsid w:val="00270E05"/>
    <w:rsid w:val="00273812"/>
    <w:rsid w:val="0028076F"/>
    <w:rsid w:val="00286629"/>
    <w:rsid w:val="002901EF"/>
    <w:rsid w:val="00293C0A"/>
    <w:rsid w:val="00296D34"/>
    <w:rsid w:val="002A1394"/>
    <w:rsid w:val="002A334A"/>
    <w:rsid w:val="002C4DBB"/>
    <w:rsid w:val="002C5976"/>
    <w:rsid w:val="002E5EB3"/>
    <w:rsid w:val="002F026A"/>
    <w:rsid w:val="002F121C"/>
    <w:rsid w:val="002F409E"/>
    <w:rsid w:val="002F4D45"/>
    <w:rsid w:val="00300150"/>
    <w:rsid w:val="00300615"/>
    <w:rsid w:val="00301370"/>
    <w:rsid w:val="00302745"/>
    <w:rsid w:val="00317500"/>
    <w:rsid w:val="00321AAF"/>
    <w:rsid w:val="00331432"/>
    <w:rsid w:val="00340962"/>
    <w:rsid w:val="0034430C"/>
    <w:rsid w:val="00346BD7"/>
    <w:rsid w:val="003479FD"/>
    <w:rsid w:val="00350879"/>
    <w:rsid w:val="00351EE7"/>
    <w:rsid w:val="003549B6"/>
    <w:rsid w:val="003610CF"/>
    <w:rsid w:val="00363C09"/>
    <w:rsid w:val="00391794"/>
    <w:rsid w:val="00393EF8"/>
    <w:rsid w:val="0039518F"/>
    <w:rsid w:val="00396D34"/>
    <w:rsid w:val="003A123A"/>
    <w:rsid w:val="003A1B5A"/>
    <w:rsid w:val="003A4CA3"/>
    <w:rsid w:val="003B659C"/>
    <w:rsid w:val="003C6E43"/>
    <w:rsid w:val="003D3491"/>
    <w:rsid w:val="003E6FDE"/>
    <w:rsid w:val="003F17B4"/>
    <w:rsid w:val="0040562C"/>
    <w:rsid w:val="004224A4"/>
    <w:rsid w:val="00423BAC"/>
    <w:rsid w:val="00426C7C"/>
    <w:rsid w:val="0043779B"/>
    <w:rsid w:val="00440D7D"/>
    <w:rsid w:val="004514AC"/>
    <w:rsid w:val="00454C6E"/>
    <w:rsid w:val="00461144"/>
    <w:rsid w:val="00485D33"/>
    <w:rsid w:val="004A01ED"/>
    <w:rsid w:val="004A4FDF"/>
    <w:rsid w:val="004A64AE"/>
    <w:rsid w:val="004B5AA8"/>
    <w:rsid w:val="004C05DD"/>
    <w:rsid w:val="004C322B"/>
    <w:rsid w:val="004C5D6E"/>
    <w:rsid w:val="004D3C15"/>
    <w:rsid w:val="004D3DF0"/>
    <w:rsid w:val="004E75FD"/>
    <w:rsid w:val="004F1F7C"/>
    <w:rsid w:val="00502201"/>
    <w:rsid w:val="0051271F"/>
    <w:rsid w:val="0051336D"/>
    <w:rsid w:val="00515532"/>
    <w:rsid w:val="00516F63"/>
    <w:rsid w:val="00517EA4"/>
    <w:rsid w:val="00520E91"/>
    <w:rsid w:val="00523B1F"/>
    <w:rsid w:val="00526FF8"/>
    <w:rsid w:val="0053593B"/>
    <w:rsid w:val="00536866"/>
    <w:rsid w:val="005414D5"/>
    <w:rsid w:val="00541ECA"/>
    <w:rsid w:val="00560CFB"/>
    <w:rsid w:val="0056454E"/>
    <w:rsid w:val="00565306"/>
    <w:rsid w:val="005722C2"/>
    <w:rsid w:val="00587055"/>
    <w:rsid w:val="0059109A"/>
    <w:rsid w:val="00592422"/>
    <w:rsid w:val="00592A57"/>
    <w:rsid w:val="00597E07"/>
    <w:rsid w:val="005A364B"/>
    <w:rsid w:val="005A6E46"/>
    <w:rsid w:val="005C3545"/>
    <w:rsid w:val="005F232B"/>
    <w:rsid w:val="005F3200"/>
    <w:rsid w:val="005F5756"/>
    <w:rsid w:val="005F7480"/>
    <w:rsid w:val="00603A95"/>
    <w:rsid w:val="00611094"/>
    <w:rsid w:val="00617C3E"/>
    <w:rsid w:val="00621B77"/>
    <w:rsid w:val="006223E6"/>
    <w:rsid w:val="00626105"/>
    <w:rsid w:val="00631B40"/>
    <w:rsid w:val="00637CEE"/>
    <w:rsid w:val="006432C7"/>
    <w:rsid w:val="0065001D"/>
    <w:rsid w:val="006800D6"/>
    <w:rsid w:val="0068465D"/>
    <w:rsid w:val="00693F95"/>
    <w:rsid w:val="006A3EC1"/>
    <w:rsid w:val="006A4BBB"/>
    <w:rsid w:val="006C0B45"/>
    <w:rsid w:val="006C23F8"/>
    <w:rsid w:val="006C78D0"/>
    <w:rsid w:val="006D0FCC"/>
    <w:rsid w:val="006E4315"/>
    <w:rsid w:val="006F603C"/>
    <w:rsid w:val="00710539"/>
    <w:rsid w:val="00712CB9"/>
    <w:rsid w:val="00722F59"/>
    <w:rsid w:val="0072348E"/>
    <w:rsid w:val="00730D89"/>
    <w:rsid w:val="0073665E"/>
    <w:rsid w:val="007430A6"/>
    <w:rsid w:val="007463DA"/>
    <w:rsid w:val="00753115"/>
    <w:rsid w:val="00775FA5"/>
    <w:rsid w:val="00785516"/>
    <w:rsid w:val="007879CA"/>
    <w:rsid w:val="00792CFF"/>
    <w:rsid w:val="007B0AC1"/>
    <w:rsid w:val="007B2B51"/>
    <w:rsid w:val="007C0563"/>
    <w:rsid w:val="007C4B28"/>
    <w:rsid w:val="007C5EF7"/>
    <w:rsid w:val="007D3E50"/>
    <w:rsid w:val="007E4964"/>
    <w:rsid w:val="007E708A"/>
    <w:rsid w:val="007F7D9A"/>
    <w:rsid w:val="00801211"/>
    <w:rsid w:val="008015D5"/>
    <w:rsid w:val="00805DAB"/>
    <w:rsid w:val="0081391B"/>
    <w:rsid w:val="00831C72"/>
    <w:rsid w:val="00832034"/>
    <w:rsid w:val="00835983"/>
    <w:rsid w:val="008404BF"/>
    <w:rsid w:val="008479EA"/>
    <w:rsid w:val="008509C0"/>
    <w:rsid w:val="0085171A"/>
    <w:rsid w:val="00867421"/>
    <w:rsid w:val="00882CB9"/>
    <w:rsid w:val="00897C25"/>
    <w:rsid w:val="008A7929"/>
    <w:rsid w:val="008B3DDB"/>
    <w:rsid w:val="008B6765"/>
    <w:rsid w:val="008C2F7D"/>
    <w:rsid w:val="008D07FC"/>
    <w:rsid w:val="008D2943"/>
    <w:rsid w:val="008D3B33"/>
    <w:rsid w:val="008E47F7"/>
    <w:rsid w:val="008E5B15"/>
    <w:rsid w:val="008E6FE6"/>
    <w:rsid w:val="008E7218"/>
    <w:rsid w:val="008F4AEC"/>
    <w:rsid w:val="008F5121"/>
    <w:rsid w:val="008F5A58"/>
    <w:rsid w:val="008F6C1D"/>
    <w:rsid w:val="009060A7"/>
    <w:rsid w:val="0091376A"/>
    <w:rsid w:val="0091413C"/>
    <w:rsid w:val="009175B8"/>
    <w:rsid w:val="00931F17"/>
    <w:rsid w:val="00932EA6"/>
    <w:rsid w:val="00936882"/>
    <w:rsid w:val="00943B60"/>
    <w:rsid w:val="00957890"/>
    <w:rsid w:val="00963883"/>
    <w:rsid w:val="00963D1A"/>
    <w:rsid w:val="00964086"/>
    <w:rsid w:val="00964569"/>
    <w:rsid w:val="00965A8B"/>
    <w:rsid w:val="00967531"/>
    <w:rsid w:val="0097043A"/>
    <w:rsid w:val="009719D6"/>
    <w:rsid w:val="0097249B"/>
    <w:rsid w:val="00976C6B"/>
    <w:rsid w:val="00996A15"/>
    <w:rsid w:val="009B336D"/>
    <w:rsid w:val="009B4EEC"/>
    <w:rsid w:val="009C0435"/>
    <w:rsid w:val="009C687E"/>
    <w:rsid w:val="009D6400"/>
    <w:rsid w:val="00A0199F"/>
    <w:rsid w:val="00A01B7B"/>
    <w:rsid w:val="00A030E3"/>
    <w:rsid w:val="00A1275F"/>
    <w:rsid w:val="00A13D9A"/>
    <w:rsid w:val="00A14CEA"/>
    <w:rsid w:val="00A25820"/>
    <w:rsid w:val="00A55968"/>
    <w:rsid w:val="00A55E06"/>
    <w:rsid w:val="00A63691"/>
    <w:rsid w:val="00A65014"/>
    <w:rsid w:val="00A66522"/>
    <w:rsid w:val="00A70B75"/>
    <w:rsid w:val="00A71F71"/>
    <w:rsid w:val="00A76EC5"/>
    <w:rsid w:val="00A85BC5"/>
    <w:rsid w:val="00A97618"/>
    <w:rsid w:val="00AA0571"/>
    <w:rsid w:val="00AA2705"/>
    <w:rsid w:val="00AA3011"/>
    <w:rsid w:val="00AA715D"/>
    <w:rsid w:val="00AB43C1"/>
    <w:rsid w:val="00AC1D17"/>
    <w:rsid w:val="00AD3596"/>
    <w:rsid w:val="00AD5237"/>
    <w:rsid w:val="00AE4CD6"/>
    <w:rsid w:val="00AE5E74"/>
    <w:rsid w:val="00AF2E6B"/>
    <w:rsid w:val="00B10808"/>
    <w:rsid w:val="00B2010D"/>
    <w:rsid w:val="00B2498B"/>
    <w:rsid w:val="00B32529"/>
    <w:rsid w:val="00B32D35"/>
    <w:rsid w:val="00B40440"/>
    <w:rsid w:val="00B50DD6"/>
    <w:rsid w:val="00B55729"/>
    <w:rsid w:val="00B65512"/>
    <w:rsid w:val="00B65A08"/>
    <w:rsid w:val="00B6792D"/>
    <w:rsid w:val="00B67992"/>
    <w:rsid w:val="00B77240"/>
    <w:rsid w:val="00B80D38"/>
    <w:rsid w:val="00B95489"/>
    <w:rsid w:val="00BA18B9"/>
    <w:rsid w:val="00BA643B"/>
    <w:rsid w:val="00BB0C5C"/>
    <w:rsid w:val="00BB2C9D"/>
    <w:rsid w:val="00BB3384"/>
    <w:rsid w:val="00BB44E7"/>
    <w:rsid w:val="00BD2125"/>
    <w:rsid w:val="00BD29D9"/>
    <w:rsid w:val="00BD7427"/>
    <w:rsid w:val="00BE45C7"/>
    <w:rsid w:val="00BF4F15"/>
    <w:rsid w:val="00BF7162"/>
    <w:rsid w:val="00BF746D"/>
    <w:rsid w:val="00C02D40"/>
    <w:rsid w:val="00C07BEB"/>
    <w:rsid w:val="00C11527"/>
    <w:rsid w:val="00C13ED7"/>
    <w:rsid w:val="00C2761D"/>
    <w:rsid w:val="00C332D9"/>
    <w:rsid w:val="00C6459A"/>
    <w:rsid w:val="00C8111B"/>
    <w:rsid w:val="00C832B1"/>
    <w:rsid w:val="00C84DD0"/>
    <w:rsid w:val="00C85805"/>
    <w:rsid w:val="00C93B93"/>
    <w:rsid w:val="00CA2C7E"/>
    <w:rsid w:val="00CB6557"/>
    <w:rsid w:val="00CC3657"/>
    <w:rsid w:val="00CC6543"/>
    <w:rsid w:val="00CD0134"/>
    <w:rsid w:val="00CD7163"/>
    <w:rsid w:val="00CE0074"/>
    <w:rsid w:val="00CE0BDD"/>
    <w:rsid w:val="00CF4BE8"/>
    <w:rsid w:val="00CF4D2D"/>
    <w:rsid w:val="00CF4FBF"/>
    <w:rsid w:val="00CF653C"/>
    <w:rsid w:val="00D02177"/>
    <w:rsid w:val="00D14360"/>
    <w:rsid w:val="00D16E2C"/>
    <w:rsid w:val="00D23332"/>
    <w:rsid w:val="00D31517"/>
    <w:rsid w:val="00D415DD"/>
    <w:rsid w:val="00D45AEE"/>
    <w:rsid w:val="00D4671A"/>
    <w:rsid w:val="00D47ED0"/>
    <w:rsid w:val="00D57B69"/>
    <w:rsid w:val="00D918BF"/>
    <w:rsid w:val="00D94658"/>
    <w:rsid w:val="00DA509A"/>
    <w:rsid w:val="00DB4683"/>
    <w:rsid w:val="00DC248B"/>
    <w:rsid w:val="00DC2A6A"/>
    <w:rsid w:val="00DC6719"/>
    <w:rsid w:val="00DD1D3D"/>
    <w:rsid w:val="00DE2DDB"/>
    <w:rsid w:val="00DE3264"/>
    <w:rsid w:val="00DE5515"/>
    <w:rsid w:val="00DE5574"/>
    <w:rsid w:val="00DF1AFC"/>
    <w:rsid w:val="00DF268F"/>
    <w:rsid w:val="00DF279D"/>
    <w:rsid w:val="00DF6AE8"/>
    <w:rsid w:val="00DF7534"/>
    <w:rsid w:val="00DF776B"/>
    <w:rsid w:val="00E23980"/>
    <w:rsid w:val="00E2556C"/>
    <w:rsid w:val="00E34C96"/>
    <w:rsid w:val="00E4040F"/>
    <w:rsid w:val="00E443EC"/>
    <w:rsid w:val="00E44B4D"/>
    <w:rsid w:val="00E62396"/>
    <w:rsid w:val="00E76E97"/>
    <w:rsid w:val="00EA5911"/>
    <w:rsid w:val="00EC03BA"/>
    <w:rsid w:val="00EC0B59"/>
    <w:rsid w:val="00EC24B4"/>
    <w:rsid w:val="00EC3D43"/>
    <w:rsid w:val="00EC4C99"/>
    <w:rsid w:val="00ED7D0F"/>
    <w:rsid w:val="00EE1BDF"/>
    <w:rsid w:val="00EE3D4F"/>
    <w:rsid w:val="00EF2974"/>
    <w:rsid w:val="00EF34A7"/>
    <w:rsid w:val="00F152E5"/>
    <w:rsid w:val="00F22618"/>
    <w:rsid w:val="00F244F4"/>
    <w:rsid w:val="00F24801"/>
    <w:rsid w:val="00F27A8B"/>
    <w:rsid w:val="00F3012B"/>
    <w:rsid w:val="00F55D43"/>
    <w:rsid w:val="00F61CB7"/>
    <w:rsid w:val="00F66736"/>
    <w:rsid w:val="00F7645D"/>
    <w:rsid w:val="00F80BE4"/>
    <w:rsid w:val="00F814E9"/>
    <w:rsid w:val="00F861CD"/>
    <w:rsid w:val="00F92577"/>
    <w:rsid w:val="00F9350D"/>
    <w:rsid w:val="00FA1629"/>
    <w:rsid w:val="00FB5E16"/>
    <w:rsid w:val="00FB78A0"/>
    <w:rsid w:val="00FD2FB3"/>
    <w:rsid w:val="00FE2986"/>
    <w:rsid w:val="00FE30C2"/>
    <w:rsid w:val="00FF17F6"/>
    <w:rsid w:val="00FF7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64B50"/>
  <w15:chartTrackingRefBased/>
  <w15:docId w15:val="{311852F8-9893-42DA-8784-E1700E67C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47F7"/>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4D3C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D3C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C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C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C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C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C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C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7F7"/>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4D3C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D3C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3C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3C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3C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3C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3C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3C15"/>
    <w:rPr>
      <w:rFonts w:eastAsiaTheme="majorEastAsia" w:cstheme="majorBidi"/>
      <w:color w:val="272727" w:themeColor="text1" w:themeTint="D8"/>
    </w:rPr>
  </w:style>
  <w:style w:type="paragraph" w:styleId="Title">
    <w:name w:val="Title"/>
    <w:basedOn w:val="Normal"/>
    <w:next w:val="Normal"/>
    <w:link w:val="TitleChar"/>
    <w:uiPriority w:val="10"/>
    <w:qFormat/>
    <w:rsid w:val="004D3C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3C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3C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3C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C15"/>
    <w:pPr>
      <w:spacing w:before="160"/>
      <w:jc w:val="center"/>
    </w:pPr>
    <w:rPr>
      <w:i/>
      <w:iCs/>
      <w:color w:val="404040" w:themeColor="text1" w:themeTint="BF"/>
    </w:rPr>
  </w:style>
  <w:style w:type="character" w:customStyle="1" w:styleId="QuoteChar">
    <w:name w:val="Quote Char"/>
    <w:basedOn w:val="DefaultParagraphFont"/>
    <w:link w:val="Quote"/>
    <w:uiPriority w:val="29"/>
    <w:rsid w:val="004D3C15"/>
    <w:rPr>
      <w:i/>
      <w:iCs/>
      <w:color w:val="404040" w:themeColor="text1" w:themeTint="BF"/>
    </w:rPr>
  </w:style>
  <w:style w:type="paragraph" w:styleId="ListParagraph">
    <w:name w:val="List Paragraph"/>
    <w:basedOn w:val="Normal"/>
    <w:uiPriority w:val="34"/>
    <w:qFormat/>
    <w:rsid w:val="004D3C15"/>
    <w:pPr>
      <w:ind w:left="720"/>
      <w:contextualSpacing/>
    </w:pPr>
  </w:style>
  <w:style w:type="character" w:styleId="IntenseEmphasis">
    <w:name w:val="Intense Emphasis"/>
    <w:basedOn w:val="DefaultParagraphFont"/>
    <w:uiPriority w:val="21"/>
    <w:qFormat/>
    <w:rsid w:val="004D3C15"/>
    <w:rPr>
      <w:i/>
      <w:iCs/>
      <w:color w:val="0F4761" w:themeColor="accent1" w:themeShade="BF"/>
    </w:rPr>
  </w:style>
  <w:style w:type="paragraph" w:styleId="IntenseQuote">
    <w:name w:val="Intense Quote"/>
    <w:basedOn w:val="Normal"/>
    <w:next w:val="Normal"/>
    <w:link w:val="IntenseQuoteChar"/>
    <w:uiPriority w:val="30"/>
    <w:qFormat/>
    <w:rsid w:val="004D3C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3C15"/>
    <w:rPr>
      <w:i/>
      <w:iCs/>
      <w:color w:val="0F4761" w:themeColor="accent1" w:themeShade="BF"/>
    </w:rPr>
  </w:style>
  <w:style w:type="character" w:styleId="IntenseReference">
    <w:name w:val="Intense Reference"/>
    <w:basedOn w:val="DefaultParagraphFont"/>
    <w:uiPriority w:val="32"/>
    <w:qFormat/>
    <w:rsid w:val="004D3C15"/>
    <w:rPr>
      <w:b/>
      <w:bCs/>
      <w:smallCaps/>
      <w:color w:val="0F4761" w:themeColor="accent1" w:themeShade="BF"/>
      <w:spacing w:val="5"/>
    </w:rPr>
  </w:style>
  <w:style w:type="paragraph" w:styleId="NormalWeb">
    <w:name w:val="Normal (Web)"/>
    <w:basedOn w:val="Normal"/>
    <w:uiPriority w:val="99"/>
    <w:unhideWhenUsed/>
    <w:rsid w:val="0020785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0785D"/>
    <w:rPr>
      <w:i/>
      <w:iCs/>
    </w:rPr>
  </w:style>
  <w:style w:type="character" w:styleId="Strong">
    <w:name w:val="Strong"/>
    <w:basedOn w:val="DefaultParagraphFont"/>
    <w:uiPriority w:val="22"/>
    <w:qFormat/>
    <w:rsid w:val="0020785D"/>
    <w:rPr>
      <w:b/>
      <w:bCs/>
    </w:rPr>
  </w:style>
  <w:style w:type="character" w:styleId="Hyperlink">
    <w:name w:val="Hyperlink"/>
    <w:basedOn w:val="DefaultParagraphFont"/>
    <w:uiPriority w:val="99"/>
    <w:unhideWhenUsed/>
    <w:rsid w:val="0020785D"/>
    <w:rPr>
      <w:color w:val="0000FF"/>
      <w:u w:val="single"/>
    </w:rPr>
  </w:style>
  <w:style w:type="character" w:styleId="UnresolvedMention">
    <w:name w:val="Unresolved Mention"/>
    <w:basedOn w:val="DefaultParagraphFont"/>
    <w:uiPriority w:val="99"/>
    <w:semiHidden/>
    <w:unhideWhenUsed/>
    <w:rsid w:val="00264A0C"/>
    <w:rPr>
      <w:color w:val="605E5C"/>
      <w:shd w:val="clear" w:color="auto" w:fill="E1DFDD"/>
    </w:rPr>
  </w:style>
  <w:style w:type="table" w:styleId="TableGrid">
    <w:name w:val="Table Grid"/>
    <w:basedOn w:val="TableNormal"/>
    <w:uiPriority w:val="39"/>
    <w:rsid w:val="00621B77"/>
    <w:pPr>
      <w:spacing w:after="0" w:line="240" w:lineRule="auto"/>
    </w:pPr>
    <w:rPr>
      <w:rFonts w:ascii="Times New Roman" w:hAnsi="Times New Roman"/>
      <w:kern w:val="0"/>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hitespace-normal">
    <w:name w:val="whitespace-normal"/>
    <w:basedOn w:val="DefaultParagraphFont"/>
    <w:rsid w:val="00D45AEE"/>
  </w:style>
  <w:style w:type="paragraph" w:styleId="Header">
    <w:name w:val="header"/>
    <w:basedOn w:val="Normal"/>
    <w:link w:val="HeaderChar"/>
    <w:uiPriority w:val="99"/>
    <w:unhideWhenUsed/>
    <w:rsid w:val="00D02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177"/>
  </w:style>
  <w:style w:type="paragraph" w:styleId="Footer">
    <w:name w:val="footer"/>
    <w:basedOn w:val="Normal"/>
    <w:link w:val="FooterChar"/>
    <w:uiPriority w:val="99"/>
    <w:unhideWhenUsed/>
    <w:rsid w:val="00D02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177"/>
  </w:style>
  <w:style w:type="paragraph" w:styleId="TOCHeading">
    <w:name w:val="TOC Heading"/>
    <w:basedOn w:val="Heading1"/>
    <w:next w:val="Normal"/>
    <w:uiPriority w:val="39"/>
    <w:unhideWhenUsed/>
    <w:qFormat/>
    <w:rsid w:val="002901EF"/>
    <w:pPr>
      <w:spacing w:before="240" w:after="0" w:line="259" w:lineRule="auto"/>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2901EF"/>
    <w:pPr>
      <w:spacing w:after="100"/>
    </w:pPr>
  </w:style>
  <w:style w:type="paragraph" w:styleId="TOC2">
    <w:name w:val="toc 2"/>
    <w:basedOn w:val="Normal"/>
    <w:next w:val="Normal"/>
    <w:autoRedefine/>
    <w:uiPriority w:val="39"/>
    <w:unhideWhenUsed/>
    <w:rsid w:val="002901EF"/>
    <w:pPr>
      <w:spacing w:after="100"/>
      <w:ind w:left="240"/>
    </w:pPr>
  </w:style>
  <w:style w:type="paragraph" w:styleId="TOC3">
    <w:name w:val="toc 3"/>
    <w:basedOn w:val="Normal"/>
    <w:next w:val="Normal"/>
    <w:autoRedefine/>
    <w:uiPriority w:val="39"/>
    <w:unhideWhenUsed/>
    <w:rsid w:val="002901EF"/>
    <w:pPr>
      <w:spacing w:after="100"/>
      <w:ind w:left="480"/>
    </w:pPr>
  </w:style>
  <w:style w:type="paragraph" w:customStyle="1" w:styleId="xmsonormal">
    <w:name w:val="x_msonormal"/>
    <w:basedOn w:val="Normal"/>
    <w:rsid w:val="005924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rp.org" TargetMode="External"/><Relationship Id="rId18" Type="http://schemas.openxmlformats.org/officeDocument/2006/relationships/hyperlink" Target="https://www.hra.nhs.uk/approvals-amendments/what-approvals-do-i-need/hra-approval/?utm_source=chatgpt.com" TargetMode="External"/><Relationship Id="rId26" Type="http://schemas.openxmlformats.org/officeDocument/2006/relationships/hyperlink" Target="https://www.who.int" TargetMode="External"/><Relationship Id="rId3" Type="http://schemas.openxmlformats.org/officeDocument/2006/relationships/styles" Target="styles.xml"/><Relationship Id="rId21" Type="http://schemas.openxmlformats.org/officeDocument/2006/relationships/hyperlink" Target="https://www.sciencedirect.com/" TargetMode="External"/><Relationship Id="rId7" Type="http://schemas.openxmlformats.org/officeDocument/2006/relationships/endnotes" Target="endnotes.xml"/><Relationship Id="rId12" Type="http://schemas.openxmlformats.org/officeDocument/2006/relationships/hyperlink" Target="https://pubmed.ncbi.nlm.nih.gov/" TargetMode="External"/><Relationship Id="rId17" Type="http://schemas.openxmlformats.org/officeDocument/2006/relationships/hyperlink" Target="https://www.hra.nhs.uk/about-us/news-updates/declaration-helsinki/?utm_source=chatgpt.com" TargetMode="External"/><Relationship Id="rId25" Type="http://schemas.openxmlformats.org/officeDocument/2006/relationships/hyperlink" Target="https://pubmed.ncbi.nlm.nih.gov/%20(Accessed:13April2026)" TargetMode="External"/><Relationship Id="rId2" Type="http://schemas.openxmlformats.org/officeDocument/2006/relationships/numbering" Target="numbering.xml"/><Relationship Id="rId16" Type="http://schemas.openxmlformats.org/officeDocument/2006/relationships/hyperlink" Target="https://doi.org/10.1093/oxfordhb/9780190947750.001.0001" TargetMode="External"/><Relationship Id="rId20" Type="http://schemas.openxmlformats.org/officeDocument/2006/relationships/hyperlink" Target="https://eur01.safelinks.protection.outlook.com/?url=https%3A%2F%2Flivingwellpartnership.nhs.uk%2Fservices-longtermconditions%2F%23%3A~%3Atext%3DA%2520long%2520term%2520condition%2520is%2Cprovide%2520long%2520term%2520management%2520advice.(Accessed&amp;data=05%7C02%7C2328440%40student.uwtsd.ac.uk%7C4cea60fb377f464bbc8708de9bc1c168%7C4e0f11f9046e45059cb8db2152311e21%7C0%7C0%7C639119453638707735%7CUnknown%7CTWFpbGZsb3d8eyJFbXB0eU1hcGkiOnRydWUsIlYiOiIwLjAuMDAwMCIsIlAiOiJXaW4zMiIsIkFOIjoiTWFpbCIsIldUIjoyfQ%3D%3D%7C0%7C%7C%7C&amp;sdata=wNxLbqvqRJ2%2FOWBLy1Q9SwFZwmxCY4pGw5tLkxeA6Xs%3D&amp;reserved=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search?q=calder%2C+p.c.+(2020)+%E2%80%98omega-3+fatty+acids+and+inflammatory+processes%E2%80%99%2C+nutrients%2C+12(2)%2C+pp.+1%E2%80%9318.&amp;gs_lcrp=Eg" TargetMode="External"/><Relationship Id="rId24" Type="http://schemas.openxmlformats.org/officeDocument/2006/relationships/hyperlink" Target="https://doi.org/10.1017/S0029665118001192" TargetMode="External"/><Relationship Id="rId5" Type="http://schemas.openxmlformats.org/officeDocument/2006/relationships/webSettings" Target="webSettings.xml"/><Relationship Id="rId15" Type="http://schemas.openxmlformats.org/officeDocument/2006/relationships/hyperlink" Target="https://www.nejm.org/" TargetMode="External"/><Relationship Id="rId23" Type="http://schemas.openxmlformats.org/officeDocument/2006/relationships/hyperlink" Target="https://www.nhs.uk" TargetMode="External"/><Relationship Id="rId28" Type="http://schemas.openxmlformats.org/officeDocument/2006/relationships/hyperlink" Target="https://www.cambridge.org/core/journals/british-journal-of-nutrition/article/overview-of-antiinflammatory-diets-and-their-promising-effects-on-noncommunicabl(Accessed:10April2026)" TargetMode="External"/><Relationship Id="rId10" Type="http://schemas.openxmlformats.org/officeDocument/2006/relationships/hyperlink" Target="https://eprints.whiterose.ac.uk/" TargetMode="External"/><Relationship Id="rId19" Type="http://schemas.openxmlformats.org/officeDocument/2006/relationships/hyperlink" Target="http://www.nejm.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legislation.gov.uk/ukpga/2018/12/contents" TargetMode="External"/><Relationship Id="rId22" Type="http://schemas.openxmlformats.org/officeDocument/2006/relationships/hyperlink" Target="https://www.coffeeandhealth.org/health/research/c-b-mazzucca-et-al-2022-nutrition-and-rheumatoid-arthritis-onset-a-prospective-analysis-using-the-uk-bioba" TargetMode="External"/><Relationship Id="rId27" Type="http://schemas.openxmlformats.org/officeDocument/2006/relationships/hyperlink" Target="https://journals.sagepub.c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2FEFD-2CAC-4AA4-96A5-9B9025598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4987</Words>
  <Characters>28431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Diyana Vasileva (2328440)</dc:creator>
  <cp:keywords/>
  <dc:description/>
  <cp:lastModifiedBy>Diyana Vasileva (2328440)</cp:lastModifiedBy>
  <cp:revision>2</cp:revision>
  <dcterms:created xsi:type="dcterms:W3CDTF">2026-04-17T09:09:00Z</dcterms:created>
  <dcterms:modified xsi:type="dcterms:W3CDTF">2026-04-17T09:09:00Z</dcterms:modified>
</cp:coreProperties>
</file>