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11166260"/>
        <w:docPartObj>
          <w:docPartGallery w:val="Cover Pages"/>
          <w:docPartUnique/>
        </w:docPartObj>
      </w:sdtPr>
      <w:sdtEndPr>
        <w:rPr>
          <w:u w:val="single"/>
          <w:lang w:val="en-GB"/>
        </w:rPr>
      </w:sdtEndPr>
      <w:sdtContent>
        <w:p w14:paraId="0F30D8C8" w14:textId="65AB965B" w:rsidR="00B2508F" w:rsidRDefault="00B2508F">
          <w:r>
            <w:rPr>
              <w:noProof/>
            </w:rPr>
            <mc:AlternateContent>
              <mc:Choice Requires="wps">
                <w:drawing>
                  <wp:anchor distT="0" distB="0" distL="114300" distR="114300" simplePos="0" relativeHeight="251664384" behindDoc="0" locked="0" layoutInCell="1" allowOverlap="1" wp14:anchorId="5FF921A8" wp14:editId="738D224A">
                    <wp:simplePos x="0" y="0"/>
                    <mc:AlternateContent>
                      <mc:Choice Requires="wp14">
                        <wp:positionH relativeFrom="page">
                          <wp14:pctPosHOffset>45500</wp14:pctPosHOffset>
                        </wp:positionH>
                      </mc:Choice>
                      <mc:Fallback>
                        <wp:positionH relativeFrom="page">
                          <wp:posOffset>3440430</wp:posOffset>
                        </wp:positionH>
                      </mc:Fallback>
                    </mc:AlternateContent>
                    <mc:AlternateContent>
                      <mc:Choice Requires="wp14">
                        <wp:positionV relativeFrom="page">
                          <wp14:pctPosVOffset>66000</wp14:pctPosVOffset>
                        </wp:positionV>
                      </mc:Choice>
                      <mc:Fallback>
                        <wp:positionV relativeFrom="page">
                          <wp:posOffset>7054850</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29EFCC31" w14:textId="527CBB89" w:rsidR="00B2508F" w:rsidRDefault="00B2508F">
                                <w:pPr>
                                  <w:pStyle w:val="NoSpacing"/>
                                  <w:rPr>
                                    <w:noProof/>
                                    <w:color w:val="1F497D" w:themeColor="text2"/>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5FF921A8" id="_x0000_t202" coordsize="21600,21600" o:spt="202" path="m,l,21600r21600,l21600,xe">
                    <v:stroke joinstyle="miter"/>
                    <v:path gradientshapeok="t" o:connecttype="rect"/>
                  </v:shapetype>
                  <v:shape id="Text Box 465" o:spid="_x0000_s1026" type="#_x0000_t202" style="position:absolute;left:0;text-align:left;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29EFCC31" w14:textId="527CBB89" w:rsidR="00B2508F" w:rsidRDefault="00B2508F">
                          <w:pPr>
                            <w:pStyle w:val="NoSpacing"/>
                            <w:rPr>
                              <w:noProof/>
                              <w:color w:val="1F497D" w:themeColor="text2"/>
                            </w:rPr>
                          </w:pPr>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08695F2E" wp14:editId="4D752993">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970F79A" w14:textId="77777777" w:rsidR="00B2508F" w:rsidRDefault="00B2508F"/>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8695F2E" id="Rectangle 466" o:spid="_x0000_s1027" style="position:absolute;left:0;text-align:left;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" fillcolor="#dbe5f1 [660]" stroked="f" strokeweight="2pt">
                    <v:fill color2="#95b3d7 [1940]" rotate="t" focusposition=".5,.5" focussize="" focus="100%" type="gradientRadial"/>
                    <v:textbox inset="21.6pt,,21.6pt">
                      <w:txbxContent>
                        <w:p w14:paraId="1970F79A" w14:textId="77777777" w:rsidR="00B2508F" w:rsidRDefault="00B2508F"/>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22C8B948" wp14:editId="0978C093">
                    <wp:simplePos x="0" y="0"/>
                    <mc:AlternateContent>
                      <mc:Choice Requires="wp14">
                        <wp:positionH relativeFrom="page">
                          <wp14:pctPosHOffset>45500</wp14:pctPosHOffset>
                        </wp:positionH>
                      </mc:Choice>
                      <mc:Fallback>
                        <wp:positionH relativeFrom="page">
                          <wp:posOffset>3440430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FF837CD" w14:textId="64A648BC" w:rsidR="00B2508F" w:rsidRDefault="00B2508F">
                                <w:pPr>
                                  <w:spacing w:before="240"/>
                                  <w:jc w:val="center"/>
                                  <w:rPr>
                                    <w:color w:val="FFFFFF" w:themeColor="background1"/>
                                    <w:sz w:val="52"/>
                                    <w:szCs w:val="52"/>
                                  </w:rPr>
                                </w:pPr>
                                <w:sdt>
                                  <w:sdtPr>
                                    <w:rPr>
                                      <w:color w:val="FFFFFF" w:themeColor="background1"/>
                                      <w:sz w:val="52"/>
                                      <w:szCs w:val="52"/>
                                    </w:rPr>
                                    <w:alias w:val="Abstract"/>
                                    <w:id w:val="8276291"/>
                                    <w:dataBinding w:prefixMappings="xmlns:ns0='http://schemas.microsoft.com/office/2006/coverPageProps'" w:xpath="/ns0:CoverPageProperties[1]/ns0:Abstract[1]" w:storeItemID="{55AF091B-3C7A-41E3-B477-F2FDAA23CFDA}"/>
                                    <w:text/>
                                  </w:sdtPr>
                                  <w:sdtContent>
                                    <w:r w:rsidRPr="00B2508F">
                                      <w:rPr>
                                        <w:color w:val="FFFFFF" w:themeColor="background1"/>
                                        <w:sz w:val="52"/>
                                        <w:szCs w:val="52"/>
                                      </w:rPr>
                                      <w:t>Criminal Law</w:t>
                                    </w:r>
                                  </w:sdtContent>
                                </w:sdt>
                              </w:p>
                              <w:p w14:paraId="5A414690" w14:textId="2F0DB6E1" w:rsidR="00B2508F" w:rsidRDefault="00B2508F">
                                <w:pPr>
                                  <w:spacing w:before="240"/>
                                  <w:jc w:val="center"/>
                                  <w:rPr>
                                    <w:rFonts w:eastAsia="Arial"/>
                                    <w:b/>
                                    <w:sz w:val="36"/>
                                    <w:szCs w:val="36"/>
                                  </w:rPr>
                                </w:pPr>
                                <w:r w:rsidRPr="00B2508F">
                                  <w:rPr>
                                    <w:rFonts w:eastAsia="Arial"/>
                                    <w:b/>
                                    <w:sz w:val="36"/>
                                    <w:szCs w:val="36"/>
                                  </w:rPr>
                                  <w:t>BMLW4005</w:t>
                                </w:r>
                              </w:p>
                              <w:p w14:paraId="3C2DA935" w14:textId="3EC13D6E" w:rsidR="00B2508F" w:rsidRDefault="00B2508F">
                                <w:pPr>
                                  <w:spacing w:before="240"/>
                                  <w:jc w:val="center"/>
                                  <w:rPr>
                                    <w:rFonts w:eastAsia="Arial"/>
                                    <w:b/>
                                    <w:sz w:val="36"/>
                                    <w:szCs w:val="36"/>
                                  </w:rPr>
                                </w:pPr>
                              </w:p>
                              <w:p w14:paraId="165E8360" w14:textId="4B2023F9" w:rsidR="00B2508F" w:rsidRPr="00B2508F" w:rsidRDefault="00B2508F">
                                <w:pPr>
                                  <w:spacing w:before="240"/>
                                  <w:jc w:val="center"/>
                                  <w:rPr>
                                    <w:color w:val="FFFFFF" w:themeColor="background1"/>
                                    <w:sz w:val="40"/>
                                    <w:szCs w:val="40"/>
                                  </w:rPr>
                                </w:pPr>
                                <w:r>
                                  <w:rPr>
                                    <w:rFonts w:eastAsia="Arial"/>
                                    <w:b/>
                                    <w:sz w:val="36"/>
                                    <w:szCs w:val="36"/>
                                  </w:rPr>
                                  <w:t>Law Portfolio</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22C8B948" id="Rectangle 467" o:spid="_x0000_s1028" style="position:absolute;left:0;text-align:left;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" fillcolor="#1f497d [3215]" stroked="f" strokeweight="2pt">
                    <v:textbox inset="14.4pt,14.4pt,14.4pt,28.8pt">
                      <w:txbxContent>
                        <w:p w14:paraId="6FF837CD" w14:textId="64A648BC" w:rsidR="00B2508F" w:rsidRDefault="00B2508F">
                          <w:pPr>
                            <w:spacing w:before="240"/>
                            <w:jc w:val="center"/>
                            <w:rPr>
                              <w:color w:val="FFFFFF" w:themeColor="background1"/>
                              <w:sz w:val="52"/>
                              <w:szCs w:val="52"/>
                            </w:rPr>
                          </w:pPr>
                          <w:sdt>
                            <w:sdtPr>
                              <w:rPr>
                                <w:color w:val="FFFFFF" w:themeColor="background1"/>
                                <w:sz w:val="52"/>
                                <w:szCs w:val="52"/>
                              </w:rPr>
                              <w:alias w:val="Abstract"/>
                              <w:id w:val="8276291"/>
                              <w:dataBinding w:prefixMappings="xmlns:ns0='http://schemas.microsoft.com/office/2006/coverPageProps'" w:xpath="/ns0:CoverPageProperties[1]/ns0:Abstract[1]" w:storeItemID="{55AF091B-3C7A-41E3-B477-F2FDAA23CFDA}"/>
                              <w:text/>
                            </w:sdtPr>
                            <w:sdtContent>
                              <w:r w:rsidRPr="00B2508F">
                                <w:rPr>
                                  <w:color w:val="FFFFFF" w:themeColor="background1"/>
                                  <w:sz w:val="52"/>
                                  <w:szCs w:val="52"/>
                                </w:rPr>
                                <w:t>Criminal Law</w:t>
                              </w:r>
                            </w:sdtContent>
                          </w:sdt>
                        </w:p>
                        <w:p w14:paraId="5A414690" w14:textId="2F0DB6E1" w:rsidR="00B2508F" w:rsidRDefault="00B2508F">
                          <w:pPr>
                            <w:spacing w:before="240"/>
                            <w:jc w:val="center"/>
                            <w:rPr>
                              <w:rFonts w:eastAsia="Arial"/>
                              <w:b/>
                              <w:sz w:val="36"/>
                              <w:szCs w:val="36"/>
                            </w:rPr>
                          </w:pPr>
                          <w:r w:rsidRPr="00B2508F">
                            <w:rPr>
                              <w:rFonts w:eastAsia="Arial"/>
                              <w:b/>
                              <w:sz w:val="36"/>
                              <w:szCs w:val="36"/>
                            </w:rPr>
                            <w:t>BMLW4005</w:t>
                          </w:r>
                        </w:p>
                        <w:p w14:paraId="3C2DA935" w14:textId="3EC13D6E" w:rsidR="00B2508F" w:rsidRDefault="00B2508F">
                          <w:pPr>
                            <w:spacing w:before="240"/>
                            <w:jc w:val="center"/>
                            <w:rPr>
                              <w:rFonts w:eastAsia="Arial"/>
                              <w:b/>
                              <w:sz w:val="36"/>
                              <w:szCs w:val="36"/>
                            </w:rPr>
                          </w:pPr>
                        </w:p>
                        <w:p w14:paraId="165E8360" w14:textId="4B2023F9" w:rsidR="00B2508F" w:rsidRPr="00B2508F" w:rsidRDefault="00B2508F">
                          <w:pPr>
                            <w:spacing w:before="240"/>
                            <w:jc w:val="center"/>
                            <w:rPr>
                              <w:color w:val="FFFFFF" w:themeColor="background1"/>
                              <w:sz w:val="40"/>
                              <w:szCs w:val="40"/>
                            </w:rPr>
                          </w:pPr>
                          <w:r>
                            <w:rPr>
                              <w:rFonts w:eastAsia="Arial"/>
                              <w:b/>
                              <w:sz w:val="36"/>
                              <w:szCs w:val="36"/>
                            </w:rPr>
                            <w:t>Law Portfolio</w:t>
                          </w: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78806A77" wp14:editId="718157BB">
                    <wp:simplePos x="0" y="0"/>
                    <mc:AlternateContent>
                      <mc:Choice Requires="wp14">
                        <wp:positionH relativeFrom="page">
                          <wp14:pctPosHOffset>44000</wp14:pctPosHOffset>
                        </wp:positionH>
                      </mc:Choice>
                      <mc:Fallback>
                        <wp:positionH relativeFrom="page">
                          <wp:posOffset>3326765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326BC99D"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93895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0A0F8E8F" wp14:editId="11DCAD8A">
                    <wp:simplePos x="0" y="0"/>
                    <mc:AlternateContent>
                      <mc:Choice Requires="wp14">
                        <wp:positionH relativeFrom="page">
                          <wp14:pctPosHOffset>45500</wp14:pctPosHOffset>
                        </wp:positionH>
                      </mc:Choice>
                      <mc:Fallback>
                        <wp:positionH relativeFrom="page">
                          <wp:posOffset>3440430</wp:posOffset>
                        </wp:positionH>
                      </mc:Fallback>
                    </mc:AlternateContent>
                    <mc:AlternateContent>
                      <mc:Choice Requires="wp14">
                        <wp:positionV relativeFrom="page">
                          <wp14:pctPosVOffset>69000</wp14:pctPosVOffset>
                        </wp:positionV>
                      </mc:Choice>
                      <mc:Fallback>
                        <wp:positionV relativeFrom="page">
                          <wp:posOffset>7375525</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5D36560"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" fillcolor="#4f81bd [3204]" stroked="f" strokeweight="2pt">
                    <w10:wrap anchorx="page" anchory="page"/>
                  </v:rect>
                </w:pict>
              </mc:Fallback>
            </mc:AlternateContent>
          </w:r>
        </w:p>
        <w:p w14:paraId="6E9DF8EF" w14:textId="1E629605" w:rsidR="001708DF" w:rsidRPr="00B2508F" w:rsidRDefault="00B2508F" w:rsidP="00B2508F">
          <w:pPr>
            <w:rPr>
              <w:u w:val="single"/>
              <w:lang w:val="en-GB"/>
            </w:rPr>
          </w:pPr>
          <w:r>
            <w:rPr>
              <w:noProof/>
            </w:rPr>
            <mc:AlternateContent>
              <mc:Choice Requires="wps">
                <w:drawing>
                  <wp:anchor distT="0" distB="0" distL="114300" distR="114300" simplePos="0" relativeHeight="251661312" behindDoc="0" locked="0" layoutInCell="1" allowOverlap="1" wp14:anchorId="59FA3357" wp14:editId="37232C0E">
                    <wp:simplePos x="0" y="0"/>
                    <wp:positionH relativeFrom="page">
                      <wp:posOffset>3516630</wp:posOffset>
                    </wp:positionH>
                    <wp:positionV relativeFrom="page">
                      <wp:posOffset>4338955</wp:posOffset>
                    </wp:positionV>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32228DD9" w14:textId="77777777" w:rsidR="00B2508F" w:rsidRDefault="00B2508F">
                                <w:pPr>
                                  <w:rPr>
                                    <w:rFonts w:asciiTheme="majorHAnsi" w:eastAsiaTheme="majorEastAsia" w:hAnsiTheme="majorHAnsi" w:cstheme="majorBidi"/>
                                    <w:noProof/>
                                    <w:color w:val="4F81BD" w:themeColor="accent1"/>
                                    <w:sz w:val="72"/>
                                    <w:szCs w:val="72"/>
                                  </w:rPr>
                                </w:pPr>
                              </w:p>
                              <w:p w14:paraId="4811BBB1" w14:textId="77777777" w:rsidR="00B2508F" w:rsidRDefault="00B2508F">
                                <w:pPr>
                                  <w:rPr>
                                    <w:rFonts w:asciiTheme="majorHAnsi" w:eastAsiaTheme="majorEastAsia" w:hAnsiTheme="majorHAnsi" w:cstheme="majorBidi"/>
                                    <w:noProof/>
                                    <w:color w:val="4F81BD" w:themeColor="accent1"/>
                                    <w:sz w:val="72"/>
                                    <w:szCs w:val="72"/>
                                  </w:rPr>
                                </w:pPr>
                              </w:p>
                              <w:p w14:paraId="030DE495" w14:textId="77777777" w:rsidR="00B2508F" w:rsidRDefault="00B2508F">
                                <w:pPr>
                                  <w:rPr>
                                    <w:rFonts w:asciiTheme="majorHAnsi" w:eastAsiaTheme="majorEastAsia" w:hAnsiTheme="majorHAnsi" w:cstheme="majorBidi"/>
                                    <w:noProof/>
                                    <w:color w:val="4F81BD" w:themeColor="accent1"/>
                                    <w:sz w:val="52"/>
                                    <w:szCs w:val="52"/>
                                  </w:rPr>
                                </w:pPr>
                              </w:p>
                              <w:p w14:paraId="75564D98" w14:textId="6B5A5222" w:rsidR="00B2508F" w:rsidRPr="00B2508F" w:rsidRDefault="00B2508F" w:rsidP="00B2508F">
                                <w:pPr>
                                  <w:jc w:val="center"/>
                                  <w:rPr>
                                    <w:rFonts w:asciiTheme="majorHAnsi" w:eastAsiaTheme="majorEastAsia" w:hAnsiTheme="majorHAnsi" w:cstheme="majorBidi"/>
                                    <w:noProof/>
                                    <w:color w:val="1F497D" w:themeColor="text2"/>
                                    <w:sz w:val="20"/>
                                  </w:rPr>
                                </w:pPr>
                                <w:r w:rsidRPr="00B2508F">
                                  <w:rPr>
                                    <w:rFonts w:asciiTheme="majorHAnsi" w:eastAsiaTheme="majorEastAsia" w:hAnsiTheme="majorHAnsi" w:cstheme="majorBidi"/>
                                    <w:noProof/>
                                    <w:color w:val="4F81BD" w:themeColor="accent1"/>
                                    <w:sz w:val="44"/>
                                    <w:szCs w:val="44"/>
                                  </w:rPr>
                                  <w:t>Monica Antonescu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59FA3357" id="Text Box 470" o:spid="_x0000_s1029" type="#_x0000_t202" style="position:absolute;left:0;text-align:left;margin-left:276.9pt;margin-top:341.65pt;width:220.3pt;height:194.9pt;z-index:251661312;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" filled="f" stroked="f" strokeweight=".5pt">
                    <v:textbox style="mso-fit-shape-to-text:t">
                      <w:txbxContent>
                        <w:p w14:paraId="32228DD9" w14:textId="77777777" w:rsidR="00B2508F" w:rsidRDefault="00B2508F">
                          <w:pPr>
                            <w:rPr>
                              <w:rFonts w:asciiTheme="majorHAnsi" w:eastAsiaTheme="majorEastAsia" w:hAnsiTheme="majorHAnsi" w:cstheme="majorBidi"/>
                              <w:noProof/>
                              <w:color w:val="4F81BD" w:themeColor="accent1"/>
                              <w:sz w:val="72"/>
                              <w:szCs w:val="72"/>
                            </w:rPr>
                          </w:pPr>
                        </w:p>
                        <w:p w14:paraId="4811BBB1" w14:textId="77777777" w:rsidR="00B2508F" w:rsidRDefault="00B2508F">
                          <w:pPr>
                            <w:rPr>
                              <w:rFonts w:asciiTheme="majorHAnsi" w:eastAsiaTheme="majorEastAsia" w:hAnsiTheme="majorHAnsi" w:cstheme="majorBidi"/>
                              <w:noProof/>
                              <w:color w:val="4F81BD" w:themeColor="accent1"/>
                              <w:sz w:val="72"/>
                              <w:szCs w:val="72"/>
                            </w:rPr>
                          </w:pPr>
                        </w:p>
                        <w:p w14:paraId="030DE495" w14:textId="77777777" w:rsidR="00B2508F" w:rsidRDefault="00B2508F">
                          <w:pPr>
                            <w:rPr>
                              <w:rFonts w:asciiTheme="majorHAnsi" w:eastAsiaTheme="majorEastAsia" w:hAnsiTheme="majorHAnsi" w:cstheme="majorBidi"/>
                              <w:noProof/>
                              <w:color w:val="4F81BD" w:themeColor="accent1"/>
                              <w:sz w:val="52"/>
                              <w:szCs w:val="52"/>
                            </w:rPr>
                          </w:pPr>
                        </w:p>
                        <w:p w14:paraId="75564D98" w14:textId="6B5A5222" w:rsidR="00B2508F" w:rsidRPr="00B2508F" w:rsidRDefault="00B2508F" w:rsidP="00B2508F">
                          <w:pPr>
                            <w:jc w:val="center"/>
                            <w:rPr>
                              <w:rFonts w:asciiTheme="majorHAnsi" w:eastAsiaTheme="majorEastAsia" w:hAnsiTheme="majorHAnsi" w:cstheme="majorBidi"/>
                              <w:noProof/>
                              <w:color w:val="1F497D" w:themeColor="text2"/>
                              <w:sz w:val="20"/>
                            </w:rPr>
                          </w:pPr>
                          <w:r w:rsidRPr="00B2508F">
                            <w:rPr>
                              <w:rFonts w:asciiTheme="majorHAnsi" w:eastAsiaTheme="majorEastAsia" w:hAnsiTheme="majorHAnsi" w:cstheme="majorBidi"/>
                              <w:noProof/>
                              <w:color w:val="4F81BD" w:themeColor="accent1"/>
                              <w:sz w:val="44"/>
                              <w:szCs w:val="44"/>
                            </w:rPr>
                            <w:t>Monica Antonescu</w:t>
                          </w:r>
                        </w:p>
                      </w:txbxContent>
                    </v:textbox>
                    <w10:wrap type="square" anchorx="page" anchory="page"/>
                  </v:shape>
                </w:pict>
              </mc:Fallback>
            </mc:AlternateContent>
          </w:r>
          <w:r>
            <w:rPr>
              <w:u w:val="single"/>
              <w:lang w:val="en-GB"/>
            </w:rPr>
            <w:br w:type="page"/>
          </w:r>
        </w:p>
      </w:sdtContent>
    </w:sdt>
    <w:p w14:paraId="3D63D15A" w14:textId="77777777" w:rsidR="001708DF" w:rsidRPr="00F80189" w:rsidRDefault="001708DF" w:rsidP="00F80189">
      <w:pPr>
        <w:pStyle w:val="Heading1"/>
        <w:spacing w:after="0"/>
        <w:rPr>
          <w:lang w:val="en-GB"/>
        </w:rPr>
      </w:pPr>
      <w:bookmarkStart w:id="0" w:name="_louh8pj1xcc" w:colFirst="0" w:colLast="0"/>
      <w:bookmarkEnd w:id="0"/>
    </w:p>
    <w:sdt>
      <w:sdtPr>
        <w:rPr>
          <w:lang w:val="en-GB"/>
        </w:rPr>
        <w:id w:val="8201266"/>
        <w:docPartObj>
          <w:docPartGallery w:val="Table of Contents"/>
          <w:docPartUnique/>
        </w:docPartObj>
      </w:sdtPr>
      <w:sdtContent>
        <w:p w14:paraId="39632C28" w14:textId="77777777" w:rsidR="001708DF" w:rsidRPr="00F80189" w:rsidRDefault="001708DF" w:rsidP="00F80189">
          <w:pPr>
            <w:pStyle w:val="Normal1"/>
            <w:tabs>
              <w:tab w:val="right" w:pos="9025"/>
            </w:tabs>
            <w:spacing w:after="0"/>
            <w:jc w:val="center"/>
            <w:rPr>
              <w:b/>
              <w:color w:val="000000"/>
              <w:lang w:val="en-GB"/>
            </w:rPr>
          </w:pPr>
          <w:r w:rsidRPr="00F80189">
            <w:rPr>
              <w:lang w:val="en-GB"/>
            </w:rPr>
            <w:fldChar w:fldCharType="begin"/>
          </w:r>
          <w:r w:rsidR="000D6A80" w:rsidRPr="00F80189">
            <w:rPr>
              <w:lang w:val="en-GB"/>
            </w:rPr>
            <w:instrText xml:space="preserve"> TOC \h \u \z </w:instrText>
          </w:r>
          <w:r w:rsidRPr="00F80189">
            <w:rPr>
              <w:lang w:val="en-GB"/>
            </w:rPr>
            <w:fldChar w:fldCharType="separate"/>
          </w:r>
          <w:r w:rsidR="000D6A80" w:rsidRPr="00F80189">
            <w:rPr>
              <w:b/>
              <w:lang w:val="en-GB"/>
            </w:rPr>
            <w:t>Table of Contents</w:t>
          </w:r>
        </w:p>
        <w:p w14:paraId="2CA1D8CB" w14:textId="77777777" w:rsidR="001708DF" w:rsidRPr="00F80189" w:rsidRDefault="00000000" w:rsidP="00F80189">
          <w:pPr>
            <w:pStyle w:val="Normal1"/>
            <w:tabs>
              <w:tab w:val="right" w:pos="9025"/>
            </w:tabs>
            <w:spacing w:after="0"/>
            <w:rPr>
              <w:lang w:val="en-GB"/>
            </w:rPr>
          </w:pPr>
          <w:hyperlink w:anchor="_k5vlft7fnm3e">
            <w:r w:rsidR="000D6A80" w:rsidRPr="00F80189">
              <w:rPr>
                <w:b/>
                <w:lang w:val="en-GB"/>
              </w:rPr>
              <w:t>Introduction</w:t>
            </w:r>
          </w:hyperlink>
          <w:r w:rsidR="000D6A80" w:rsidRPr="00F80189">
            <w:rPr>
              <w:b/>
              <w:lang w:val="en-GB"/>
            </w:rPr>
            <w:tab/>
          </w:r>
          <w:r w:rsidR="001708DF" w:rsidRPr="00F80189">
            <w:rPr>
              <w:lang w:val="en-GB"/>
            </w:rPr>
            <w:fldChar w:fldCharType="begin"/>
          </w:r>
          <w:r w:rsidR="000D6A80" w:rsidRPr="00F80189">
            <w:rPr>
              <w:lang w:val="en-GB"/>
            </w:rPr>
            <w:instrText xml:space="preserve"> PAGEREF _k5vlft7fnm3e \h </w:instrText>
          </w:r>
          <w:r w:rsidR="001708DF" w:rsidRPr="00F80189">
            <w:rPr>
              <w:lang w:val="en-GB"/>
            </w:rPr>
          </w:r>
          <w:r w:rsidR="001708DF" w:rsidRPr="00F80189">
            <w:rPr>
              <w:lang w:val="en-GB"/>
            </w:rPr>
            <w:fldChar w:fldCharType="separate"/>
          </w:r>
          <w:r w:rsidR="000D6A80" w:rsidRPr="00F80189">
            <w:rPr>
              <w:b/>
              <w:lang w:val="en-GB"/>
            </w:rPr>
            <w:t>3</w:t>
          </w:r>
          <w:r w:rsidR="001708DF" w:rsidRPr="00F80189">
            <w:rPr>
              <w:lang w:val="en-GB"/>
            </w:rPr>
            <w:fldChar w:fldCharType="end"/>
          </w:r>
        </w:p>
        <w:p w14:paraId="5806AA8D" w14:textId="77777777" w:rsidR="001708DF" w:rsidRPr="00F80189" w:rsidRDefault="00000000" w:rsidP="00F80189">
          <w:pPr>
            <w:pStyle w:val="Normal1"/>
            <w:tabs>
              <w:tab w:val="right" w:pos="9025"/>
            </w:tabs>
            <w:spacing w:after="0"/>
            <w:rPr>
              <w:lang w:val="en-GB"/>
            </w:rPr>
          </w:pPr>
          <w:hyperlink w:anchor="_8ck23bvtd9tt">
            <w:r w:rsidR="000D6A80" w:rsidRPr="00F80189">
              <w:rPr>
                <w:b/>
                <w:lang w:val="en-GB"/>
              </w:rPr>
              <w:t>Part A</w:t>
            </w:r>
          </w:hyperlink>
          <w:r w:rsidR="000D6A80" w:rsidRPr="00F80189">
            <w:rPr>
              <w:b/>
              <w:lang w:val="en-GB"/>
            </w:rPr>
            <w:tab/>
          </w:r>
          <w:r w:rsidR="001708DF" w:rsidRPr="00F80189">
            <w:rPr>
              <w:lang w:val="en-GB"/>
            </w:rPr>
            <w:fldChar w:fldCharType="begin"/>
          </w:r>
          <w:r w:rsidR="000D6A80" w:rsidRPr="00F80189">
            <w:rPr>
              <w:lang w:val="en-GB"/>
            </w:rPr>
            <w:instrText xml:space="preserve"> PAGEREF _8ck23bvtd9tt \h </w:instrText>
          </w:r>
          <w:r w:rsidR="001708DF" w:rsidRPr="00F80189">
            <w:rPr>
              <w:lang w:val="en-GB"/>
            </w:rPr>
          </w:r>
          <w:r w:rsidR="001708DF" w:rsidRPr="00F80189">
            <w:rPr>
              <w:lang w:val="en-GB"/>
            </w:rPr>
            <w:fldChar w:fldCharType="separate"/>
          </w:r>
          <w:r w:rsidR="000D6A80" w:rsidRPr="00F80189">
            <w:rPr>
              <w:b/>
              <w:lang w:val="en-GB"/>
            </w:rPr>
            <w:t>3</w:t>
          </w:r>
          <w:r w:rsidR="001708DF" w:rsidRPr="00F80189">
            <w:rPr>
              <w:lang w:val="en-GB"/>
            </w:rPr>
            <w:fldChar w:fldCharType="end"/>
          </w:r>
        </w:p>
        <w:p w14:paraId="12C9D604" w14:textId="77777777" w:rsidR="001708DF" w:rsidRPr="00F80189" w:rsidRDefault="00000000" w:rsidP="00F80189">
          <w:pPr>
            <w:pStyle w:val="Normal1"/>
            <w:tabs>
              <w:tab w:val="right" w:pos="9025"/>
            </w:tabs>
            <w:spacing w:after="0"/>
            <w:rPr>
              <w:lang w:val="en-GB"/>
            </w:rPr>
          </w:pPr>
          <w:hyperlink w:anchor="_rkr20rbsty8b">
            <w:r w:rsidR="000D6A80" w:rsidRPr="00F80189">
              <w:rPr>
                <w:b/>
                <w:lang w:val="en-GB"/>
              </w:rPr>
              <w:t>Part B</w:t>
            </w:r>
          </w:hyperlink>
          <w:r w:rsidR="000D6A80" w:rsidRPr="00F80189">
            <w:rPr>
              <w:b/>
              <w:lang w:val="en-GB"/>
            </w:rPr>
            <w:tab/>
          </w:r>
          <w:r w:rsidR="001708DF" w:rsidRPr="00F80189">
            <w:rPr>
              <w:lang w:val="en-GB"/>
            </w:rPr>
            <w:fldChar w:fldCharType="begin"/>
          </w:r>
          <w:r w:rsidR="000D6A80" w:rsidRPr="00F80189">
            <w:rPr>
              <w:lang w:val="en-GB"/>
            </w:rPr>
            <w:instrText xml:space="preserve"> PAGEREF _rkr20rbsty8b \h </w:instrText>
          </w:r>
          <w:r w:rsidR="001708DF" w:rsidRPr="00F80189">
            <w:rPr>
              <w:lang w:val="en-GB"/>
            </w:rPr>
          </w:r>
          <w:r w:rsidR="001708DF" w:rsidRPr="00F80189">
            <w:rPr>
              <w:lang w:val="en-GB"/>
            </w:rPr>
            <w:fldChar w:fldCharType="separate"/>
          </w:r>
          <w:r w:rsidR="000D6A80" w:rsidRPr="00F80189">
            <w:rPr>
              <w:b/>
              <w:lang w:val="en-GB"/>
            </w:rPr>
            <w:t>5</w:t>
          </w:r>
          <w:r w:rsidR="001708DF" w:rsidRPr="00F80189">
            <w:rPr>
              <w:lang w:val="en-GB"/>
            </w:rPr>
            <w:fldChar w:fldCharType="end"/>
          </w:r>
        </w:p>
        <w:p w14:paraId="6424156B" w14:textId="77777777" w:rsidR="001708DF" w:rsidRPr="00F80189" w:rsidRDefault="00000000" w:rsidP="00F80189">
          <w:pPr>
            <w:pStyle w:val="Normal1"/>
            <w:tabs>
              <w:tab w:val="right" w:pos="9025"/>
            </w:tabs>
            <w:spacing w:after="0"/>
            <w:rPr>
              <w:lang w:val="en-GB"/>
            </w:rPr>
          </w:pPr>
          <w:hyperlink w:anchor="_oz5db19u80ut">
            <w:r w:rsidR="000D6A80" w:rsidRPr="00F80189">
              <w:rPr>
                <w:b/>
                <w:lang w:val="en-GB"/>
              </w:rPr>
              <w:t>Conclusion</w:t>
            </w:r>
          </w:hyperlink>
          <w:r w:rsidR="000D6A80" w:rsidRPr="00F80189">
            <w:rPr>
              <w:b/>
              <w:lang w:val="en-GB"/>
            </w:rPr>
            <w:tab/>
          </w:r>
          <w:r w:rsidR="001708DF" w:rsidRPr="00F80189">
            <w:rPr>
              <w:lang w:val="en-GB"/>
            </w:rPr>
            <w:fldChar w:fldCharType="begin"/>
          </w:r>
          <w:r w:rsidR="000D6A80" w:rsidRPr="00F80189">
            <w:rPr>
              <w:lang w:val="en-GB"/>
            </w:rPr>
            <w:instrText xml:space="preserve"> PAGEREF _oz5db19u80ut \h </w:instrText>
          </w:r>
          <w:r w:rsidR="001708DF" w:rsidRPr="00F80189">
            <w:rPr>
              <w:lang w:val="en-GB"/>
            </w:rPr>
          </w:r>
          <w:r w:rsidR="001708DF" w:rsidRPr="00F80189">
            <w:rPr>
              <w:lang w:val="en-GB"/>
            </w:rPr>
            <w:fldChar w:fldCharType="separate"/>
          </w:r>
          <w:r w:rsidR="000D6A80" w:rsidRPr="00F80189">
            <w:rPr>
              <w:b/>
              <w:lang w:val="en-GB"/>
            </w:rPr>
            <w:t>6</w:t>
          </w:r>
          <w:r w:rsidR="001708DF" w:rsidRPr="00F80189">
            <w:rPr>
              <w:lang w:val="en-GB"/>
            </w:rPr>
            <w:fldChar w:fldCharType="end"/>
          </w:r>
        </w:p>
        <w:p w14:paraId="57568C07" w14:textId="77777777" w:rsidR="001708DF" w:rsidRPr="00F80189" w:rsidRDefault="00000000" w:rsidP="00F80189">
          <w:pPr>
            <w:pStyle w:val="Normal1"/>
            <w:tabs>
              <w:tab w:val="right" w:pos="9025"/>
            </w:tabs>
            <w:spacing w:after="0"/>
            <w:rPr>
              <w:lang w:val="en-GB"/>
            </w:rPr>
          </w:pPr>
          <w:hyperlink w:anchor="_ddwycaq6hvjj">
            <w:r w:rsidR="000D6A80" w:rsidRPr="00F80189">
              <w:rPr>
                <w:b/>
                <w:lang w:val="en-GB"/>
              </w:rPr>
              <w:t>References</w:t>
            </w:r>
          </w:hyperlink>
          <w:r w:rsidR="000D6A80" w:rsidRPr="00F80189">
            <w:rPr>
              <w:b/>
              <w:lang w:val="en-GB"/>
            </w:rPr>
            <w:tab/>
          </w:r>
          <w:r w:rsidR="001708DF" w:rsidRPr="00F80189">
            <w:rPr>
              <w:lang w:val="en-GB"/>
            </w:rPr>
            <w:fldChar w:fldCharType="begin"/>
          </w:r>
          <w:r w:rsidR="000D6A80" w:rsidRPr="00F80189">
            <w:rPr>
              <w:lang w:val="en-GB"/>
            </w:rPr>
            <w:instrText xml:space="preserve"> PAGEREF _ddwycaq6hvjj \h </w:instrText>
          </w:r>
          <w:r w:rsidR="001708DF" w:rsidRPr="00F80189">
            <w:rPr>
              <w:lang w:val="en-GB"/>
            </w:rPr>
          </w:r>
          <w:r w:rsidR="001708DF" w:rsidRPr="00F80189">
            <w:rPr>
              <w:lang w:val="en-GB"/>
            </w:rPr>
            <w:fldChar w:fldCharType="separate"/>
          </w:r>
          <w:r w:rsidR="000D6A80" w:rsidRPr="00F80189">
            <w:rPr>
              <w:b/>
              <w:lang w:val="en-GB"/>
            </w:rPr>
            <w:t>7</w:t>
          </w:r>
          <w:r w:rsidR="001708DF" w:rsidRPr="00F80189">
            <w:rPr>
              <w:lang w:val="en-GB"/>
            </w:rPr>
            <w:fldChar w:fldCharType="end"/>
          </w:r>
          <w:r w:rsidR="001708DF" w:rsidRPr="00F80189">
            <w:rPr>
              <w:lang w:val="en-GB"/>
            </w:rPr>
            <w:fldChar w:fldCharType="end"/>
          </w:r>
        </w:p>
      </w:sdtContent>
    </w:sdt>
    <w:p w14:paraId="2E46C06F" w14:textId="77777777" w:rsidR="001708DF" w:rsidRPr="00F80189" w:rsidRDefault="001708DF" w:rsidP="00F80189">
      <w:pPr>
        <w:pStyle w:val="Normal1"/>
        <w:spacing w:after="0"/>
        <w:rPr>
          <w:lang w:val="en-GB"/>
        </w:rPr>
      </w:pPr>
    </w:p>
    <w:p w14:paraId="6B513EA2" w14:textId="77777777" w:rsidR="001708DF" w:rsidRPr="00F80189" w:rsidRDefault="000D6A80" w:rsidP="00F80189">
      <w:pPr>
        <w:pStyle w:val="Heading1"/>
        <w:spacing w:after="0"/>
        <w:rPr>
          <w:lang w:val="en-GB"/>
        </w:rPr>
      </w:pPr>
      <w:bookmarkStart w:id="1" w:name="_m5dhxbcr7m1d" w:colFirst="0" w:colLast="0"/>
      <w:bookmarkEnd w:id="1"/>
      <w:r w:rsidRPr="00F80189">
        <w:rPr>
          <w:lang w:val="en-GB"/>
        </w:rPr>
        <w:br w:type="page"/>
      </w:r>
    </w:p>
    <w:p w14:paraId="26DCC4AA" w14:textId="77777777" w:rsidR="001708DF" w:rsidRPr="00F80189" w:rsidRDefault="000D6A80" w:rsidP="00F80189">
      <w:pPr>
        <w:pStyle w:val="Heading1"/>
        <w:spacing w:after="0"/>
        <w:rPr>
          <w:lang w:val="en-GB"/>
        </w:rPr>
      </w:pPr>
      <w:bookmarkStart w:id="2" w:name="_k5vlft7fnm3e" w:colFirst="0" w:colLast="0"/>
      <w:bookmarkEnd w:id="2"/>
      <w:r w:rsidRPr="00F80189">
        <w:rPr>
          <w:lang w:val="en-GB"/>
        </w:rPr>
        <w:lastRenderedPageBreak/>
        <w:t>Introduction</w:t>
      </w:r>
    </w:p>
    <w:p w14:paraId="7E717250" w14:textId="77777777" w:rsidR="001708DF" w:rsidRPr="00F80189" w:rsidRDefault="000D6A80" w:rsidP="00F80189">
      <w:pPr>
        <w:pStyle w:val="Normal1"/>
        <w:spacing w:after="0"/>
        <w:rPr>
          <w:lang w:val="en-GB"/>
        </w:rPr>
      </w:pPr>
      <w:r w:rsidRPr="00F80189">
        <w:rPr>
          <w:lang w:val="en-GB"/>
        </w:rPr>
        <w:t xml:space="preserve">This report is an investigation of the two case studies that are closely associated with a criminal offence under the UK court of law. Various sections, provisions and law enforcement tools will be assessed in this tool specifically related to the case studies. </w:t>
      </w:r>
    </w:p>
    <w:p w14:paraId="613B6EFB" w14:textId="77777777" w:rsidR="00F80189" w:rsidRPr="00F80189" w:rsidRDefault="00F80189">
      <w:pPr>
        <w:rPr>
          <w:b/>
          <w:lang w:val="en-GB"/>
        </w:rPr>
      </w:pPr>
      <w:bookmarkStart w:id="3" w:name="_8ck23bvtd9tt" w:colFirst="0" w:colLast="0"/>
      <w:bookmarkEnd w:id="3"/>
      <w:r w:rsidRPr="00F80189">
        <w:rPr>
          <w:lang w:val="en-GB"/>
        </w:rPr>
        <w:br w:type="page"/>
      </w:r>
    </w:p>
    <w:p w14:paraId="401D8034" w14:textId="77777777" w:rsidR="001708DF" w:rsidRPr="00F80189" w:rsidRDefault="000D6A80" w:rsidP="00F80189">
      <w:pPr>
        <w:pStyle w:val="Heading1"/>
        <w:spacing w:after="0"/>
        <w:rPr>
          <w:lang w:val="en-GB"/>
        </w:rPr>
      </w:pPr>
      <w:r w:rsidRPr="00F80189">
        <w:rPr>
          <w:lang w:val="en-GB"/>
        </w:rPr>
        <w:lastRenderedPageBreak/>
        <w:t>Part A</w:t>
      </w:r>
    </w:p>
    <w:p w14:paraId="46CC2FBE" w14:textId="77777777" w:rsidR="001708DF" w:rsidRPr="00F80189" w:rsidRDefault="000D6A80" w:rsidP="00F80189">
      <w:pPr>
        <w:pStyle w:val="Normal1"/>
        <w:spacing w:after="0"/>
        <w:rPr>
          <w:lang w:val="en-GB"/>
        </w:rPr>
      </w:pPr>
      <w:r w:rsidRPr="00F80189">
        <w:rPr>
          <w:lang w:val="en-GB"/>
        </w:rPr>
        <w:t xml:space="preserve">The case of Hadley is associated with an unethical course of action undertaken by Hadley out of hatred towards Ronan for being a poser. There are several crimes committed by Hadley and the most critical is trespassing on others' property without owners’ prior knowledge or information. While trespassing Hadley has also caused several damages to the property owned by Ronan where he broke a wooden bench in the garden, stole the </w:t>
      </w:r>
      <w:proofErr w:type="spellStart"/>
      <w:r w:rsidRPr="00F80189">
        <w:rPr>
          <w:lang w:val="en-GB"/>
        </w:rPr>
        <w:t>Kolex</w:t>
      </w:r>
      <w:proofErr w:type="spellEnd"/>
      <w:r w:rsidRPr="00F80189">
        <w:rPr>
          <w:lang w:val="en-GB"/>
        </w:rPr>
        <w:t xml:space="preserve"> watch and set the dressing room on fire. This led to several properties and financial damage to Ronan and can claim justice and compensation for the loss suffered. </w:t>
      </w:r>
    </w:p>
    <w:p w14:paraId="22507899" w14:textId="77777777" w:rsidR="001708DF" w:rsidRPr="00F80189" w:rsidRDefault="000D6A80" w:rsidP="00F80189">
      <w:pPr>
        <w:pStyle w:val="Normal1"/>
        <w:spacing w:after="0"/>
        <w:rPr>
          <w:lang w:val="en-GB"/>
        </w:rPr>
      </w:pPr>
      <w:r w:rsidRPr="00F80189">
        <w:rPr>
          <w:lang w:val="en-GB"/>
        </w:rPr>
        <w:t xml:space="preserve">For the criminal offence committed by Hadley, he is mainly liable for the two laws incorporated by the UK government. The two laws are “Criminal Damage Act 1971” for property damage and “The Theft Act 1968” which was incorporated against obtaining someone’s property through deception. </w:t>
      </w:r>
    </w:p>
    <w:p w14:paraId="042F40A1" w14:textId="77777777" w:rsidR="00F80189" w:rsidRPr="00F80189" w:rsidRDefault="00F80189" w:rsidP="00F80189">
      <w:pPr>
        <w:pStyle w:val="Normal1"/>
        <w:spacing w:after="0"/>
        <w:rPr>
          <w:lang w:val="en-GB"/>
        </w:rPr>
      </w:pPr>
    </w:p>
    <w:p w14:paraId="23CF1910" w14:textId="77777777" w:rsidR="001708DF" w:rsidRPr="00F80189" w:rsidRDefault="000D6A80" w:rsidP="00F80189">
      <w:pPr>
        <w:pStyle w:val="Normal1"/>
        <w:spacing w:after="0"/>
        <w:rPr>
          <w:b/>
          <w:lang w:val="en-GB"/>
        </w:rPr>
      </w:pPr>
      <w:r w:rsidRPr="00F80189">
        <w:rPr>
          <w:b/>
          <w:lang w:val="en-GB"/>
        </w:rPr>
        <w:t>“Criminal Damage Act 1971”</w:t>
      </w:r>
    </w:p>
    <w:p w14:paraId="5B01339B" w14:textId="77777777" w:rsidR="001708DF" w:rsidRPr="00F80189" w:rsidRDefault="000D6A80" w:rsidP="00F80189">
      <w:pPr>
        <w:pStyle w:val="Normal1"/>
        <w:spacing w:after="0"/>
        <w:rPr>
          <w:lang w:val="en-GB"/>
        </w:rPr>
      </w:pPr>
      <w:r w:rsidRPr="00F80189">
        <w:rPr>
          <w:lang w:val="en-GB"/>
        </w:rPr>
        <w:t xml:space="preserve">Under this law, the UK government encompasses that the offenders would be lawfully found to be guilty of property destruction and damage if it is caused through intentional or unintentional action. This law mainly consists of three sections and the punishment and legal penalties for the offence rely upon the application of these sections (Statute Law Database, 2021). The three sections under this law are “Destroying or damaging property” under Section 1, “Threats to destroy or damage property” under section 2 and “Possessing anything with intent to destroy or damage property” under Section 3. </w:t>
      </w:r>
    </w:p>
    <w:p w14:paraId="5825B55F" w14:textId="77777777" w:rsidR="001708DF" w:rsidRPr="00F80189" w:rsidRDefault="000D6A80" w:rsidP="00F80189">
      <w:pPr>
        <w:pStyle w:val="Normal1"/>
        <w:spacing w:after="0"/>
        <w:rPr>
          <w:lang w:val="en-GB"/>
        </w:rPr>
      </w:pPr>
      <w:r w:rsidRPr="00F80189">
        <w:rPr>
          <w:b/>
          <w:lang w:val="en-GB"/>
        </w:rPr>
        <w:t>Section 1</w:t>
      </w:r>
      <w:r w:rsidRPr="00F80189">
        <w:rPr>
          <w:lang w:val="en-GB"/>
        </w:rPr>
        <w:t xml:space="preserve">: This section covers the offence of criminal activity by the offender through damages or destroys the property belonging to another individual (The Crown Prosecution Service, 2021). It also encompasses the activities or actions of an individual being reckless that would potentially lead to property damage. Hadley is liable to be found guilty under this section because of various property damage like breaking a bench in the garden and setting the dressing room on fire. He will also be charged with arson for causing property through the use of fire during criminal activity. </w:t>
      </w:r>
    </w:p>
    <w:p w14:paraId="39ABE537" w14:textId="77777777" w:rsidR="001708DF" w:rsidRPr="00F80189" w:rsidRDefault="000D6A80" w:rsidP="00F80189">
      <w:pPr>
        <w:pStyle w:val="Normal1"/>
        <w:spacing w:after="0"/>
        <w:rPr>
          <w:lang w:val="en-GB"/>
        </w:rPr>
      </w:pPr>
      <w:r w:rsidRPr="00F80189">
        <w:rPr>
          <w:b/>
          <w:lang w:val="en-GB"/>
        </w:rPr>
        <w:t xml:space="preserve">Section 2: </w:t>
      </w:r>
      <w:r w:rsidRPr="00F80189">
        <w:rPr>
          <w:lang w:val="en-GB"/>
        </w:rPr>
        <w:t>This section covers the criminal offence causing a potential threat to damage the property that causes fear to an individual. This threat is associated with causing property damage and destruction that can lead to the potential threat to the other people or individuals at the site (</w:t>
      </w:r>
      <w:r w:rsidRPr="00F80189">
        <w:rPr>
          <w:color w:val="222222"/>
          <w:highlight w:val="white"/>
          <w:lang w:val="en-GB"/>
        </w:rPr>
        <w:t xml:space="preserve">Button </w:t>
      </w:r>
      <w:r w:rsidRPr="00F80189">
        <w:rPr>
          <w:i/>
          <w:color w:val="222222"/>
          <w:highlight w:val="white"/>
          <w:lang w:val="en-GB"/>
        </w:rPr>
        <w:t xml:space="preserve">et al., </w:t>
      </w:r>
      <w:r w:rsidRPr="00F80189">
        <w:rPr>
          <w:color w:val="222222"/>
          <w:highlight w:val="white"/>
          <w:lang w:val="en-GB"/>
        </w:rPr>
        <w:t>2022</w:t>
      </w:r>
      <w:r w:rsidRPr="00F80189">
        <w:rPr>
          <w:lang w:val="en-GB"/>
        </w:rPr>
        <w:t>). However, Hadley is not liable for this section because of his action of secretly sneaking into Ronan’s property and causing damage which did not lead to possible harm for any individual.</w:t>
      </w:r>
    </w:p>
    <w:p w14:paraId="12853172" w14:textId="77777777" w:rsidR="001708DF" w:rsidRPr="00F80189" w:rsidRDefault="000D6A80" w:rsidP="00F80189">
      <w:pPr>
        <w:pStyle w:val="Normal1"/>
        <w:spacing w:after="0"/>
        <w:rPr>
          <w:lang w:val="en-GB"/>
        </w:rPr>
      </w:pPr>
      <w:r w:rsidRPr="00F80189">
        <w:rPr>
          <w:b/>
          <w:lang w:val="en-GB"/>
        </w:rPr>
        <w:lastRenderedPageBreak/>
        <w:t>Section 3</w:t>
      </w:r>
      <w:r w:rsidRPr="00F80189">
        <w:rPr>
          <w:lang w:val="en-GB"/>
        </w:rPr>
        <w:t>: This section is associated with an individual’s intention to possess another's a property in order to damage them and cause loss to the owner. The law also views it from the perspective of possessing and damaging the property and causing damage that can be or is potentially life-threatening for the other individual (</w:t>
      </w:r>
      <w:proofErr w:type="spellStart"/>
      <w:r w:rsidRPr="00F80189">
        <w:rPr>
          <w:color w:val="222222"/>
          <w:highlight w:val="white"/>
          <w:lang w:val="en-GB"/>
        </w:rPr>
        <w:t>Marcou</w:t>
      </w:r>
      <w:proofErr w:type="spellEnd"/>
      <w:r w:rsidRPr="00F80189">
        <w:rPr>
          <w:color w:val="222222"/>
          <w:highlight w:val="white"/>
          <w:lang w:val="en-GB"/>
        </w:rPr>
        <w:t>, 2021</w:t>
      </w:r>
      <w:r w:rsidRPr="00F80189">
        <w:rPr>
          <w:lang w:val="en-GB"/>
        </w:rPr>
        <w:t xml:space="preserve">). Through analysing the case it can be outlined that Hadley is liable for the legal penalty because of stealing a </w:t>
      </w:r>
      <w:proofErr w:type="spellStart"/>
      <w:r w:rsidRPr="00F80189">
        <w:rPr>
          <w:lang w:val="en-GB"/>
        </w:rPr>
        <w:t>Kolex</w:t>
      </w:r>
      <w:proofErr w:type="spellEnd"/>
      <w:r w:rsidRPr="00F80189">
        <w:rPr>
          <w:lang w:val="en-GB"/>
        </w:rPr>
        <w:t xml:space="preserve"> watch which might be intended to be damaged or destroyed. Even if the act was not life-threatening, the possession of a watch for causing destruction is a serious offence under this section leading to the criminal offence for Hadley. </w:t>
      </w:r>
    </w:p>
    <w:p w14:paraId="1AC69A50" w14:textId="77777777" w:rsidR="001708DF" w:rsidRPr="00F80189" w:rsidRDefault="000D6A80" w:rsidP="00F80189">
      <w:pPr>
        <w:pStyle w:val="Normal1"/>
        <w:spacing w:after="0"/>
        <w:rPr>
          <w:lang w:val="en-GB"/>
        </w:rPr>
      </w:pPr>
      <w:r w:rsidRPr="00F80189">
        <w:rPr>
          <w:lang w:val="en-GB"/>
        </w:rPr>
        <w:t xml:space="preserve">The “Criminal Damage Act 1971” also encompassed the provision of application two elements that can determine the implementation of punishment for the criminal damage offence in the UK. These elements are actus reus and </w:t>
      </w:r>
      <w:proofErr w:type="spellStart"/>
      <w:r w:rsidRPr="00F80189">
        <w:rPr>
          <w:lang w:val="en-GB"/>
        </w:rPr>
        <w:t>mens</w:t>
      </w:r>
      <w:proofErr w:type="spellEnd"/>
      <w:r w:rsidRPr="00F80189">
        <w:rPr>
          <w:lang w:val="en-GB"/>
        </w:rPr>
        <w:t xml:space="preserve"> rea which determines the intensity of punishment and penalty for the offenders. Actus reus mainly outlines the provision of strict punishment for the offenders if the crime is committed intentionally and in a sound mind. While men's rea minimises the intensity or strictness of punishment on the ground of committing a crime which was a mere outcome of the unintentional activity. These elements were incorporated after the “</w:t>
      </w:r>
      <w:proofErr w:type="spellStart"/>
      <w:r w:rsidRPr="00F80189">
        <w:rPr>
          <w:lang w:val="en-GB"/>
        </w:rPr>
        <w:t>Woolmington</w:t>
      </w:r>
      <w:proofErr w:type="spellEnd"/>
      <w:r w:rsidRPr="00F80189">
        <w:rPr>
          <w:lang w:val="en-GB"/>
        </w:rPr>
        <w:t xml:space="preserve"> vs DPP” case in 1935” where Reginald </w:t>
      </w:r>
      <w:proofErr w:type="spellStart"/>
      <w:r w:rsidRPr="00F80189">
        <w:rPr>
          <w:lang w:val="en-GB"/>
        </w:rPr>
        <w:t>Woolmington</w:t>
      </w:r>
      <w:proofErr w:type="spellEnd"/>
      <w:r w:rsidRPr="00F80189">
        <w:rPr>
          <w:lang w:val="en-GB"/>
        </w:rPr>
        <w:t xml:space="preserve"> was convicted for killing his wife Violet (</w:t>
      </w:r>
      <w:proofErr w:type="spellStart"/>
      <w:r w:rsidRPr="00F80189">
        <w:rPr>
          <w:color w:val="222222"/>
          <w:highlight w:val="white"/>
          <w:lang w:val="en-GB"/>
        </w:rPr>
        <w:t>casemine</w:t>
      </w:r>
      <w:proofErr w:type="spellEnd"/>
      <w:r w:rsidRPr="00F80189">
        <w:rPr>
          <w:color w:val="222222"/>
          <w:highlight w:val="white"/>
          <w:lang w:val="en-GB"/>
        </w:rPr>
        <w:t>, 2021</w:t>
      </w:r>
      <w:r w:rsidRPr="00F80189">
        <w:rPr>
          <w:lang w:val="en-GB"/>
        </w:rPr>
        <w:t xml:space="preserve">). During the process </w:t>
      </w:r>
      <w:proofErr w:type="spellStart"/>
      <w:r w:rsidRPr="00F80189">
        <w:rPr>
          <w:lang w:val="en-GB"/>
        </w:rPr>
        <w:t>Woolmington</w:t>
      </w:r>
      <w:proofErr w:type="spellEnd"/>
      <w:r w:rsidRPr="00F80189">
        <w:rPr>
          <w:lang w:val="en-GB"/>
        </w:rPr>
        <w:t xml:space="preserve"> proved the act to be unintentional and pleaded mercy under the court of law for his innocence and unintentional crime. </w:t>
      </w:r>
    </w:p>
    <w:p w14:paraId="501AB5DE" w14:textId="77777777" w:rsidR="001708DF" w:rsidRPr="00F80189" w:rsidRDefault="000D6A80" w:rsidP="00F80189">
      <w:pPr>
        <w:pStyle w:val="Normal1"/>
        <w:spacing w:after="0"/>
        <w:rPr>
          <w:lang w:val="en-GB"/>
        </w:rPr>
      </w:pPr>
      <w:r w:rsidRPr="00F80189">
        <w:rPr>
          <w:lang w:val="en-GB"/>
        </w:rPr>
        <w:t xml:space="preserve">However, the punishment under the “Criminal Damage Act 1971” encompasses is associated with life imprisonment or the imprisonment of a maximum of 10 years. The violation of Section 1 is associated with life imprisonment and the violation of any other sections is associated with the imprisonment of a maximum of 10 years. Hadley’s case concerns Section 1 and Section 3 of the “Criminal Damage Act 1971” and since the crime was purely intentional he is also liable for Actus reus. Thus, Hadley is liable for 12 months imprisonment for arson and intentional damage to others’ property. </w:t>
      </w:r>
    </w:p>
    <w:p w14:paraId="2BBFF871" w14:textId="77777777" w:rsidR="00F80189" w:rsidRPr="00F80189" w:rsidRDefault="00F80189" w:rsidP="00F80189">
      <w:pPr>
        <w:pStyle w:val="Heading1"/>
        <w:spacing w:after="0"/>
        <w:rPr>
          <w:lang w:val="en-GB"/>
        </w:rPr>
      </w:pPr>
      <w:bookmarkStart w:id="4" w:name="_rkr20rbsty8b" w:colFirst="0" w:colLast="0"/>
      <w:bookmarkEnd w:id="4"/>
    </w:p>
    <w:p w14:paraId="7EAAC503" w14:textId="77777777" w:rsidR="001708DF" w:rsidRPr="00F80189" w:rsidRDefault="000D6A80" w:rsidP="00F80189">
      <w:pPr>
        <w:pStyle w:val="Heading1"/>
        <w:spacing w:after="0"/>
        <w:rPr>
          <w:lang w:val="en-GB"/>
        </w:rPr>
      </w:pPr>
      <w:r w:rsidRPr="00F80189">
        <w:rPr>
          <w:lang w:val="en-GB"/>
        </w:rPr>
        <w:t>Part B</w:t>
      </w:r>
    </w:p>
    <w:p w14:paraId="78550C9B" w14:textId="77777777" w:rsidR="001708DF" w:rsidRPr="00F80189" w:rsidRDefault="000D6A80" w:rsidP="00F80189">
      <w:pPr>
        <w:pStyle w:val="Normal1"/>
        <w:spacing w:after="0"/>
        <w:rPr>
          <w:lang w:val="en-GB"/>
        </w:rPr>
      </w:pPr>
      <w:r w:rsidRPr="00F80189">
        <w:rPr>
          <w:lang w:val="en-GB"/>
        </w:rPr>
        <w:t xml:space="preserve">In the second case, Freya has been charged with Section 47 for an offensive action against a person. Freya was previously diagnosed with epilepsy disease and for the past 10 years, she had not taken any medication. Recently during the freshers' foam party at the local nightclub, she was highly intoxicated due to double gin and tonic intake. Due to high intoxication, she was vomiting and Nicky came to relieve her and took assistance from Mike. Out of an epilepsy </w:t>
      </w:r>
      <w:r w:rsidRPr="00F80189">
        <w:rPr>
          <w:lang w:val="en-GB"/>
        </w:rPr>
        <w:lastRenderedPageBreak/>
        <w:t xml:space="preserve">attack, Freya had hardly punched Mike which caused him a black eye which concerns the offence against another person’s physical and emotional harm. </w:t>
      </w:r>
    </w:p>
    <w:p w14:paraId="71D194B6" w14:textId="77777777" w:rsidR="001708DF" w:rsidRPr="00F80189" w:rsidRDefault="000D6A80" w:rsidP="00F80189">
      <w:pPr>
        <w:pStyle w:val="Normal1"/>
        <w:spacing w:after="0"/>
        <w:rPr>
          <w:lang w:val="en-GB"/>
        </w:rPr>
      </w:pPr>
      <w:r w:rsidRPr="00F80189">
        <w:rPr>
          <w:lang w:val="en-GB"/>
        </w:rPr>
        <w:t>“s.47 Offences Against the Person Act 1861”, advocates “Assault occasioning Actual Bodily Harm (ABH)” for committing intentional or reckless assault against a person leading to actual bodily harm (</w:t>
      </w:r>
      <w:proofErr w:type="spellStart"/>
      <w:r w:rsidRPr="00F80189">
        <w:rPr>
          <w:color w:val="222222"/>
          <w:highlight w:val="white"/>
          <w:lang w:val="en-GB"/>
        </w:rPr>
        <w:t>Bettinson</w:t>
      </w:r>
      <w:proofErr w:type="spellEnd"/>
      <w:r w:rsidRPr="00F80189">
        <w:rPr>
          <w:color w:val="222222"/>
          <w:highlight w:val="white"/>
          <w:lang w:val="en-GB"/>
        </w:rPr>
        <w:t>, 2022</w:t>
      </w:r>
      <w:r w:rsidRPr="00F80189">
        <w:rPr>
          <w:lang w:val="en-GB"/>
        </w:rPr>
        <w:t xml:space="preserve">). Here bodily harm concerns the hurt that is calculated in the form of health and comfort interference caused by the act of an offence by the convict. For the bodily harm caused by Freya to Mike, she is convicted of an assault offence for which she can be liable for a maximum of 5 years of imprisonment by the court of law. </w:t>
      </w:r>
    </w:p>
    <w:p w14:paraId="1042F472" w14:textId="77777777" w:rsidR="00F80189" w:rsidRPr="00F80189" w:rsidRDefault="00F80189" w:rsidP="00F80189">
      <w:pPr>
        <w:pStyle w:val="Normal1"/>
        <w:spacing w:after="0"/>
        <w:rPr>
          <w:lang w:val="en-GB"/>
        </w:rPr>
      </w:pPr>
    </w:p>
    <w:p w14:paraId="73A8634C" w14:textId="77777777" w:rsidR="001708DF" w:rsidRPr="00F80189" w:rsidRDefault="00F80189" w:rsidP="00F80189">
      <w:pPr>
        <w:pStyle w:val="Normal1"/>
        <w:spacing w:after="0"/>
        <w:rPr>
          <w:b/>
          <w:lang w:val="en-GB"/>
        </w:rPr>
      </w:pPr>
      <w:proofErr w:type="spellStart"/>
      <w:r w:rsidRPr="00F80189">
        <w:rPr>
          <w:b/>
          <w:lang w:val="en-GB"/>
        </w:rPr>
        <w:t>Defense</w:t>
      </w:r>
      <w:proofErr w:type="spellEnd"/>
    </w:p>
    <w:p w14:paraId="1DF6490E" w14:textId="77777777" w:rsidR="001708DF" w:rsidRPr="00F80189" w:rsidRDefault="000D6A80" w:rsidP="00F80189">
      <w:pPr>
        <w:pStyle w:val="Normal1"/>
        <w:spacing w:after="0"/>
        <w:rPr>
          <w:lang w:val="en-GB"/>
        </w:rPr>
      </w:pPr>
      <w:r w:rsidRPr="00F80189">
        <w:rPr>
          <w:lang w:val="en-GB"/>
        </w:rPr>
        <w:t>In the defence, Freya can appeal for Men's rea as a battery for causing unintentional harm to Mike which was an unintentional outcome of her epilepsy attack. Under Section 47, there is a provision of men’s rea where the assault can be proven as a battery which is only regarded as unlawful physical contact (</w:t>
      </w:r>
      <w:proofErr w:type="spellStart"/>
      <w:r w:rsidRPr="00F80189">
        <w:rPr>
          <w:color w:val="222222"/>
          <w:highlight w:val="white"/>
          <w:lang w:val="en-GB"/>
        </w:rPr>
        <w:t>lawresources</w:t>
      </w:r>
      <w:proofErr w:type="spellEnd"/>
      <w:r w:rsidRPr="00F80189">
        <w:rPr>
          <w:color w:val="222222"/>
          <w:highlight w:val="white"/>
          <w:lang w:val="en-GB"/>
        </w:rPr>
        <w:t>, 2021</w:t>
      </w:r>
      <w:r w:rsidRPr="00F80189">
        <w:rPr>
          <w:lang w:val="en-GB"/>
        </w:rPr>
        <w:t>). Here physical harm is not required to be proved but only harm caused by physical contact is regarded as an offence. The application of men's rea in the current context can be referred from the incident of “</w:t>
      </w:r>
      <w:proofErr w:type="spellStart"/>
      <w:r w:rsidRPr="00F80189">
        <w:rPr>
          <w:lang w:val="en-GB"/>
        </w:rPr>
        <w:t>Woolmington</w:t>
      </w:r>
      <w:proofErr w:type="spellEnd"/>
      <w:r w:rsidRPr="00F80189">
        <w:rPr>
          <w:lang w:val="en-GB"/>
        </w:rPr>
        <w:t xml:space="preserve"> vs DPP case in 1935” where </w:t>
      </w:r>
      <w:proofErr w:type="spellStart"/>
      <w:r w:rsidRPr="00F80189">
        <w:rPr>
          <w:lang w:val="en-GB"/>
        </w:rPr>
        <w:t>Woolington</w:t>
      </w:r>
      <w:proofErr w:type="spellEnd"/>
      <w:r w:rsidRPr="00F80189">
        <w:rPr>
          <w:lang w:val="en-GB"/>
        </w:rPr>
        <w:t xml:space="preserve"> successfully defended himself for the murder conviction (</w:t>
      </w:r>
      <w:r w:rsidRPr="00F80189">
        <w:rPr>
          <w:color w:val="222222"/>
          <w:highlight w:val="white"/>
          <w:lang w:val="en-GB"/>
        </w:rPr>
        <w:t>Crosby, 2022</w:t>
      </w:r>
      <w:r w:rsidRPr="00F80189">
        <w:rPr>
          <w:lang w:val="en-GB"/>
        </w:rPr>
        <w:t xml:space="preserve">). He successfully appealed for acquaintance because the double barrel gun accidentally fired when he only intended to threaten her to win her back. </w:t>
      </w:r>
    </w:p>
    <w:p w14:paraId="0C5D6E0A" w14:textId="77777777" w:rsidR="00F80189" w:rsidRPr="00F80189" w:rsidRDefault="00F80189" w:rsidP="00F80189">
      <w:pPr>
        <w:pStyle w:val="Normal1"/>
        <w:spacing w:after="0"/>
        <w:rPr>
          <w:lang w:val="en-GB"/>
        </w:rPr>
      </w:pPr>
    </w:p>
    <w:p w14:paraId="775321D6" w14:textId="77777777" w:rsidR="001708DF" w:rsidRPr="00F80189" w:rsidRDefault="000D6A80" w:rsidP="00F80189">
      <w:pPr>
        <w:pStyle w:val="Normal1"/>
        <w:spacing w:after="0"/>
        <w:rPr>
          <w:b/>
          <w:lang w:val="en-GB"/>
        </w:rPr>
      </w:pPr>
      <w:r w:rsidRPr="00F80189">
        <w:rPr>
          <w:b/>
          <w:lang w:val="en-GB"/>
        </w:rPr>
        <w:t xml:space="preserve">Intoxication and automatism </w:t>
      </w:r>
      <w:proofErr w:type="spellStart"/>
      <w:r w:rsidR="00F80189" w:rsidRPr="00F80189">
        <w:rPr>
          <w:b/>
          <w:lang w:val="en-GB"/>
        </w:rPr>
        <w:t>defense</w:t>
      </w:r>
      <w:proofErr w:type="spellEnd"/>
    </w:p>
    <w:p w14:paraId="4B461563" w14:textId="77777777" w:rsidR="001708DF" w:rsidRPr="00F80189" w:rsidRDefault="000D6A80" w:rsidP="00F80189">
      <w:pPr>
        <w:pStyle w:val="Normal1"/>
        <w:spacing w:after="0"/>
        <w:rPr>
          <w:lang w:val="en-GB"/>
        </w:rPr>
      </w:pPr>
      <w:r w:rsidRPr="00F80189">
        <w:rPr>
          <w:lang w:val="en-GB"/>
        </w:rPr>
        <w:t>Freya can appeal for men’s rea under the ground of intoxication and automatism through which she can prove her innocence and unintentional battery before the court of law. As per UK law intoxication has been categorised into voluntary and involuntary intoxication (</w:t>
      </w:r>
      <w:r w:rsidRPr="00F80189">
        <w:rPr>
          <w:color w:val="222222"/>
          <w:highlight w:val="white"/>
          <w:lang w:val="en-GB"/>
        </w:rPr>
        <w:t>cps.gov.uk, 2021)</w:t>
      </w:r>
      <w:r w:rsidRPr="00F80189">
        <w:rPr>
          <w:lang w:val="en-GB"/>
        </w:rPr>
        <w:t xml:space="preserve">. Voluntary intoxication is associated with the intentional use of intoxicants like alcohol and drugs that impact the sound mind and consciousness of an individual. Involuntary intoxication is associated with the unintentional use of intoxicants that has been unconsciously spiked into consumptions like eatables, drinkables and air that had affected her consciousness. Voluntary intoxication can never be a defence for a convict or offenders because of their intentional use while involuntary intoxication can be used as the defence by the convict or the suspect. </w:t>
      </w:r>
    </w:p>
    <w:p w14:paraId="5AAF608A" w14:textId="77777777" w:rsidR="001708DF" w:rsidRPr="00F80189" w:rsidRDefault="000D6A80" w:rsidP="00F80189">
      <w:pPr>
        <w:pStyle w:val="Normal1"/>
        <w:spacing w:after="0"/>
        <w:rPr>
          <w:lang w:val="en-GB"/>
        </w:rPr>
      </w:pPr>
      <w:r w:rsidRPr="00F80189">
        <w:rPr>
          <w:lang w:val="en-GB"/>
        </w:rPr>
        <w:t xml:space="preserve">The UK court of the law outlines automatism as an act done by a body without the intentional use of the mind. This automatism has been categorised into external factors and self-induced automatism. External automatism concerns the exceptional stress caused by external factors </w:t>
      </w:r>
      <w:r w:rsidRPr="00F80189">
        <w:rPr>
          <w:lang w:val="en-GB"/>
        </w:rPr>
        <w:lastRenderedPageBreak/>
        <w:t>without an intent of an individual to be exposed to such factors and can be used by the defendants (</w:t>
      </w:r>
      <w:proofErr w:type="spellStart"/>
      <w:r w:rsidRPr="00F80189">
        <w:rPr>
          <w:color w:val="222222"/>
          <w:highlight w:val="white"/>
          <w:lang w:val="en-GB"/>
        </w:rPr>
        <w:t>McDermaid</w:t>
      </w:r>
      <w:proofErr w:type="spellEnd"/>
      <w:r w:rsidRPr="00F80189">
        <w:rPr>
          <w:color w:val="222222"/>
          <w:highlight w:val="white"/>
          <w:lang w:val="en-GB"/>
        </w:rPr>
        <w:t>, 2020</w:t>
      </w:r>
      <w:r w:rsidRPr="00F80189">
        <w:rPr>
          <w:lang w:val="en-GB"/>
        </w:rPr>
        <w:t xml:space="preserve">). While self-induced automatism is associated with the intentional exposure of an individual towards the environment that can impact their physical or mental automatism. Self-induced automatism can also be used by the defendant on the ground of specific intent which concerns other than causing harm or violating the criminal law. </w:t>
      </w:r>
    </w:p>
    <w:p w14:paraId="1517655A" w14:textId="77777777" w:rsidR="001708DF" w:rsidRPr="00F80189" w:rsidRDefault="000D6A80" w:rsidP="00F80189">
      <w:pPr>
        <w:pStyle w:val="Normal1"/>
        <w:spacing w:after="0"/>
        <w:rPr>
          <w:lang w:val="en-GB"/>
        </w:rPr>
      </w:pPr>
      <w:r w:rsidRPr="00F80189">
        <w:rPr>
          <w:lang w:val="en-GB"/>
        </w:rPr>
        <w:t xml:space="preserve">In the current case, there is less chance that Freya can rely upon the intoxication and battery aspect. This is mainly because she was voluntarily intoxicated without any external influences. However, she can appeal for automatism where her action was an outcome of epilepsy which is a nervous system disorder leading to abnormal activity of the brain. However, she might be criticised for voluntary intoxication that triggers the epilepsy attack and she was fully aware of the situation. In such a case, she can claim for specific automation where her intoxication intent was not to harm any individual or person present at the party. </w:t>
      </w:r>
    </w:p>
    <w:p w14:paraId="3D97F1A8" w14:textId="77777777" w:rsidR="00F80189" w:rsidRPr="00F80189" w:rsidRDefault="00F80189" w:rsidP="00F80189">
      <w:pPr>
        <w:spacing w:after="0"/>
        <w:rPr>
          <w:b/>
          <w:lang w:val="en-GB"/>
        </w:rPr>
      </w:pPr>
      <w:bookmarkStart w:id="5" w:name="_oz5db19u80ut" w:colFirst="0" w:colLast="0"/>
      <w:bookmarkEnd w:id="5"/>
      <w:r w:rsidRPr="00F80189">
        <w:rPr>
          <w:lang w:val="en-GB"/>
        </w:rPr>
        <w:br w:type="page"/>
      </w:r>
    </w:p>
    <w:p w14:paraId="091E8A35" w14:textId="77777777" w:rsidR="001708DF" w:rsidRPr="00F80189" w:rsidRDefault="000D6A80" w:rsidP="00F80189">
      <w:pPr>
        <w:pStyle w:val="Heading1"/>
        <w:spacing w:after="0"/>
        <w:rPr>
          <w:lang w:val="en-GB"/>
        </w:rPr>
      </w:pPr>
      <w:r w:rsidRPr="00F80189">
        <w:rPr>
          <w:lang w:val="en-GB"/>
        </w:rPr>
        <w:lastRenderedPageBreak/>
        <w:t>Conclusion</w:t>
      </w:r>
    </w:p>
    <w:p w14:paraId="73A8D45D" w14:textId="77777777" w:rsidR="001708DF" w:rsidRPr="00F80189" w:rsidRDefault="000D6A80" w:rsidP="00F80189">
      <w:pPr>
        <w:pStyle w:val="Normal1"/>
        <w:spacing w:after="0"/>
        <w:rPr>
          <w:lang w:val="en-GB"/>
        </w:rPr>
      </w:pPr>
      <w:r w:rsidRPr="00F80189">
        <w:rPr>
          <w:lang w:val="en-GB"/>
        </w:rPr>
        <w:t>This report has successfully studied the provisions and implementation of “The Criminal Damage Act 1971” whose punishment implementation depends on the violation of its three sections. An analysis of defence against the provision of intoxication and automatism has been studied against the implementation of “s.47 Offences Against the Person Act 1861”. The provision of “Actus Reus” and “</w:t>
      </w:r>
      <w:proofErr w:type="spellStart"/>
      <w:r w:rsidRPr="00F80189">
        <w:rPr>
          <w:lang w:val="en-GB"/>
        </w:rPr>
        <w:t>Mens</w:t>
      </w:r>
      <w:proofErr w:type="spellEnd"/>
      <w:r w:rsidRPr="00F80189">
        <w:rPr>
          <w:lang w:val="en-GB"/>
        </w:rPr>
        <w:t xml:space="preserve"> Rea” has been thoroughly analysed under the shadow of the current case studies. </w:t>
      </w:r>
      <w:r w:rsidRPr="00F80189">
        <w:rPr>
          <w:lang w:val="en-GB"/>
        </w:rPr>
        <w:br w:type="page"/>
      </w:r>
    </w:p>
    <w:p w14:paraId="2EE7EE12" w14:textId="77777777" w:rsidR="001708DF" w:rsidRPr="00F80189" w:rsidRDefault="000D6A80" w:rsidP="00F80189">
      <w:pPr>
        <w:pStyle w:val="Heading1"/>
        <w:spacing w:after="0"/>
        <w:rPr>
          <w:lang w:val="en-GB"/>
        </w:rPr>
      </w:pPr>
      <w:bookmarkStart w:id="6" w:name="_ddwycaq6hvjj" w:colFirst="0" w:colLast="0"/>
      <w:bookmarkEnd w:id="6"/>
      <w:r w:rsidRPr="00F80189">
        <w:rPr>
          <w:lang w:val="en-GB"/>
        </w:rPr>
        <w:lastRenderedPageBreak/>
        <w:t>References</w:t>
      </w:r>
    </w:p>
    <w:p w14:paraId="12A4ECCD" w14:textId="77777777" w:rsidR="00874E82" w:rsidRPr="00F80189" w:rsidRDefault="00874E82" w:rsidP="00F80189">
      <w:pPr>
        <w:pStyle w:val="Normal1"/>
        <w:spacing w:after="0"/>
        <w:rPr>
          <w:color w:val="222222"/>
          <w:highlight w:val="white"/>
          <w:lang w:val="en-GB"/>
        </w:rPr>
      </w:pPr>
      <w:proofErr w:type="spellStart"/>
      <w:r w:rsidRPr="00F80189">
        <w:rPr>
          <w:color w:val="222222"/>
          <w:highlight w:val="white"/>
          <w:lang w:val="en-GB"/>
        </w:rPr>
        <w:t>Bettinson</w:t>
      </w:r>
      <w:proofErr w:type="spellEnd"/>
      <w:r w:rsidRPr="00F80189">
        <w:rPr>
          <w:color w:val="222222"/>
          <w:highlight w:val="white"/>
          <w:lang w:val="en-GB"/>
        </w:rPr>
        <w:t xml:space="preserve">, V., 2022. A comparative analysis of non-fatal strangulation offences: Will the proposed s. 75A Serious Crime Act 2015 work for victims of domestic violence and </w:t>
      </w:r>
      <w:proofErr w:type="gramStart"/>
      <w:r w:rsidRPr="00F80189">
        <w:rPr>
          <w:color w:val="222222"/>
          <w:highlight w:val="white"/>
          <w:lang w:val="en-GB"/>
        </w:rPr>
        <w:t>abuse?.</w:t>
      </w:r>
      <w:proofErr w:type="gramEnd"/>
      <w:r w:rsidRPr="00F80189">
        <w:rPr>
          <w:color w:val="222222"/>
          <w:highlight w:val="white"/>
          <w:lang w:val="en-GB"/>
        </w:rPr>
        <w:t xml:space="preserve"> </w:t>
      </w:r>
      <w:r w:rsidRPr="00F80189">
        <w:rPr>
          <w:i/>
          <w:color w:val="222222"/>
          <w:highlight w:val="white"/>
          <w:lang w:val="en-GB"/>
        </w:rPr>
        <w:t>The Journal of Criminal Law</w:t>
      </w:r>
      <w:r w:rsidRPr="00F80189">
        <w:rPr>
          <w:color w:val="222222"/>
          <w:highlight w:val="white"/>
          <w:lang w:val="en-GB"/>
        </w:rPr>
        <w:t>, p.00220183221086426.</w:t>
      </w:r>
    </w:p>
    <w:p w14:paraId="5C1D3A28" w14:textId="77777777" w:rsidR="00874E82" w:rsidRPr="00F80189" w:rsidRDefault="00874E82" w:rsidP="00F80189">
      <w:pPr>
        <w:pStyle w:val="Normal1"/>
        <w:spacing w:after="0"/>
        <w:rPr>
          <w:color w:val="222222"/>
          <w:highlight w:val="white"/>
          <w:lang w:val="en-GB"/>
        </w:rPr>
      </w:pPr>
      <w:r w:rsidRPr="00F80189">
        <w:rPr>
          <w:color w:val="222222"/>
          <w:highlight w:val="white"/>
          <w:lang w:val="en-GB"/>
        </w:rPr>
        <w:t xml:space="preserve">Button, M., Shepherd, D., </w:t>
      </w:r>
      <w:proofErr w:type="spellStart"/>
      <w:r w:rsidRPr="00F80189">
        <w:rPr>
          <w:color w:val="222222"/>
          <w:highlight w:val="white"/>
          <w:lang w:val="en-GB"/>
        </w:rPr>
        <w:t>Blackbourn</w:t>
      </w:r>
      <w:proofErr w:type="spellEnd"/>
      <w:r w:rsidRPr="00F80189">
        <w:rPr>
          <w:color w:val="222222"/>
          <w:highlight w:val="white"/>
          <w:lang w:val="en-GB"/>
        </w:rPr>
        <w:t xml:space="preserve">, D., </w:t>
      </w:r>
      <w:proofErr w:type="spellStart"/>
      <w:r w:rsidRPr="00F80189">
        <w:rPr>
          <w:color w:val="222222"/>
          <w:highlight w:val="white"/>
          <w:lang w:val="en-GB"/>
        </w:rPr>
        <w:t>Sugiura</w:t>
      </w:r>
      <w:proofErr w:type="spellEnd"/>
      <w:r w:rsidRPr="00F80189">
        <w:rPr>
          <w:color w:val="222222"/>
          <w:highlight w:val="white"/>
          <w:lang w:val="en-GB"/>
        </w:rPr>
        <w:t xml:space="preserve">, L., </w:t>
      </w:r>
      <w:proofErr w:type="spellStart"/>
      <w:r w:rsidRPr="00F80189">
        <w:rPr>
          <w:color w:val="222222"/>
          <w:highlight w:val="white"/>
          <w:lang w:val="en-GB"/>
        </w:rPr>
        <w:t>Kapend</w:t>
      </w:r>
      <w:proofErr w:type="spellEnd"/>
      <w:r w:rsidRPr="00F80189">
        <w:rPr>
          <w:color w:val="222222"/>
          <w:highlight w:val="white"/>
          <w:lang w:val="en-GB"/>
        </w:rPr>
        <w:t xml:space="preserve">, R. and Wang, V., 2022. Assessing the seriousness of cybercrime: The case of computer misuse crime in the United Kingdom and the victims’ perspective. </w:t>
      </w:r>
      <w:r w:rsidRPr="00F80189">
        <w:rPr>
          <w:i/>
          <w:color w:val="222222"/>
          <w:highlight w:val="white"/>
          <w:lang w:val="en-GB"/>
        </w:rPr>
        <w:t>Criminology &amp; Criminal Justice</w:t>
      </w:r>
      <w:r w:rsidRPr="00F80189">
        <w:rPr>
          <w:color w:val="222222"/>
          <w:highlight w:val="white"/>
          <w:lang w:val="en-GB"/>
        </w:rPr>
        <w:t>, p.17488958221128128.</w:t>
      </w:r>
    </w:p>
    <w:p w14:paraId="684CE785" w14:textId="77777777" w:rsidR="00874E82" w:rsidRPr="00F80189" w:rsidRDefault="00874E82" w:rsidP="00F80189">
      <w:pPr>
        <w:pStyle w:val="Normal1"/>
        <w:spacing w:after="0"/>
        <w:rPr>
          <w:color w:val="222222"/>
          <w:highlight w:val="white"/>
          <w:lang w:val="en-GB"/>
        </w:rPr>
      </w:pPr>
      <w:proofErr w:type="spellStart"/>
      <w:r w:rsidRPr="00F80189">
        <w:rPr>
          <w:color w:val="222222"/>
          <w:highlight w:val="white"/>
          <w:lang w:val="en-GB"/>
        </w:rPr>
        <w:t>casemine</w:t>
      </w:r>
      <w:proofErr w:type="spellEnd"/>
      <w:r w:rsidRPr="00F80189">
        <w:rPr>
          <w:color w:val="222222"/>
          <w:highlight w:val="white"/>
          <w:lang w:val="en-GB"/>
        </w:rPr>
        <w:t xml:space="preserve"> (2021) </w:t>
      </w:r>
      <w:proofErr w:type="spellStart"/>
      <w:r w:rsidRPr="00F80189">
        <w:rPr>
          <w:i/>
          <w:color w:val="222222"/>
          <w:highlight w:val="white"/>
          <w:lang w:val="en-GB"/>
        </w:rPr>
        <w:t>Woolmington</w:t>
      </w:r>
      <w:proofErr w:type="spellEnd"/>
      <w:r w:rsidRPr="00F80189">
        <w:rPr>
          <w:i/>
          <w:color w:val="222222"/>
          <w:highlight w:val="white"/>
          <w:lang w:val="en-GB"/>
        </w:rPr>
        <w:t xml:space="preserve"> v DPP, [1935] UKHL 1: United Kingdom House of Lords, Judgment, law, Casemine.com</w:t>
      </w:r>
      <w:r w:rsidRPr="00F80189">
        <w:rPr>
          <w:color w:val="222222"/>
          <w:highlight w:val="white"/>
          <w:lang w:val="en-GB"/>
        </w:rPr>
        <w:t xml:space="preserve">, </w:t>
      </w:r>
      <w:r w:rsidRPr="00F80189">
        <w:rPr>
          <w:i/>
          <w:color w:val="222222"/>
          <w:highlight w:val="white"/>
          <w:lang w:val="en-GB"/>
        </w:rPr>
        <w:t>https://www.casemine.com</w:t>
      </w:r>
      <w:r w:rsidRPr="00F80189">
        <w:rPr>
          <w:color w:val="222222"/>
          <w:highlight w:val="white"/>
          <w:lang w:val="en-GB"/>
        </w:rPr>
        <w:t xml:space="preserve">. Available at: https://www.casemine.com/judgement/uk/5a938b3e60d03e5f6b82ba39 (Accessed: January 7, 2023). </w:t>
      </w:r>
    </w:p>
    <w:p w14:paraId="695AD519" w14:textId="77777777" w:rsidR="00874E82" w:rsidRPr="00F80189" w:rsidRDefault="00874E82" w:rsidP="00F80189">
      <w:pPr>
        <w:pStyle w:val="Normal1"/>
        <w:spacing w:after="0"/>
        <w:rPr>
          <w:color w:val="222222"/>
          <w:highlight w:val="white"/>
          <w:lang w:val="en-GB"/>
        </w:rPr>
      </w:pPr>
      <w:r w:rsidRPr="00F80189">
        <w:rPr>
          <w:color w:val="222222"/>
          <w:highlight w:val="white"/>
          <w:lang w:val="en-GB"/>
        </w:rPr>
        <w:t xml:space="preserve">cps.gov.uk (2021) </w:t>
      </w:r>
      <w:r w:rsidRPr="00F80189">
        <w:rPr>
          <w:i/>
          <w:color w:val="222222"/>
          <w:highlight w:val="white"/>
          <w:lang w:val="en-GB"/>
        </w:rPr>
        <w:t>Offences against the person, incorporating the charging standard</w:t>
      </w:r>
      <w:r w:rsidRPr="00F80189">
        <w:rPr>
          <w:color w:val="222222"/>
          <w:highlight w:val="white"/>
          <w:lang w:val="en-GB"/>
        </w:rPr>
        <w:t xml:space="preserve">, </w:t>
      </w:r>
      <w:r w:rsidRPr="00F80189">
        <w:rPr>
          <w:i/>
          <w:color w:val="222222"/>
          <w:highlight w:val="white"/>
          <w:lang w:val="en-GB"/>
        </w:rPr>
        <w:t>Offences against the Person, incorporating the Charging Standard | The Crown Prosecution Service</w:t>
      </w:r>
      <w:r w:rsidRPr="00F80189">
        <w:rPr>
          <w:color w:val="222222"/>
          <w:highlight w:val="white"/>
          <w:lang w:val="en-GB"/>
        </w:rPr>
        <w:t xml:space="preserve">. Available at: https://www.cps.gov.uk/legal-guidance/offences-against-person-incorporating-charging-standard (Accessed: January 7, 2023). </w:t>
      </w:r>
    </w:p>
    <w:p w14:paraId="5CADFC9E" w14:textId="77777777" w:rsidR="00874E82" w:rsidRPr="00F80189" w:rsidRDefault="00874E82" w:rsidP="00F80189">
      <w:pPr>
        <w:pStyle w:val="Normal1"/>
        <w:spacing w:after="0"/>
        <w:rPr>
          <w:color w:val="222222"/>
          <w:highlight w:val="white"/>
          <w:lang w:val="en-GB"/>
        </w:rPr>
      </w:pPr>
      <w:r w:rsidRPr="00F80189">
        <w:rPr>
          <w:color w:val="222222"/>
          <w:highlight w:val="white"/>
          <w:lang w:val="en-GB"/>
        </w:rPr>
        <w:t xml:space="preserve">Crosby, K., 2022. '" Well, the burden never shifts, but it does": celebrity, property offences and judicial innovation in </w:t>
      </w:r>
      <w:proofErr w:type="spellStart"/>
      <w:r w:rsidRPr="00F80189">
        <w:rPr>
          <w:color w:val="222222"/>
          <w:highlight w:val="white"/>
          <w:lang w:val="en-GB"/>
        </w:rPr>
        <w:t>Woolmington</w:t>
      </w:r>
      <w:proofErr w:type="spellEnd"/>
      <w:r w:rsidRPr="00F80189">
        <w:rPr>
          <w:color w:val="222222"/>
          <w:highlight w:val="white"/>
          <w:lang w:val="en-GB"/>
        </w:rPr>
        <w:t xml:space="preserve"> v DPP'. </w:t>
      </w:r>
      <w:r w:rsidRPr="00F80189">
        <w:rPr>
          <w:i/>
          <w:color w:val="222222"/>
          <w:highlight w:val="white"/>
          <w:lang w:val="en-GB"/>
        </w:rPr>
        <w:t>Legal Studies</w:t>
      </w:r>
      <w:r w:rsidRPr="00F80189">
        <w:rPr>
          <w:color w:val="222222"/>
          <w:highlight w:val="white"/>
          <w:lang w:val="en-GB"/>
        </w:rPr>
        <w:t>.</w:t>
      </w:r>
    </w:p>
    <w:p w14:paraId="19C11FC1" w14:textId="77777777" w:rsidR="00874E82" w:rsidRPr="00F80189" w:rsidRDefault="00874E82" w:rsidP="00F80189">
      <w:pPr>
        <w:pStyle w:val="Normal1"/>
        <w:spacing w:after="0"/>
        <w:rPr>
          <w:color w:val="222222"/>
          <w:highlight w:val="white"/>
          <w:lang w:val="en-GB"/>
        </w:rPr>
      </w:pPr>
      <w:proofErr w:type="spellStart"/>
      <w:r w:rsidRPr="00F80189">
        <w:rPr>
          <w:color w:val="222222"/>
          <w:highlight w:val="white"/>
          <w:lang w:val="en-GB"/>
        </w:rPr>
        <w:t>lawresources</w:t>
      </w:r>
      <w:proofErr w:type="spellEnd"/>
      <w:r w:rsidRPr="00F80189">
        <w:rPr>
          <w:color w:val="222222"/>
          <w:highlight w:val="white"/>
          <w:lang w:val="en-GB"/>
        </w:rPr>
        <w:t xml:space="preserve"> (2021) </w:t>
      </w:r>
      <w:r w:rsidRPr="00F80189">
        <w:rPr>
          <w:i/>
          <w:color w:val="222222"/>
          <w:highlight w:val="white"/>
          <w:lang w:val="en-GB"/>
        </w:rPr>
        <w:t xml:space="preserve">S.47 </w:t>
      </w:r>
      <w:proofErr w:type="spellStart"/>
      <w:r w:rsidRPr="00F80189">
        <w:rPr>
          <w:i/>
          <w:color w:val="222222"/>
          <w:highlight w:val="white"/>
          <w:lang w:val="en-GB"/>
        </w:rPr>
        <w:t>Oapa</w:t>
      </w:r>
      <w:proofErr w:type="spellEnd"/>
      <w:r w:rsidRPr="00F80189">
        <w:rPr>
          <w:i/>
          <w:color w:val="222222"/>
          <w:highlight w:val="white"/>
          <w:lang w:val="en-GB"/>
        </w:rPr>
        <w:t xml:space="preserve"> 1861 actual Bodily Harm</w:t>
      </w:r>
      <w:r w:rsidRPr="00F80189">
        <w:rPr>
          <w:color w:val="222222"/>
          <w:highlight w:val="white"/>
          <w:lang w:val="en-GB"/>
        </w:rPr>
        <w:t xml:space="preserve">. Available at: http://e-lawresources.co.uk/S-47-Actual-Bodily-Harm-%28ABH%29.php (Accessed: January 7, 2023). </w:t>
      </w:r>
    </w:p>
    <w:p w14:paraId="20EBE73D" w14:textId="77777777" w:rsidR="00874E82" w:rsidRPr="00F80189" w:rsidRDefault="00874E82" w:rsidP="00F80189">
      <w:pPr>
        <w:pStyle w:val="Normal1"/>
        <w:spacing w:after="0"/>
        <w:rPr>
          <w:color w:val="222222"/>
          <w:highlight w:val="white"/>
          <w:lang w:val="en-GB"/>
        </w:rPr>
      </w:pPr>
      <w:proofErr w:type="spellStart"/>
      <w:r w:rsidRPr="00F80189">
        <w:rPr>
          <w:color w:val="222222"/>
          <w:highlight w:val="white"/>
          <w:lang w:val="en-GB"/>
        </w:rPr>
        <w:t>Marcou</w:t>
      </w:r>
      <w:proofErr w:type="spellEnd"/>
      <w:r w:rsidRPr="00F80189">
        <w:rPr>
          <w:color w:val="222222"/>
          <w:highlight w:val="white"/>
          <w:lang w:val="en-GB"/>
        </w:rPr>
        <w:t xml:space="preserve">, A., 2021. Violence, communication, and civil disobedience. </w:t>
      </w:r>
      <w:r w:rsidRPr="00F80189">
        <w:rPr>
          <w:i/>
          <w:color w:val="222222"/>
          <w:highlight w:val="white"/>
          <w:lang w:val="en-GB"/>
        </w:rPr>
        <w:t>Jurisprudence</w:t>
      </w:r>
      <w:r w:rsidRPr="00F80189">
        <w:rPr>
          <w:color w:val="222222"/>
          <w:highlight w:val="white"/>
          <w:lang w:val="en-GB"/>
        </w:rPr>
        <w:t xml:space="preserve">, </w:t>
      </w:r>
      <w:r w:rsidRPr="00F80189">
        <w:rPr>
          <w:i/>
          <w:color w:val="222222"/>
          <w:highlight w:val="white"/>
          <w:lang w:val="en-GB"/>
        </w:rPr>
        <w:t>12</w:t>
      </w:r>
      <w:r w:rsidRPr="00F80189">
        <w:rPr>
          <w:color w:val="222222"/>
          <w:highlight w:val="white"/>
          <w:lang w:val="en-GB"/>
        </w:rPr>
        <w:t>(4), pp.491-511.</w:t>
      </w:r>
    </w:p>
    <w:p w14:paraId="1512C483" w14:textId="77777777" w:rsidR="00874E82" w:rsidRPr="00F80189" w:rsidRDefault="00874E82" w:rsidP="00F80189">
      <w:pPr>
        <w:pStyle w:val="Normal1"/>
        <w:spacing w:after="0"/>
        <w:rPr>
          <w:color w:val="222222"/>
          <w:highlight w:val="white"/>
          <w:lang w:val="en-GB"/>
        </w:rPr>
      </w:pPr>
      <w:proofErr w:type="spellStart"/>
      <w:r w:rsidRPr="00F80189">
        <w:rPr>
          <w:color w:val="222222"/>
          <w:highlight w:val="white"/>
          <w:lang w:val="en-GB"/>
        </w:rPr>
        <w:t>McDermaid</w:t>
      </w:r>
      <w:proofErr w:type="spellEnd"/>
      <w:r w:rsidRPr="00F80189">
        <w:rPr>
          <w:color w:val="222222"/>
          <w:highlight w:val="white"/>
          <w:lang w:val="en-GB"/>
        </w:rPr>
        <w:t xml:space="preserve">, L., 2020. </w:t>
      </w:r>
      <w:proofErr w:type="spellStart"/>
      <w:r w:rsidRPr="00F80189">
        <w:rPr>
          <w:color w:val="222222"/>
          <w:highlight w:val="white"/>
          <w:lang w:val="en-GB"/>
        </w:rPr>
        <w:t>Homophobia,'Increasing</w:t>
      </w:r>
      <w:proofErr w:type="spellEnd"/>
      <w:r w:rsidRPr="00F80189">
        <w:rPr>
          <w:color w:val="222222"/>
          <w:highlight w:val="white"/>
          <w:lang w:val="en-GB"/>
        </w:rPr>
        <w:t xml:space="preserve"> </w:t>
      </w:r>
      <w:proofErr w:type="spellStart"/>
      <w:r w:rsidRPr="00F80189">
        <w:rPr>
          <w:color w:val="222222"/>
          <w:highlight w:val="white"/>
          <w:lang w:val="en-GB"/>
        </w:rPr>
        <w:t>Barbarity'and'Perverted</w:t>
      </w:r>
      <w:proofErr w:type="spellEnd"/>
      <w:r w:rsidRPr="00F80189">
        <w:rPr>
          <w:color w:val="222222"/>
          <w:highlight w:val="white"/>
          <w:lang w:val="en-GB"/>
        </w:rPr>
        <w:t xml:space="preserve"> Desires: Why Brown Has No Place in Governing Consent to Non-Fatal Offences against the Person. </w:t>
      </w:r>
      <w:r w:rsidRPr="00F80189">
        <w:rPr>
          <w:i/>
          <w:color w:val="222222"/>
          <w:highlight w:val="white"/>
          <w:lang w:val="en-GB"/>
        </w:rPr>
        <w:t>Southampton Student L. Rev.</w:t>
      </w:r>
      <w:r w:rsidRPr="00F80189">
        <w:rPr>
          <w:color w:val="222222"/>
          <w:highlight w:val="white"/>
          <w:lang w:val="en-GB"/>
        </w:rPr>
        <w:t xml:space="preserve">, </w:t>
      </w:r>
      <w:r w:rsidRPr="00F80189">
        <w:rPr>
          <w:i/>
          <w:color w:val="222222"/>
          <w:highlight w:val="white"/>
          <w:lang w:val="en-GB"/>
        </w:rPr>
        <w:t>10</w:t>
      </w:r>
      <w:r w:rsidRPr="00F80189">
        <w:rPr>
          <w:color w:val="222222"/>
          <w:highlight w:val="white"/>
          <w:lang w:val="en-GB"/>
        </w:rPr>
        <w:t>, p.58.</w:t>
      </w:r>
    </w:p>
    <w:p w14:paraId="0C0995A8" w14:textId="77777777" w:rsidR="00874E82" w:rsidRPr="00F80189" w:rsidRDefault="00874E82" w:rsidP="00F80189">
      <w:pPr>
        <w:pStyle w:val="Normal1"/>
        <w:spacing w:after="0"/>
        <w:rPr>
          <w:lang w:val="en-GB"/>
        </w:rPr>
      </w:pPr>
      <w:r w:rsidRPr="00F80189">
        <w:rPr>
          <w:lang w:val="en-GB"/>
        </w:rPr>
        <w:t xml:space="preserve">Statute Law Database (2021) </w:t>
      </w:r>
      <w:r w:rsidRPr="00F80189">
        <w:rPr>
          <w:i/>
          <w:lang w:val="en-GB"/>
        </w:rPr>
        <w:t>Criminal damage act 1971</w:t>
      </w:r>
      <w:r w:rsidRPr="00F80189">
        <w:rPr>
          <w:lang w:val="en-GB"/>
        </w:rPr>
        <w:t xml:space="preserve">, </w:t>
      </w:r>
      <w:r w:rsidRPr="00F80189">
        <w:rPr>
          <w:i/>
          <w:lang w:val="en-GB"/>
        </w:rPr>
        <w:t>Legislation.gov.uk</w:t>
      </w:r>
      <w:r w:rsidRPr="00F80189">
        <w:rPr>
          <w:lang w:val="en-GB"/>
        </w:rPr>
        <w:t xml:space="preserve">. Statute Law Database. Available at: https://www.legislation.gov.uk/ukpga/1971/48/contents (Accessed: January 7, 2023). </w:t>
      </w:r>
    </w:p>
    <w:p w14:paraId="66BF0D1E" w14:textId="77777777" w:rsidR="00874E82" w:rsidRPr="00F80189" w:rsidRDefault="00874E82" w:rsidP="00F80189">
      <w:pPr>
        <w:pStyle w:val="Normal1"/>
        <w:spacing w:after="0"/>
        <w:rPr>
          <w:lang w:val="en-GB"/>
        </w:rPr>
      </w:pPr>
      <w:r w:rsidRPr="00F80189">
        <w:rPr>
          <w:lang w:val="en-GB"/>
        </w:rPr>
        <w:t xml:space="preserve">The Crown Prosecution Service (2021) </w:t>
      </w:r>
      <w:r w:rsidRPr="00F80189">
        <w:rPr>
          <w:i/>
          <w:lang w:val="en-GB"/>
        </w:rPr>
        <w:t>Criminal damage</w:t>
      </w:r>
      <w:r w:rsidRPr="00F80189">
        <w:rPr>
          <w:lang w:val="en-GB"/>
        </w:rPr>
        <w:t xml:space="preserve">, </w:t>
      </w:r>
      <w:r w:rsidRPr="00F80189">
        <w:rPr>
          <w:i/>
          <w:lang w:val="en-GB"/>
        </w:rPr>
        <w:t>Criminal Damage | The Crown Prosecution Service</w:t>
      </w:r>
      <w:r w:rsidRPr="00F80189">
        <w:rPr>
          <w:lang w:val="en-GB"/>
        </w:rPr>
        <w:t xml:space="preserve">. Available at: https://www.cps.gov.uk/legal-guidance/criminal-damage (Accessed: January 7, 2023). </w:t>
      </w:r>
    </w:p>
    <w:p w14:paraId="4A6735DA" w14:textId="77777777" w:rsidR="001708DF" w:rsidRPr="00F80189" w:rsidRDefault="001708DF" w:rsidP="00F80189">
      <w:pPr>
        <w:pStyle w:val="Normal1"/>
        <w:spacing w:after="0"/>
        <w:rPr>
          <w:lang w:val="en-GB"/>
        </w:rPr>
      </w:pPr>
    </w:p>
    <w:sectPr w:rsidR="001708DF" w:rsidRPr="00F80189" w:rsidSect="00B2508F">
      <w:footerReference w:type="default" r:id="rId7"/>
      <w:pgSz w:w="11909" w:h="16834"/>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AFD9AB" w14:textId="77777777" w:rsidR="00544CA5" w:rsidRDefault="00544CA5" w:rsidP="001708DF">
      <w:pPr>
        <w:spacing w:after="0" w:line="240" w:lineRule="auto"/>
      </w:pPr>
      <w:r>
        <w:separator/>
      </w:r>
    </w:p>
  </w:endnote>
  <w:endnote w:type="continuationSeparator" w:id="0">
    <w:p w14:paraId="10CCA084" w14:textId="77777777" w:rsidR="00544CA5" w:rsidRDefault="00544CA5" w:rsidP="001708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Tahoma">
    <w:panose1 w:val="020B0604030504040204"/>
    <w:charset w:val="EE"/>
    <w:family w:val="swiss"/>
    <w:pitch w:val="variable"/>
    <w:sig w:usb0="E1002EFF" w:usb1="C000605B" w:usb2="00000029" w:usb3="00000000" w:csb0="000101FF" w:csb1="00000000"/>
  </w:font>
  <w:font w:name="Cambria">
    <w:panose1 w:val="02040503050406030204"/>
    <w:charset w:val="EE"/>
    <w:family w:val="roman"/>
    <w:pitch w:val="variable"/>
    <w:sig w:usb0="E00006FF" w:usb1="420024FF" w:usb2="02000000" w:usb3="00000000" w:csb0="0000019F" w:csb1="00000000"/>
  </w:font>
  <w:font w:name="Calibri">
    <w:panose1 w:val="020F05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E3D571" w14:textId="77777777" w:rsidR="001708DF" w:rsidRDefault="001708DF">
    <w:pPr>
      <w:pStyle w:val="Normal1"/>
      <w:jc w:val="right"/>
    </w:pPr>
    <w:r>
      <w:fldChar w:fldCharType="begin"/>
    </w:r>
    <w:r w:rsidR="000D6A80">
      <w:instrText>PAGE</w:instrText>
    </w:r>
    <w:r>
      <w:fldChar w:fldCharType="separate"/>
    </w:r>
    <w:r w:rsidR="00E13CF8">
      <w:rPr>
        <w:noProof/>
      </w:rPr>
      <w:t>9</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D57E5C" w14:textId="77777777" w:rsidR="00544CA5" w:rsidRDefault="00544CA5" w:rsidP="001708DF">
      <w:pPr>
        <w:spacing w:after="0" w:line="240" w:lineRule="auto"/>
      </w:pPr>
      <w:r>
        <w:separator/>
      </w:r>
    </w:p>
  </w:footnote>
  <w:footnote w:type="continuationSeparator" w:id="0">
    <w:p w14:paraId="5DF36DB3" w14:textId="77777777" w:rsidR="00544CA5" w:rsidRDefault="00544CA5" w:rsidP="001708D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08DF"/>
    <w:rsid w:val="000030F7"/>
    <w:rsid w:val="000D6A80"/>
    <w:rsid w:val="001708DF"/>
    <w:rsid w:val="00186032"/>
    <w:rsid w:val="00544CA5"/>
    <w:rsid w:val="00860A15"/>
    <w:rsid w:val="00874E82"/>
    <w:rsid w:val="00B2508F"/>
    <w:rsid w:val="00E13CF8"/>
    <w:rsid w:val="00F801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A3CBF2"/>
  <w15:docId w15:val="{A46BCD1A-8937-4462-A460-9BEF523DC5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1708DF"/>
    <w:pPr>
      <w:keepNext/>
      <w:keepLines/>
      <w:outlineLvl w:val="0"/>
    </w:pPr>
    <w:rPr>
      <w:b/>
    </w:rPr>
  </w:style>
  <w:style w:type="paragraph" w:styleId="Heading2">
    <w:name w:val="heading 2"/>
    <w:basedOn w:val="Normal1"/>
    <w:next w:val="Normal1"/>
    <w:rsid w:val="001708DF"/>
    <w:pPr>
      <w:keepNext/>
      <w:keepLines/>
      <w:outlineLvl w:val="1"/>
    </w:pPr>
    <w:rPr>
      <w:b/>
    </w:rPr>
  </w:style>
  <w:style w:type="paragraph" w:styleId="Heading3">
    <w:name w:val="heading 3"/>
    <w:basedOn w:val="Normal1"/>
    <w:next w:val="Normal1"/>
    <w:rsid w:val="001708DF"/>
    <w:pPr>
      <w:keepNext/>
      <w:keepLines/>
      <w:spacing w:before="320" w:after="80"/>
      <w:outlineLvl w:val="2"/>
    </w:pPr>
    <w:rPr>
      <w:color w:val="434343"/>
      <w:sz w:val="28"/>
      <w:szCs w:val="28"/>
    </w:rPr>
  </w:style>
  <w:style w:type="paragraph" w:styleId="Heading4">
    <w:name w:val="heading 4"/>
    <w:basedOn w:val="Normal1"/>
    <w:next w:val="Normal1"/>
    <w:rsid w:val="001708DF"/>
    <w:pPr>
      <w:keepNext/>
      <w:keepLines/>
      <w:spacing w:before="280" w:after="80"/>
      <w:outlineLvl w:val="3"/>
    </w:pPr>
    <w:rPr>
      <w:color w:val="666666"/>
    </w:rPr>
  </w:style>
  <w:style w:type="paragraph" w:styleId="Heading5">
    <w:name w:val="heading 5"/>
    <w:basedOn w:val="Normal1"/>
    <w:next w:val="Normal1"/>
    <w:rsid w:val="001708DF"/>
    <w:pPr>
      <w:keepNext/>
      <w:keepLines/>
      <w:spacing w:before="240" w:after="80"/>
      <w:outlineLvl w:val="4"/>
    </w:pPr>
    <w:rPr>
      <w:color w:val="666666"/>
      <w:sz w:val="22"/>
      <w:szCs w:val="22"/>
    </w:rPr>
  </w:style>
  <w:style w:type="paragraph" w:styleId="Heading6">
    <w:name w:val="heading 6"/>
    <w:basedOn w:val="Normal1"/>
    <w:next w:val="Normal1"/>
    <w:rsid w:val="001708DF"/>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708DF"/>
  </w:style>
  <w:style w:type="paragraph" w:styleId="Title">
    <w:name w:val="Title"/>
    <w:basedOn w:val="Normal1"/>
    <w:next w:val="Normal1"/>
    <w:link w:val="TitleChar"/>
    <w:rsid w:val="001708DF"/>
    <w:pPr>
      <w:keepNext/>
      <w:keepLines/>
    </w:pPr>
    <w:rPr>
      <w:b/>
    </w:rPr>
  </w:style>
  <w:style w:type="paragraph" w:styleId="Subtitle">
    <w:name w:val="Subtitle"/>
    <w:basedOn w:val="Normal1"/>
    <w:next w:val="Normal1"/>
    <w:rsid w:val="001708DF"/>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874E8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74E82"/>
    <w:rPr>
      <w:rFonts w:ascii="Tahoma" w:hAnsi="Tahoma" w:cs="Tahoma"/>
      <w:sz w:val="16"/>
      <w:szCs w:val="16"/>
    </w:rPr>
  </w:style>
  <w:style w:type="character" w:customStyle="1" w:styleId="TitleChar">
    <w:name w:val="Title Char"/>
    <w:basedOn w:val="DefaultParagraphFont"/>
    <w:link w:val="Title"/>
    <w:rsid w:val="00E13CF8"/>
    <w:rPr>
      <w:b/>
    </w:rPr>
  </w:style>
  <w:style w:type="paragraph" w:styleId="NoSpacing">
    <w:name w:val="No Spacing"/>
    <w:link w:val="NoSpacingChar"/>
    <w:uiPriority w:val="1"/>
    <w:qFormat/>
    <w:rsid w:val="00B2508F"/>
    <w:pPr>
      <w:spacing w:after="0" w:line="240" w:lineRule="auto"/>
      <w:jc w:val="left"/>
    </w:pPr>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B2508F"/>
    <w:rPr>
      <w:rFonts w:asciiTheme="minorHAnsi" w:eastAsiaTheme="minorEastAsia"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Criminal Law</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9</Pages>
  <Words>1813</Words>
  <Characters>10520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BMLW4005</dc:subject>
  <dc:creator>ma</dc:creator>
  <cp:lastModifiedBy>mihnea.antonescu1@outlook.com</cp:lastModifiedBy>
  <cp:revision>5</cp:revision>
  <dcterms:created xsi:type="dcterms:W3CDTF">2023-01-07T07:19:00Z</dcterms:created>
  <dcterms:modified xsi:type="dcterms:W3CDTF">2023-01-08T11:11:00Z</dcterms:modified>
</cp:coreProperties>
</file>