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0C500B3" w14:textId="08A96273" w:rsidR="005F1ACA" w:rsidRDefault="001C320E">
      <w:pPr>
        <w:spacing w:before="1100"/>
      </w:pPr>
      <w:r>
        <w:rPr>
          <w:noProof/>
        </w:rPr>
        <w:drawing>
          <wp:inline distT="0" distB="0" distL="0" distR="0" wp14:anchorId="65327BEA" wp14:editId="26221000">
            <wp:extent cx="6188710" cy="2580640"/>
            <wp:effectExtent l="0" t="0" r="0" b="0"/>
            <wp:docPr id="1409209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209822" name="Picture 1409209822"/>
                    <pic:cNvPicPr/>
                  </pic:nvPicPr>
                  <pic:blipFill>
                    <a:blip r:embed="rId7" cstate="print">
                      <a:extLst>
                        <a:ext uri="{28A0092B-C50C-407E-A947-70E740481C1C}">
                          <a14:useLocalDpi xmlns:a14="http://schemas.microsoft.com/office/drawing/2010/main" val="0"/>
                        </a:ext>
                      </a:extLst>
                    </a:blip>
                    <a:stretch>
                      <a:fillRect/>
                    </a:stretch>
                  </pic:blipFill>
                  <pic:spPr>
                    <a:xfrm>
                      <a:off x="0" y="0"/>
                      <a:ext cx="6188710" cy="2580640"/>
                    </a:xfrm>
                    <a:prstGeom prst="rect">
                      <a:avLst/>
                    </a:prstGeom>
                  </pic:spPr>
                </pic:pic>
              </a:graphicData>
            </a:graphic>
          </wp:inline>
        </w:drawing>
      </w:r>
    </w:p>
    <w:p w14:paraId="0E971B43" w14:textId="395DD463" w:rsidR="00D47FAA" w:rsidRDefault="00D47FAA">
      <w:pPr>
        <w:spacing w:before="1100"/>
      </w:pPr>
    </w:p>
    <w:p w14:paraId="5DA90EE3" w14:textId="77777777" w:rsidR="005F1ACA" w:rsidRDefault="00AC240C">
      <w:pPr>
        <w:spacing w:after="500"/>
        <w:jc w:val="center"/>
      </w:pPr>
      <w:r>
        <w:rPr>
          <w:b/>
          <w:bCs/>
          <w:color w:val="1B2A4A"/>
          <w:sz w:val="38"/>
          <w:szCs w:val="38"/>
        </w:rPr>
        <w:t>Bridging the Communication Gap: Evaluating UK–Japanese Communication Style Differences in the BAE Systems–Mitsubishi Heavy Industries Global Combat Air Programme</w:t>
      </w:r>
    </w:p>
    <w:p w14:paraId="39ACF7FA" w14:textId="77777777" w:rsidR="005F1ACA" w:rsidRDefault="00AC240C">
      <w:pPr>
        <w:spacing w:after="800"/>
        <w:jc w:val="center"/>
      </w:pPr>
      <w:r>
        <w:rPr>
          <w:i/>
          <w:iCs/>
          <w:color w:val="5B6472"/>
        </w:rPr>
        <w:t>An evaluation of the differences in communication styles between UK and Japanese teams and their potential to cause misunderstanding, applying Hofstede's cultural dimensions, Hall's high-/low-context theory, and Trompenaars' dimensions of culture.</w:t>
      </w:r>
    </w:p>
    <w:p w14:paraId="3BB1FFAC" w14:textId="77777777" w:rsidR="005F1ACA" w:rsidRDefault="00AC240C">
      <w:pPr>
        <w:spacing w:after="100"/>
        <w:jc w:val="center"/>
      </w:pPr>
      <w:r>
        <w:rPr>
          <w:b/>
          <w:bCs/>
          <w:sz w:val="24"/>
          <w:szCs w:val="24"/>
        </w:rPr>
        <w:t>Prepared by: Kremena Petrova Nedelcheva</w:t>
      </w:r>
    </w:p>
    <w:p w14:paraId="36AA38C2" w14:textId="77777777" w:rsidR="005F1ACA" w:rsidRDefault="00AC240C">
      <w:pPr>
        <w:spacing w:after="100"/>
        <w:jc w:val="center"/>
      </w:pPr>
      <w:r>
        <w:rPr>
          <w:sz w:val="24"/>
          <w:szCs w:val="24"/>
        </w:rPr>
        <w:t>Student Number: 2336425</w:t>
      </w:r>
    </w:p>
    <w:p w14:paraId="3B504B0F" w14:textId="77777777" w:rsidR="005F1ACA" w:rsidRDefault="00AC240C">
      <w:pPr>
        <w:spacing w:after="100"/>
        <w:jc w:val="center"/>
      </w:pPr>
      <w:r>
        <w:rPr>
          <w:sz w:val="24"/>
          <w:szCs w:val="24"/>
        </w:rPr>
        <w:t>Module: International Business Communications (LCBB6023)</w:t>
      </w:r>
    </w:p>
    <w:p w14:paraId="125C5D76" w14:textId="77777777" w:rsidR="005F1ACA" w:rsidRDefault="00AC240C">
      <w:pPr>
        <w:spacing w:after="100"/>
        <w:jc w:val="center"/>
      </w:pPr>
      <w:r>
        <w:rPr>
          <w:sz w:val="24"/>
          <w:szCs w:val="24"/>
        </w:rPr>
        <w:t>Lecturer: Afzal Sayed Munna</w:t>
      </w:r>
    </w:p>
    <w:p w14:paraId="77B50B6E" w14:textId="0C727BC2" w:rsidR="005F1ACA" w:rsidRDefault="00AC240C">
      <w:pPr>
        <w:spacing w:after="100"/>
        <w:jc w:val="center"/>
      </w:pPr>
      <w:r>
        <w:rPr>
          <w:sz w:val="24"/>
          <w:szCs w:val="24"/>
        </w:rPr>
        <w:t xml:space="preserve">Date: </w:t>
      </w:r>
      <w:r w:rsidR="00D47FAA">
        <w:rPr>
          <w:sz w:val="24"/>
          <w:szCs w:val="24"/>
        </w:rPr>
        <w:t xml:space="preserve">30 </w:t>
      </w:r>
      <w:r>
        <w:rPr>
          <w:sz w:val="24"/>
          <w:szCs w:val="24"/>
        </w:rPr>
        <w:t>July 2026</w:t>
      </w:r>
    </w:p>
    <w:p w14:paraId="77846309" w14:textId="77777777" w:rsidR="005F1ACA" w:rsidRDefault="00AC240C">
      <w:r>
        <w:br w:type="page"/>
      </w:r>
    </w:p>
    <w:p w14:paraId="2CD835A6" w14:textId="77777777" w:rsidR="005F1ACA" w:rsidRDefault="00AC240C">
      <w:pPr>
        <w:pStyle w:val="Heading1"/>
        <w:spacing w:after="240"/>
      </w:pPr>
      <w:bookmarkStart w:id="0" w:name="_Toc234056604"/>
      <w:r>
        <w:lastRenderedPageBreak/>
        <w:t>Table of Contents</w:t>
      </w:r>
      <w:bookmarkEnd w:id="0"/>
    </w:p>
    <w:sdt>
      <w:sdtPr>
        <w:alias w:val="Table of Contents"/>
        <w:id w:val="-979849660"/>
      </w:sdtPr>
      <w:sdtEndPr/>
      <w:sdtContent>
        <w:p w14:paraId="7D8EF200" w14:textId="77777777" w:rsidR="00D47FAA" w:rsidRDefault="00AC240C">
          <w:pPr>
            <w:pStyle w:val="TOC1"/>
            <w:tabs>
              <w:tab w:val="right" w:leader="dot" w:pos="9736"/>
            </w:tabs>
            <w:rPr>
              <w:noProof/>
            </w:rPr>
            <w:spacing w:after="100" w:line="276" w:lineRule="auto"/>
          </w:pPr>
          <w:r>
            <w:fldChar w:fldCharType="begin"/>
          </w:r>
          <w:r>
            <w:instrText>TOC \h \o "1-2"</w:instrText>
          </w:r>
          <w:r>
            <w:fldChar w:fldCharType="separate"/>
          </w:r>
          <w:hyperlink w:anchor="_Toc234056604" w:history="1">
            <w:r w:rsidR="00D47FAA" w:rsidRPr="00D54F3E">
              <w:rPr>
                <w:rStyle w:val="Hyperlink"/>
                <w:noProof/>
              </w:rPr>
              <w:t>Table of Contents</w:t>
            </w:r>
            <w:r w:rsidR="00D47FAA">
              <w:rPr>
                <w:noProof/>
              </w:rPr>
              <w:tab/>
            </w:r>
            <w:r w:rsidR="00D47FAA">
              <w:rPr>
                <w:noProof/>
              </w:rPr>
              <w:fldChar w:fldCharType="begin"/>
            </w:r>
            <w:r w:rsidR="00D47FAA">
              <w:rPr>
                <w:noProof/>
              </w:rPr>
              <w:instrText xml:space="preserve"> PAGEREF _Toc234056604 \h </w:instrText>
            </w:r>
            <w:r w:rsidR="00D47FAA">
              <w:rPr>
                <w:noProof/>
              </w:rPr>
            </w:r>
            <w:r w:rsidR="00D47FAA">
              <w:rPr>
                <w:noProof/>
              </w:rPr>
              <w:fldChar w:fldCharType="separate"/>
            </w:r>
            <w:r w:rsidR="00D47FAA">
              <w:rPr>
                <w:noProof/>
              </w:rPr>
              <w:t>2</w:t>
            </w:r>
            <w:r w:rsidR="00D47FAA">
              <w:rPr>
                <w:noProof/>
              </w:rPr>
              <w:fldChar w:fldCharType="end"/>
            </w:r>
          </w:hyperlink>
        </w:p>
        <w:p w14:paraId="6FE6DBE3" w14:textId="77777777" w:rsidR="00D47FAA" w:rsidRDefault="00D47FAA">
          <w:pPr>
            <w:pStyle w:val="TOC1"/>
            <w:tabs>
              <w:tab w:val="right" w:leader="dot" w:pos="9736"/>
            </w:tabs>
            <w:rPr>
              <w:noProof/>
            </w:rPr>
            <w:spacing w:after="100" w:line="276" w:lineRule="auto"/>
          </w:pPr>
          <w:hyperlink w:anchor="_Toc234056605" w:history="1">
            <w:r w:rsidRPr="00D54F3E">
              <w:rPr>
                <w:rStyle w:val="Hyperlink"/>
                <w:noProof/>
              </w:rPr>
              <w:t>1. Introduction</w:t>
            </w:r>
            <w:r>
              <w:rPr>
                <w:noProof/>
              </w:rPr>
              <w:tab/>
            </w:r>
            <w:r>
              <w:rPr>
                <w:noProof/>
              </w:rPr>
              <w:fldChar w:fldCharType="begin"/>
            </w:r>
            <w:r>
              <w:rPr>
                <w:noProof/>
              </w:rPr>
              <w:instrText xml:space="preserve"> PAGEREF _Toc234056605 \h </w:instrText>
            </w:r>
            <w:r>
              <w:rPr>
                <w:noProof/>
              </w:rPr>
            </w:r>
            <w:r>
              <w:rPr>
                <w:noProof/>
              </w:rPr>
              <w:fldChar w:fldCharType="separate"/>
            </w:r>
            <w:r>
              <w:rPr>
                <w:noProof/>
              </w:rPr>
              <w:t>3</w:t>
            </w:r>
            <w:r>
              <w:rPr>
                <w:noProof/>
              </w:rPr>
              <w:fldChar w:fldCharType="end"/>
            </w:r>
          </w:hyperlink>
        </w:p>
        <w:p w14:paraId="068E9744" w14:textId="77777777" w:rsidR="00D47FAA" w:rsidRDefault="00D47FAA">
          <w:pPr>
            <w:pStyle w:val="TOC1"/>
            <w:tabs>
              <w:tab w:val="right" w:leader="dot" w:pos="9736"/>
            </w:tabs>
            <w:rPr>
              <w:noProof/>
            </w:rPr>
            <w:spacing w:after="100" w:line="276" w:lineRule="auto"/>
          </w:pPr>
          <w:hyperlink w:anchor="_Toc234056606" w:history="1">
            <w:r w:rsidRPr="00D54F3E">
              <w:rPr>
                <w:rStyle w:val="Hyperlink"/>
                <w:noProof/>
              </w:rPr>
              <w:t>2. Evaluating UK–Japanese Communication Style Differences</w:t>
            </w:r>
            <w:r>
              <w:rPr>
                <w:noProof/>
              </w:rPr>
              <w:tab/>
            </w:r>
            <w:r>
              <w:rPr>
                <w:noProof/>
              </w:rPr>
              <w:fldChar w:fldCharType="begin"/>
            </w:r>
            <w:r>
              <w:rPr>
                <w:noProof/>
              </w:rPr>
              <w:instrText xml:space="preserve"> PAGEREF _Toc234056606 \h </w:instrText>
            </w:r>
            <w:r>
              <w:rPr>
                <w:noProof/>
              </w:rPr>
            </w:r>
            <w:r>
              <w:rPr>
                <w:noProof/>
              </w:rPr>
              <w:fldChar w:fldCharType="separate"/>
            </w:r>
            <w:r>
              <w:rPr>
                <w:noProof/>
              </w:rPr>
              <w:t>4</w:t>
            </w:r>
            <w:r>
              <w:rPr>
                <w:noProof/>
              </w:rPr>
              <w:fldChar w:fldCharType="end"/>
            </w:r>
          </w:hyperlink>
        </w:p>
        <w:p w14:paraId="274DD2A9" w14:textId="77777777" w:rsidR="00D47FAA" w:rsidRDefault="00D47FAA">
          <w:pPr>
            <w:pStyle w:val="TOC2"/>
            <w:tabs>
              <w:tab w:val="right" w:leader="dot" w:pos="9736"/>
            </w:tabs>
            <w:rPr>
              <w:noProof/>
            </w:rPr>
            <w:spacing w:after="100" w:line="276" w:lineRule="auto"/>
          </w:pPr>
          <w:hyperlink w:anchor="_Toc234056607" w:history="1">
            <w:r w:rsidRPr="00D54F3E">
              <w:rPr>
                <w:rStyle w:val="Hyperlink"/>
                <w:noProof/>
              </w:rPr>
              <w:t>2.1 Theoretical Lens: Hofstede, Hall and Trompenaars</w:t>
            </w:r>
            <w:r>
              <w:rPr>
                <w:noProof/>
              </w:rPr>
              <w:tab/>
            </w:r>
            <w:r>
              <w:rPr>
                <w:noProof/>
              </w:rPr>
              <w:fldChar w:fldCharType="begin"/>
            </w:r>
            <w:r>
              <w:rPr>
                <w:noProof/>
              </w:rPr>
              <w:instrText xml:space="preserve"> PAGEREF _Toc234056607 \h </w:instrText>
            </w:r>
            <w:r>
              <w:rPr>
                <w:noProof/>
              </w:rPr>
            </w:r>
            <w:r>
              <w:rPr>
                <w:noProof/>
              </w:rPr>
              <w:fldChar w:fldCharType="separate"/>
            </w:r>
            <w:r>
              <w:rPr>
                <w:noProof/>
              </w:rPr>
              <w:t>4</w:t>
            </w:r>
            <w:r>
              <w:rPr>
                <w:noProof/>
              </w:rPr>
              <w:fldChar w:fldCharType="end"/>
            </w:r>
          </w:hyperlink>
        </w:p>
        <w:p w14:paraId="6F9777C1" w14:textId="77777777" w:rsidR="00D47FAA" w:rsidRDefault="00D47FAA">
          <w:pPr>
            <w:pStyle w:val="TOC2"/>
            <w:tabs>
              <w:tab w:val="right" w:leader="dot" w:pos="9736"/>
            </w:tabs>
            <w:rPr>
              <w:noProof/>
            </w:rPr>
            <w:spacing w:after="100" w:line="276" w:lineRule="auto"/>
          </w:pPr>
          <w:hyperlink w:anchor="_Toc234056608" w:history="1">
            <w:r w:rsidRPr="00D54F3E">
              <w:rPr>
                <w:rStyle w:val="Hyperlink"/>
                <w:noProof/>
              </w:rPr>
              <w:t>2.2 Directness versus Indirectness in Feedback and Disagreement</w:t>
            </w:r>
            <w:r>
              <w:rPr>
                <w:noProof/>
              </w:rPr>
              <w:tab/>
            </w:r>
            <w:r>
              <w:rPr>
                <w:noProof/>
              </w:rPr>
              <w:fldChar w:fldCharType="begin"/>
            </w:r>
            <w:r>
              <w:rPr>
                <w:noProof/>
              </w:rPr>
              <w:instrText xml:space="preserve"> PAGEREF _Toc234056608 \h </w:instrText>
            </w:r>
            <w:r>
              <w:rPr>
                <w:noProof/>
              </w:rPr>
            </w:r>
            <w:r>
              <w:rPr>
                <w:noProof/>
              </w:rPr>
              <w:fldChar w:fldCharType="separate"/>
            </w:r>
            <w:r>
              <w:rPr>
                <w:noProof/>
              </w:rPr>
              <w:t>4</w:t>
            </w:r>
            <w:r>
              <w:rPr>
                <w:noProof/>
              </w:rPr>
              <w:fldChar w:fldCharType="end"/>
            </w:r>
          </w:hyperlink>
        </w:p>
        <w:p w14:paraId="20DA2991" w14:textId="77777777" w:rsidR="00D47FAA" w:rsidRDefault="00D47FAA">
          <w:pPr>
            <w:pStyle w:val="TOC2"/>
            <w:tabs>
              <w:tab w:val="right" w:leader="dot" w:pos="9736"/>
            </w:tabs>
            <w:rPr>
              <w:noProof/>
            </w:rPr>
            <w:spacing w:after="100" w:line="276" w:lineRule="auto"/>
          </w:pPr>
          <w:hyperlink w:anchor="_Toc234056609" w:history="1">
            <w:r w:rsidRPr="00D54F3E">
              <w:rPr>
                <w:rStyle w:val="Hyperlink"/>
                <w:noProof/>
              </w:rPr>
              <w:t>2.3 Hierarchy, Formality and Decision-Making</w:t>
            </w:r>
            <w:r>
              <w:rPr>
                <w:noProof/>
              </w:rPr>
              <w:tab/>
            </w:r>
            <w:r>
              <w:rPr>
                <w:noProof/>
              </w:rPr>
              <w:fldChar w:fldCharType="begin"/>
            </w:r>
            <w:r>
              <w:rPr>
                <w:noProof/>
              </w:rPr>
              <w:instrText xml:space="preserve"> PAGEREF _Toc234056609 \h </w:instrText>
            </w:r>
            <w:r>
              <w:rPr>
                <w:noProof/>
              </w:rPr>
            </w:r>
            <w:r>
              <w:rPr>
                <w:noProof/>
              </w:rPr>
              <w:fldChar w:fldCharType="separate"/>
            </w:r>
            <w:r>
              <w:rPr>
                <w:noProof/>
              </w:rPr>
              <w:t>5</w:t>
            </w:r>
            <w:r>
              <w:rPr>
                <w:noProof/>
              </w:rPr>
              <w:fldChar w:fldCharType="end"/>
            </w:r>
          </w:hyperlink>
        </w:p>
        <w:p w14:paraId="6C795C4A" w14:textId="77777777" w:rsidR="00D47FAA" w:rsidRDefault="00D47FAA">
          <w:pPr>
            <w:pStyle w:val="TOC2"/>
            <w:tabs>
              <w:tab w:val="right" w:leader="dot" w:pos="9736"/>
            </w:tabs>
            <w:rPr>
              <w:noProof/>
            </w:rPr>
            <w:spacing w:after="100" w:line="276" w:lineRule="auto"/>
          </w:pPr>
          <w:hyperlink w:anchor="_Toc234056610" w:history="1">
            <w:r w:rsidRPr="00D54F3E">
              <w:rPr>
                <w:rStyle w:val="Hyperlink"/>
                <w:noProof/>
              </w:rPr>
              <w:t>2.4 Non-Verbal Communication, Silence and Ambiguity</w:t>
            </w:r>
            <w:r>
              <w:rPr>
                <w:noProof/>
              </w:rPr>
              <w:tab/>
            </w:r>
            <w:r>
              <w:rPr>
                <w:noProof/>
              </w:rPr>
              <w:fldChar w:fldCharType="begin"/>
            </w:r>
            <w:r>
              <w:rPr>
                <w:noProof/>
              </w:rPr>
              <w:instrText xml:space="preserve"> PAGEREF _Toc234056610 \h </w:instrText>
            </w:r>
            <w:r>
              <w:rPr>
                <w:noProof/>
              </w:rPr>
            </w:r>
            <w:r>
              <w:rPr>
                <w:noProof/>
              </w:rPr>
              <w:fldChar w:fldCharType="separate"/>
            </w:r>
            <w:r>
              <w:rPr>
                <w:noProof/>
              </w:rPr>
              <w:t>5</w:t>
            </w:r>
            <w:r>
              <w:rPr>
                <w:noProof/>
              </w:rPr>
              <w:fldChar w:fldCharType="end"/>
            </w:r>
          </w:hyperlink>
        </w:p>
        <w:p w14:paraId="06D68111" w14:textId="77777777" w:rsidR="00D47FAA" w:rsidRDefault="00D47FAA">
          <w:pPr>
            <w:pStyle w:val="TOC2"/>
            <w:tabs>
              <w:tab w:val="right" w:leader="dot" w:pos="9736"/>
            </w:tabs>
            <w:rPr>
              <w:noProof/>
            </w:rPr>
            <w:spacing w:after="100" w:line="276" w:lineRule="auto"/>
          </w:pPr>
          <w:hyperlink w:anchor="_Toc234056611" w:history="1">
            <w:r w:rsidRPr="00D54F3E">
              <w:rPr>
                <w:rStyle w:val="Hyperlink"/>
                <w:noProof/>
              </w:rPr>
              <w:t>2.5 Written Communication and Meeting Protocols</w:t>
            </w:r>
            <w:r>
              <w:rPr>
                <w:noProof/>
              </w:rPr>
              <w:tab/>
            </w:r>
            <w:r>
              <w:rPr>
                <w:noProof/>
              </w:rPr>
              <w:fldChar w:fldCharType="begin"/>
            </w:r>
            <w:r>
              <w:rPr>
                <w:noProof/>
              </w:rPr>
              <w:instrText xml:space="preserve"> PAGEREF _Toc234056611 \h </w:instrText>
            </w:r>
            <w:r>
              <w:rPr>
                <w:noProof/>
              </w:rPr>
            </w:r>
            <w:r>
              <w:rPr>
                <w:noProof/>
              </w:rPr>
              <w:fldChar w:fldCharType="separate"/>
            </w:r>
            <w:r>
              <w:rPr>
                <w:noProof/>
              </w:rPr>
              <w:t>5</w:t>
            </w:r>
            <w:r>
              <w:rPr>
                <w:noProof/>
              </w:rPr>
              <w:fldChar w:fldCharType="end"/>
            </w:r>
          </w:hyperlink>
        </w:p>
        <w:p w14:paraId="6E221827" w14:textId="77777777" w:rsidR="00D47FAA" w:rsidRDefault="00D47FAA">
          <w:pPr>
            <w:pStyle w:val="TOC2"/>
            <w:tabs>
              <w:tab w:val="right" w:leader="dot" w:pos="9736"/>
            </w:tabs>
            <w:rPr>
              <w:noProof/>
            </w:rPr>
            <w:spacing w:after="100" w:line="276" w:lineRule="auto"/>
          </w:pPr>
          <w:hyperlink w:anchor="_Toc234056612" w:history="1">
            <w:r w:rsidRPr="00D54F3E">
              <w:rPr>
                <w:rStyle w:val="Hyperlink"/>
                <w:noProof/>
              </w:rPr>
              <w:t>2.6 Implications for the BAE Systems–Mitsubishi Heavy Industries Partnership</w:t>
            </w:r>
            <w:r>
              <w:rPr>
                <w:noProof/>
              </w:rPr>
              <w:tab/>
            </w:r>
            <w:r>
              <w:rPr>
                <w:noProof/>
              </w:rPr>
              <w:fldChar w:fldCharType="begin"/>
            </w:r>
            <w:r>
              <w:rPr>
                <w:noProof/>
              </w:rPr>
              <w:instrText xml:space="preserve"> PAGEREF _Toc234056612 \h </w:instrText>
            </w:r>
            <w:r>
              <w:rPr>
                <w:noProof/>
              </w:rPr>
            </w:r>
            <w:r>
              <w:rPr>
                <w:noProof/>
              </w:rPr>
              <w:fldChar w:fldCharType="separate"/>
            </w:r>
            <w:r>
              <w:rPr>
                <w:noProof/>
              </w:rPr>
              <w:t>6</w:t>
            </w:r>
            <w:r>
              <w:rPr>
                <w:noProof/>
              </w:rPr>
              <w:fldChar w:fldCharType="end"/>
            </w:r>
          </w:hyperlink>
        </w:p>
        <w:p w14:paraId="2D058C1A" w14:textId="77777777" w:rsidR="00D47FAA" w:rsidRDefault="00D47FAA">
          <w:pPr>
            <w:pStyle w:val="TOC1"/>
            <w:tabs>
              <w:tab w:val="right" w:leader="dot" w:pos="9736"/>
            </w:tabs>
            <w:rPr>
              <w:noProof/>
            </w:rPr>
            <w:spacing w:after="100" w:line="276" w:lineRule="auto"/>
          </w:pPr>
          <w:hyperlink w:anchor="_Toc234056613" w:history="1">
            <w:r w:rsidRPr="00D54F3E">
              <w:rPr>
                <w:rStyle w:val="Hyperlink"/>
                <w:noProof/>
              </w:rPr>
              <w:t>3. Conclusion</w:t>
            </w:r>
            <w:r>
              <w:rPr>
                <w:noProof/>
              </w:rPr>
              <w:tab/>
            </w:r>
            <w:r>
              <w:rPr>
                <w:noProof/>
              </w:rPr>
              <w:fldChar w:fldCharType="begin"/>
            </w:r>
            <w:r>
              <w:rPr>
                <w:noProof/>
              </w:rPr>
              <w:instrText xml:space="preserve"> PAGEREF _Toc234056613 \h </w:instrText>
            </w:r>
            <w:r>
              <w:rPr>
                <w:noProof/>
              </w:rPr>
            </w:r>
            <w:r>
              <w:rPr>
                <w:noProof/>
              </w:rPr>
              <w:fldChar w:fldCharType="separate"/>
            </w:r>
            <w:r>
              <w:rPr>
                <w:noProof/>
              </w:rPr>
              <w:t>7</w:t>
            </w:r>
            <w:r>
              <w:rPr>
                <w:noProof/>
              </w:rPr>
              <w:fldChar w:fldCharType="end"/>
            </w:r>
          </w:hyperlink>
        </w:p>
        <w:p w14:paraId="48DC858E" w14:textId="77777777" w:rsidR="00D47FAA" w:rsidRDefault="00D47FAA">
          <w:pPr>
            <w:pStyle w:val="TOC1"/>
            <w:tabs>
              <w:tab w:val="right" w:leader="dot" w:pos="9736"/>
            </w:tabs>
            <w:rPr>
              <w:noProof/>
            </w:rPr>
            <w:spacing w:after="100" w:line="276" w:lineRule="auto"/>
          </w:pPr>
          <w:hyperlink w:anchor="_Toc234056614" w:history="1">
            <w:r w:rsidRPr="00D54F3E">
              <w:rPr>
                <w:rStyle w:val="Hyperlink"/>
                <w:noProof/>
              </w:rPr>
              <w:t>4. Reference List</w:t>
            </w:r>
            <w:r>
              <w:rPr>
                <w:noProof/>
              </w:rPr>
              <w:tab/>
            </w:r>
            <w:r>
              <w:rPr>
                <w:noProof/>
              </w:rPr>
              <w:fldChar w:fldCharType="begin"/>
            </w:r>
            <w:r>
              <w:rPr>
                <w:noProof/>
              </w:rPr>
              <w:instrText xml:space="preserve"> PAGEREF _Toc234056614 \h </w:instrText>
            </w:r>
            <w:r>
              <w:rPr>
                <w:noProof/>
              </w:rPr>
            </w:r>
            <w:r>
              <w:rPr>
                <w:noProof/>
              </w:rPr>
              <w:fldChar w:fldCharType="separate"/>
            </w:r>
            <w:r>
              <w:rPr>
                <w:noProof/>
              </w:rPr>
              <w:t>8</w:t>
            </w:r>
            <w:r>
              <w:rPr>
                <w:noProof/>
              </w:rPr>
              <w:fldChar w:fldCharType="end"/>
            </w:r>
          </w:hyperlink>
        </w:p>
        <w:p w14:paraId="4EFC76B2" w14:textId="77777777" w:rsidR="005F1ACA" w:rsidRDefault="00AC240C">
          <w:r>
            <w:fldChar w:fldCharType="end"/>
          </w:r>
        </w:p>
      </w:sdtContent>
    </w:sdt>
    <w:p w14:paraId="42557B49" w14:textId="18E0E142" w:rsidR="005F1ACA" w:rsidRDefault="00AC240C">
      <w:pPr>
        <w:pStyle w:val="Heading1"/>
        <w:pageBreakBefore/>
        <w:spacing w:before="480"/>
      </w:pPr>
      <w:bookmarkStart w:id="1" w:name="_Toc234056605"/>
      <w:r>
        <w:lastRenderedPageBreak/>
        <w:t>1. Introduction</w:t>
      </w:r>
      <w:bookmarkEnd w:id="1"/>
    </w:p>
    <w:p w14:paraId="646788B8" w14:textId="2B41CB77" w:rsidR="005F1ACA" w:rsidRDefault="00AC240C">
      <w:pPr>
        <w:spacing w:after="220" w:line="300" w:lineRule="auto"/>
        <w:jc w:val="both"/>
      </w:pPr>
      <w:r>
        <w:t>This essay is written from the perspective of a Country Director responsible for a UK-based multinational's expansion into Japan, following a formal industrial partnership with a leading Japanese firm. The chosen context is the Global Combat Air Programme (GCAP), a real, ongoing trilateral collaboration between the United Kingdom, Italy and Japan to jointly design and deliver a sixth-generation combat aircraft. In the UK, BAE Systems plc acts as prime contractor for the airframe; in Japan, Mitsubishi Heavy Industries (MHI) holds the equivalent role (Mitsubishi Heavy Industries, 2023). In December 2024, BAE Systems, Leonardo and the Japan Aircraft Industrial Enhancement Co. Ltd. (JAIEC) agreed to establish a joint venture. The company, named Edgewing, was officially launched in June 2025 to lead the design and development of the aircraft, with a planned in-service date of 2035 (BAE Systems, 2025). This places UK and Japanese engineers, project managers and executives into sustained, high-stakes joint working - precisely the setting in which communication style differences are most likely to surface, and most costly if misunderstood.</w:t>
      </w:r>
      <w:r w:rsidR="005D48FB"/>
      <w:r w:rsidR="002E5FAD"/>
      <w:r/>
      <w:r w:rsidR="0044345E"/>
      <w:r/>
    </w:p>
    <w:p w14:paraId="72F4D594" w14:textId="2E3290F2" w:rsidR="005F1ACA" w:rsidRDefault="00AC240C">
      <w:pPr>
        <w:spacing w:after="220" w:line="300" w:lineRule="auto"/>
        <w:jc w:val="both"/>
      </w:pPr>
      <w:r>
        <w:t xml:space="preserve">Understanding the cultural context is essential here. The UK is a mature, low-context, highly individualist business culture in which meetings are typically </w:t>
      </w:r>
      <w:r w:rsidR="009E448D">
        <w:t>direct,</w:t>
      </w:r>
      <w:r>
        <w:t xml:space="preserve"> and decisions can be reached quickly by an accountable individual. Japan is a high-context, collectivist, hierarchical business culture in which harmony, consensus and the protection of face shape almost every exchange (Hofstede, 2001; Hall, 1976). Neither style is a communication defect; each has evolved to serve its own society's expectations of trust, authority and cooperation. The risk on a programme like GCAP is not that one side communicates "badly", but that each side interprets the other's ordinary behaviour through its own cultural </w:t>
      </w:r>
      <w:r w:rsidR="009E448D">
        <w:t>assumptions and</w:t>
      </w:r>
      <w:r>
        <w:t xml:space="preserve"> consequently misreads intent.</w:t>
      </w:r>
    </w:p>
    <w:p w14:paraId="35B28DB2" w14:textId="1FC50D58" w:rsidR="005F1ACA" w:rsidRDefault="00AC240C">
      <w:pPr>
        <w:spacing w:after="220" w:line="300" w:lineRule="auto"/>
        <w:jc w:val="both"/>
      </w:pPr>
      <w:r>
        <w:t xml:space="preserve">As Country Director for this expansion, the task extends beyond commercial or engineering coordination: it includes ensuring that a mixed UK–Japanese team, drawn from two organisations with very different communication norms, can work together without the everyday friction of misread signals eroding trust. This is not a peripheral concern. Where a joint venture is built around a single, decades-long product </w:t>
      </w:r>
      <w:r w:rsidR="0061428D">
        <w:t>-</w:t>
      </w:r>
      <w:r>
        <w:t xml:space="preserve"> as GCAP's aircraft is intended to remain in service beyond 2070 </w:t>
      </w:r>
      <w:r w:rsidR="0061428D">
        <w:t>-</w:t>
      </w:r>
      <w:r>
        <w:t xml:space="preserve"> the working relationship between the partner organisations arguably matters as much to long-term success as the engineering itself.</w:t>
      </w:r>
    </w:p>
    <w:p w14:paraId="1DF2B3F7" w14:textId="77777777" w:rsidR="005F1ACA" w:rsidRDefault="00AC240C">
      <w:pPr>
        <w:spacing w:after="220" w:line="300" w:lineRule="auto"/>
        <w:jc w:val="both"/>
      </w:pPr>
      <w:r>
        <w:t>This essay evaluates the differences in communication styles between UK and Japanese teams that can lead to misunderstanding, applying Hofstede's cultural dimensions and Edward Hall's high-context/low-context theory as the primary theoretical lenses, supported by Trompenaars and Hampden-Turner's dimensions of culture. It examines directness in feedback and disagreement, hierarchy and decision-making, non-verbal communication and silence, and written and meeting communication protocols, before considering the practical implications for managing a joint UK–Japanese engineering partnership such as BAE Systems and MHI's.</w:t>
      </w:r>
    </w:p>
    <w:p w14:paraId="02EEDD75" w14:textId="77777777" w:rsidR="005F1ACA" w:rsidRDefault="00AC240C">
      <w:pPr>
        <w:pStyle w:val="Heading1"/>
        <w:pageBreakBefore/>
        <w:spacing w:before="480"/>
      </w:pPr>
      <w:bookmarkStart w:id="2" w:name="_Toc234056606"/>
      <w:r>
        <w:lastRenderedPageBreak/>
        <w:t>2. Evaluating UK–Japanese Communication Style Differences</w:t>
      </w:r>
      <w:bookmarkEnd w:id="2"/>
    </w:p>
    <w:p w14:paraId="20B27300" w14:textId="77777777" w:rsidR="005F1ACA" w:rsidRDefault="00AC240C">
      <w:pPr>
        <w:pStyle w:val="Heading2"/>
        <w:spacing w:before="320" w:after="160"/>
      </w:pPr>
      <w:bookmarkStart w:id="3" w:name="_Toc234056607"/>
      <w:r>
        <w:t>2.1 Theoretical Lens: Hofstede, Hall and Trompenaars</w:t>
      </w:r>
      <w:bookmarkEnd w:id="3"/>
    </w:p>
    <w:p w14:paraId="78F281E5" w14:textId="77777777" w:rsidR="005F1ACA" w:rsidRDefault="00AC240C">
      <w:pPr>
        <w:spacing w:after="220" w:line="300" w:lineRule="auto"/>
        <w:jc w:val="both"/>
      </w:pPr>
      <w:r>
        <w:t>Hofstede's (2001) cultural dimensions provide a useful starting point for explaining why UK and Japanese communication differs so markedly. On Power Distance, the UK scores 35 against Japan's 54, indicating that Japanese organisations tolerate, and expect, greater deference to hierarchy and seniority than British ones. On Individualism, the UK scores 89 against Japan's 46, reflecting Japan's stronger emphasis on group harmony and collective responsibility over individual opinion. On Uncertainty Avoidance, the gap is starkest: the UK scores 35 against Japan's 92, meaning Japanese business culture strongly prefers rules, precedent and thorough preparation over the ambiguity and improvisation the British are comparatively comfortable with (Hofstede, 2001).</w:t>
      </w:r>
      <w:r>
        <w:t xml:space="preserve"> More recent evidence from employees in Japan and Great Britain confirms that cultural differences remain relevant, while also showing that contemporary patterns are more complex than fixed national scores suggest (Yi, 2021).</w:t>
      </w:r>
    </w:p>
    <w:p w14:paraId="0A6E1632" w14:textId="77777777" w:rsidR="005F1ACA" w:rsidRDefault="00AC240C">
      <w:pPr>
        <w:spacing w:after="220" w:line="300" w:lineRule="auto"/>
        <w:jc w:val="both"/>
      </w:pPr>
      <w:r>
        <w:t>Hall's (1976) distinction between high-context and low-context communication adds a second, more direct lens onto communication style itself. In low-context cultures such as the UK, meaning is carried mainly in the explicit words used, and messages are expected to be clear, direct and largely self-contained. In high-context cultures such as Japan, meaning is embedded in shared background, relationship history, tone and what is deliberately left unsaid, so a message can only be fully understood by someone who shares that context (Hall, 1976; Broeder, 2021; Meyer, 2014). Trompenaars and Hampden-Turner's (1997) dimensions add useful nuance: Japan tends toward the neutral end of their neutral-versus-affective dimension, favouring restrained emotional display, and toward diffuse rather than specific relationships, in which trust built in one area of contact carries over into all others. Together, these frameworks predict, with reasonable precision, exactly where UK and Japanese teams are likely to misread one another.</w:t>
      </w:r>
    </w:p>
    <w:p w14:paraId="3C563423" w14:textId="04A025A6" w:rsidR="005F1ACA" w:rsidRDefault="00AC240C">
      <w:pPr>
        <w:spacing w:after="220" w:line="300" w:lineRule="auto"/>
        <w:jc w:val="both"/>
      </w:pPr>
      <w:r>
        <w:t xml:space="preserve">Two further Hofstede (2001) dimensions reinforce this picture. On Masculinity, Japan scores among the highest of any country measured (95) against the UK's 66, reflecting a strong cultural emphasis on achievement, competitiveness and clearly defined roles, which in practice often expresses itself as formality and precision in professional communication rather than assertiveness in the British sense. On Long-Term Orientation, Japan again scores highly (88) against the UK's 51, consistent with the patient, relationship-first approach to decision-making discussed in Section 2.3. Read together, the two cultures are not simply "direct" versus "indirect"; they are organised around different sources of trust </w:t>
      </w:r>
      <w:r w:rsidR="007669CA">
        <w:t>-</w:t>
      </w:r>
      <w:r>
        <w:t xml:space="preserve"> explicit argument and individual accountability in the </w:t>
      </w:r>
      <w:r w:rsidR="002E5FAD">
        <w:t>UK and</w:t>
      </w:r>
      <w:r>
        <w:t xml:space="preserve"> demonstrated long-term commitment and group consensus in Japan.</w:t>
      </w:r>
      <w:r>
        <w:t xml:space="preserve"> These national models should therefore guide preparation rather than stereotype individuals, whose behaviour may also reflect education, profession and intercultural experience (Yi, 2021).</w:t>
      </w:r>
    </w:p>
    <w:p w14:paraId="521AF07D" w14:textId="77777777" w:rsidR="005F1ACA" w:rsidRDefault="00AC240C">
      <w:pPr>
        <w:pStyle w:val="Heading2"/>
        <w:spacing w:before="320" w:after="160"/>
      </w:pPr>
      <w:bookmarkStart w:id="4" w:name="_Toc234056608"/>
      <w:r>
        <w:t>2.2 Directness versus Indirectness in Feedback and Disagreement</w:t>
      </w:r>
      <w:bookmarkEnd w:id="4"/>
    </w:p>
    <w:p w14:paraId="6E88DA14" w14:textId="5E215750" w:rsidR="005F1ACA" w:rsidRDefault="00AC240C">
      <w:pPr>
        <w:spacing w:after="220" w:line="300" w:lineRule="auto"/>
        <w:jc w:val="both"/>
      </w:pPr>
      <w:r>
        <w:t>The UK's low-context, highly individualist style supports direct feedback and open disagreement: British engineers are comfortable saying "no", flagging a risk plainly in a meeting, or challenging a design assumption in front of colleagues (Hofstede, 2001; Guirdham, 2011; Tabata and Vrij, 2023). Japanese communication, shaped by higher power distance, stronger collectivism and Hall's high-context style, favours indirectness to preserve harmony (wa) and avoid causing a colleague to lose face. Outright refusal is rare; a Japanese engineer may instead say a proposal would be "difficult", respond with a non-committal silence, or offer a vague affirmation that is not intended as firm agreement (Berglund, 1989; Meyer, 2014).</w:t>
      </w:r>
      <w:r w:rsidR="002E5FAD"/>
      <w:r/>
      <w:r w:rsidR="005D48FB"/>
      <w:r/>
      <w:r w:rsidR="002E5FAD"/>
      <w:r/>
      <w:r w:rsidR="002E5FAD"/>
      <w:r/>
    </w:p>
    <w:p w14:paraId="132315F9" w14:textId="77777777" w:rsidR="005F1ACA" w:rsidRDefault="00AC240C">
      <w:pPr>
        <w:spacing w:after="220" w:line="300" w:lineRule="auto"/>
        <w:jc w:val="both"/>
      </w:pPr>
      <w:r>
        <w:t xml:space="preserve">On a technical programme such as GCAP, this gap carries genuine risk. A British engineer proposing a design change may reasonably take a Japanese counterpart's polite, non-committal response as tacit agreement, when it in fact signals unresolved concern. If that concern is not surfaced and resolved before the design </w:t>
      </w:r>
      <w:r>
        <w:lastRenderedPageBreak/>
        <w:t>proceeds, it can re-emerge much later, and at far greater cost, once integration or testing exposes the original disagreement.</w:t>
      </w:r>
    </w:p>
    <w:p w14:paraId="440EA9BA" w14:textId="77777777" w:rsidR="005F1ACA" w:rsidRDefault="00AC240C">
      <w:pPr>
        <w:pStyle w:val="Heading2"/>
        <w:spacing w:before="320" w:after="160"/>
      </w:pPr>
      <w:bookmarkStart w:id="5" w:name="_Toc234056609"/>
      <w:r>
        <w:t>2.3 Hierarchy, Formality and Decision-Making</w:t>
      </w:r>
      <w:bookmarkEnd w:id="5"/>
    </w:p>
    <w:p w14:paraId="01922E39" w14:textId="5983C8F9" w:rsidR="005F1ACA" w:rsidRDefault="00AC240C">
      <w:pPr>
        <w:spacing w:after="220" w:line="300" w:lineRule="auto"/>
        <w:jc w:val="both"/>
      </w:pPr>
      <w:r>
        <w:t>Japan's moderate-to-high power distance and strong collectivism support a hierarchical, consensus-based approach to decisions, often organised through nemawashi - informal groundwork and consultation that builds agreement before a proposal is ever raised formally - followed by a formal sign-off once consensus is secured (Hofstede, 2001; Trompenaars and Hampden-Turner, 1997). The UK's lower power distance and higher individualism support faster, more informal decision-making, with a single accountable manager often able to approve a course of action in the meeting where it is first raised.</w:t>
      </w:r>
      <w:r w:rsidR="00B35A71"/>
      <w:r/>
      <w:r w:rsidR="003E7BB0"/>
      <w:r/>
      <w:r w:rsidR="003E7BB0"/>
      <w:r/>
      <w:r>
        <w:t xml:space="preserve"> This matters in high-risk engineering because fear of authority can discourage employees from communicating concerns to senior managers (Dai et al., 2022).</w:t>
      </w:r>
    </w:p>
    <w:p w14:paraId="6003F887" w14:textId="29D61723" w:rsidR="005F1ACA" w:rsidRDefault="00AC240C">
      <w:pPr>
        <w:spacing w:after="220" w:line="300" w:lineRule="auto"/>
        <w:jc w:val="both"/>
      </w:pPr>
      <w:r>
        <w:t>This creates a decision-speed mismatch that is easily misread on both sides. A British manager pushing for a quick answer in a joint meeting may unintentionally appear to disregard the Japanese side's need for internal consensus, reading as impatience or disrespect for seniority. Conversely, the behind-the-scenes consultation of nemawashi can look to a UK team like an opaque, slow-moving process, or even as reluctance to commit, when it is in fact the mechanism through which Japanese colleagues secure durable, organisation-wide buy-in.</w:t>
      </w:r>
      <w:r w:rsidR="00B35A71"/>
      <w:r/>
    </w:p>
    <w:p w14:paraId="13623940" w14:textId="77777777" w:rsidR="005F1ACA" w:rsidRDefault="00AC240C">
      <w:pPr>
        <w:pStyle w:val="Heading2"/>
        <w:spacing w:before="320" w:after="160"/>
      </w:pPr>
      <w:bookmarkStart w:id="6" w:name="_Toc234056610"/>
      <w:r>
        <w:t>2.4 Non-Verbal Communication, Silence and Ambiguity</w:t>
      </w:r>
      <w:bookmarkEnd w:id="6"/>
    </w:p>
    <w:p w14:paraId="3A3B01E6" w14:textId="2D97CB74" w:rsidR="005F1ACA" w:rsidRDefault="00AC240C">
      <w:pPr>
        <w:spacing w:after="220" w:line="300" w:lineRule="auto"/>
        <w:jc w:val="both"/>
      </w:pPr>
      <w:r>
        <w:t>High-context Japanese communication carries substantial meaning in silence, tone, and what is left unsaid (Hall, 1976). Silence in a Japanese meeting can indicate careful consideration, respect, or subtle disagreement; in the UK's low-context style, silence more often signals simply that there is nothing further to add, and British participants are inclined to fill it quickly (Meyer, 2014; Guirdham, 2011). Combined with Trompenaars and Hampden-Turner's (1997) neutral-affective dimension, Japanese colleagues typically display more restrained emotional expression than their British counterparts, which an unprepared UK team can misread as disengagement or lack of enthusiasm for a joint proposal, when it may in fact reflect careful, high-context processing of the message rather than any lack of interest.</w:t>
      </w:r>
      <w:r w:rsidR="00B35A71"/>
      <w:r/>
    </w:p>
    <w:p w14:paraId="04C4B07F" w14:textId="77777777" w:rsidR="005F1ACA" w:rsidRDefault="00AC240C">
      <w:pPr>
        <w:pStyle w:val="Heading2"/>
        <w:spacing w:before="320" w:after="160"/>
      </w:pPr>
      <w:bookmarkStart w:id="7" w:name="_Toc234056611"/>
      <w:r>
        <w:t>2.5 Written Communication and Meeting Protocols</w:t>
      </w:r>
      <w:bookmarkEnd w:id="7"/>
    </w:p>
    <w:p w14:paraId="08B3A6BF" w14:textId="13B458CA" w:rsidR="005F1ACA" w:rsidRDefault="00AC240C">
      <w:pPr>
        <w:spacing w:after="220" w:line="300" w:lineRule="auto"/>
        <w:jc w:val="both"/>
      </w:pPr>
      <w:r>
        <w:t>Communication style differences extend beyond speech into written and procedural conventions. Japanese business writing traditionally uses Keigo, a system of honorific and humble language that signals respect for hierarchy and formality, and Japanese emails to external partners are often more formally structured, with longer courteous openings and closings, than the comparatively brief, task-first emails typical of British business correspondence (Guirdham, 2011). A UK engineer's short, direct email - efficient by British standards - can therefore read as curt or careless of the relationship to a Japanese recipient, while a Japanese colleague's more formal reply can be misread by a UK reader as evasive simply because the substantive answer arrives only after several lines of courteous framing.</w:t>
      </w:r>
      <w:r w:rsidR="00B35A71"/>
      <w:r/>
      <w:r w:rsidR="00B35A71"/>
      <w:r/>
      <w:r w:rsidR="0045356B"/>
      <w:r/>
      <w:r w:rsidR="0045356B"/>
      <w:r/>
    </w:p>
    <w:p w14:paraId="6F10A01C" w14:textId="3098DDD0" w:rsidR="005F1ACA" w:rsidRDefault="00AC240C">
      <w:pPr>
        <w:spacing w:after="220" w:line="300" w:lineRule="auto"/>
        <w:jc w:val="both"/>
      </w:pPr>
      <w:r>
        <w:t>Meeting conventions differ similarly. British meetings tend to move quickly to the agenda item and treat time efficiency as a sign of professionalism, consistent with the UK's low uncertainty avoidance and individualist orientation. Japanese meetings more often open with relationship-oriented exchanges, including the formal exchange of business cards (meishi), and treat this relationship-building step as integral to, rather than separate from, the business at hand (Trompenaars and Hampden-Turner, 1997). On a joint programme like GCAP, a British chair who moves straight to technical items without this preliminary step risks appearing to dismiss a process the Japanese side regards as a genuine part of doing business properly, not a formality to be skipped for efficiency.</w:t>
      </w:r>
      <w:r w:rsidR="00B35A71"/>
      <w:r/>
      <w:r/>
    </w:p>
    <w:p w14:paraId="6BDB513F" w14:textId="77777777" w:rsidR="005F1ACA" w:rsidRDefault="00AC240C">
      <w:pPr>
        <w:pStyle w:val="Heading2"/>
        <w:spacing w:before="320" w:after="160"/>
      </w:pPr>
      <w:bookmarkStart w:id="8" w:name="_Toc234056612"/>
      <w:r>
        <w:t>2.6 Implications for the BAE Systems–Mitsubishi Heavy Industries Partnership</w:t>
      </w:r>
      <w:bookmarkEnd w:id="8"/>
    </w:p>
    <w:p w14:paraId="57C8E07C" w14:textId="2532AA4F" w:rsidR="005F1ACA" w:rsidRDefault="00AC240C">
      <w:pPr>
        <w:spacing w:after="220" w:line="300" w:lineRule="auto"/>
        <w:jc w:val="both"/>
      </w:pPr>
      <w:r>
        <w:t>For GCAP's integrated UK–Japanese engineering teams, and now the trilateral Edgewing joint venture, unmanaged cultural miscommunication is not merely an interpersonal inconvenience but a genuine programme risk: misreading a polite, high-context "I hear you" as a low-context "yes, agreed" on a safety-critical design decision could allow an unresolved technical concern to persist undetected. Meyer (2014) recommends that managers from low-context cultures working with high-context counterparts build extra time into the schedule for relationship-based trust to develop before pushing for firm decisions, and that verbal agreements be confirmed in writing so that both sides can check their understanding matches.</w:t>
      </w:r>
      <w:r w:rsidR="00B35A71"/>
      <w:r/>
    </w:p>
    <w:p w14:paraId="5058E5F7" w14:textId="77777777" w:rsidR="005F1ACA" w:rsidRDefault="00AC240C">
      <w:pPr>
        <w:spacing w:after="220" w:line="300" w:lineRule="auto"/>
        <w:jc w:val="both"/>
      </w:pPr>
      <w:r>
        <w:t>Practical measures for this partnership would include appointing bicultural liaison roles who can recognise indirect signals and translate them into explicit terms for the UK side; structured cross-cultural communication training grounded in the Hofstede and Hall frameworks discussed above; explicit confirmation protocols, in which participants restate their understanding of a decision rather than assuming silence means agreement; and realistic scheduling that allows time for Japanese-side consensus-building rather than treating it as a delay to be minimised.</w:t>
      </w:r>
    </w:p>
    <w:p w14:paraId="7D7B044D" w14:textId="77777777" w:rsidR="005F1ACA" w:rsidRDefault="00AC240C">
      <w:pPr>
        <w:pStyle w:val="Heading1"/>
        <w:pageBreakBefore/>
        <w:spacing w:before="480"/>
      </w:pPr>
      <w:bookmarkStart w:id="9" w:name="_Toc234056613"/>
      <w:r>
        <w:lastRenderedPageBreak/>
        <w:t>3. Conclusion</w:t>
      </w:r>
      <w:bookmarkEnd w:id="9"/>
    </w:p>
    <w:p w14:paraId="7360FA6D" w14:textId="77777777" w:rsidR="005F1ACA" w:rsidRDefault="00AC240C">
      <w:pPr>
        <w:spacing w:after="220" w:line="300" w:lineRule="auto"/>
        <w:jc w:val="both"/>
      </w:pPr>
      <w:r>
        <w:t>The differences between UK and Japanese communication styles are well explained by established cultural theory: Hofstede's dimensions show Japan's greater power distance, collectivism, uncertainty avoidance and long-term orientation relative to the UK; Hall's high-context/low-context theory explains why the same silence, indirect phrase or restrained expression carries very different meaning in each culture; and Trompenaars and Hampden-Turner's neutral-affective and specific-diffuse dimensions add further texture, extending into written correspondence and meeting conventions as much as spoken exchange. None of these differences make one style superior to the other; misunderstanding arises not from a fault in either team's communication, but from each side interpreting the other's ordinary behaviour through its own cultural assumptions, whether that behaviour is a silence in a meeting, the length of an email, or the pace at which a decision is reached.</w:t>
      </w:r>
    </w:p>
    <w:p w14:paraId="6A741C8F" w14:textId="3ECA99C0" w:rsidR="005F1ACA" w:rsidRDefault="00AC240C">
      <w:pPr>
        <w:spacing w:after="220" w:line="300" w:lineRule="auto"/>
        <w:jc w:val="both"/>
      </w:pPr>
      <w:r>
        <w:t xml:space="preserve">For a partnership as significant as BAE Systems and Mitsubishi Heavy Industries' collaboration on the Global Combat Air Programme, the practical implication is clear: cultural awareness cannot be left to chance. Deliberate measures </w:t>
      </w:r>
      <w:r w:rsidR="005D48FB">
        <w:t>-</w:t>
      </w:r>
      <w:r>
        <w:t xml:space="preserve"> cultural training, bicultural liaison roles, explicit confirmation of decisions, and realistic allowance for different decision-making paces </w:t>
      </w:r>
      <w:r w:rsidR="005D48FB">
        <w:t>-</w:t>
      </w:r>
      <w:r>
        <w:t xml:space="preserve"> are needed to ensure that indirectness is not mistaken for agreement, and that hierarchy and consensus-building are not mistaken for delay. As UK companies continue to expand into Asian markets, the ability to recognise and bridge these communication differences, rather than assume shared norms, will remain a defining factor in whether such partnerships succeed (Hofstede, 2001; Meyer, 2014).</w:t>
      </w:r>
    </w:p>
    <w:p w14:paraId="0378889F" w14:textId="77777777" w:rsidR="005F1ACA" w:rsidRDefault="00AC240C">
      <w:pPr>
        <w:pStyle w:val="Heading1"/>
        <w:pageBreakBefore/>
        <w:spacing w:before="480"/>
      </w:pPr>
      <w:bookmarkStart w:id="10" w:name="_Toc234056614"/>
      <w:r>
        <w:lastRenderedPageBreak/>
        <w:t>4. Reference List</w:t>
      </w:r>
      <w:bookmarkEnd w:id="10"/>
    </w:p>
    <w:p w14:paraId="421DFA1A" w14:textId="5475AE44" w:rsidR="005F1ACA" w:rsidRDefault="00AC240C">
      <w:pPr>
        <w:spacing w:after="180" w:line="300" w:lineRule="auto"/>
        <w:ind w:left="400" w:hanging="400"/>
      </w:pPr>
      <w:r>
        <w:t>BAE Systems (2025) 'Industry partners launch Joint Venture company Edgewing to deliver next generation combat aircraft', 20 June. Available at: https://www.baesystems.com/en/article/industry-partners-launch-joint-venture-company-edgewing-to-deliver-next-generation-combat-aircraft (Accessed: 30 July 2026).</w:t>
      </w:r>
      <w:r w:rsidR="00D47FAA"/>
      <w:r/>
    </w:p>
    <w:p w14:paraId="13109615" w14:textId="60A04EB1" w:rsidR="005F1ACA" w:rsidRDefault="005D48FB">
      <w:pPr>
        <w:spacing w:after="180" w:line="300" w:lineRule="auto"/>
        <w:ind w:left="400" w:hanging="400"/>
      </w:pPr>
      <w:r>
        <w:t>Berglund</w:t>
      </w:r>
      <w:r w:rsidR="00AC240C">
        <w:t>, D.C. (1989) Communicative Styles of Japanese and Americans: Images and Realities. Belmont, CA: Wadsworth.</w:t>
      </w:r>
    </w:p>
    <w:p>
      <w:pPr>
        <w:spacing w:after="180" w:line="300" w:lineRule="auto"/>
        <w:ind w:left="400" w:hanging="400"/>
      </w:pPr>
      <w:r>
        <w:t>Broeder, P. (2021) 'Informed communication in high context and low context cultures', Journal of Education, Innovation, and Communication, 3(1), pp. 13–24. doi: 10.34097/jeicom-3-1-june21-1.</w:t>
      </w:r>
    </w:p>
    <w:p>
      <w:pPr>
        <w:spacing w:after="180" w:line="300" w:lineRule="auto"/>
        <w:ind w:left="400" w:hanging="400"/>
      </w:pPr>
      <w:r>
        <w:t>Dai, Y., Li, H., Xie, W. and Deng, T. (2022) 'Power distance belief and workplace communication: The mediating role of fear of authority', International Journal of Environmental Research and Public Health, 19(5), article 2932. doi: 10.3390/ijerph19052932.</w:t>
      </w:r>
    </w:p>
    <w:p w14:paraId="7E5A66E9" w14:textId="57EF804B" w:rsidR="005F1ACA" w:rsidRDefault="005D48FB">
      <w:pPr>
        <w:spacing w:after="180" w:line="300" w:lineRule="auto"/>
        <w:ind w:left="400" w:hanging="400"/>
      </w:pPr>
      <w:r>
        <w:t>Guirdham, M. (2011) Communicating Across Cultures at Work. 3rd edn. Basingstoke: Palgrave Macmillan.</w:t>
      </w:r>
      <w:r w:rsidR="00AC240C"/>
      <w:r/>
      <w:r w:rsidR="00AC240C"/>
    </w:p>
    <w:p w14:paraId="6D2AFD31" w14:textId="77777777" w:rsidR="005F1ACA" w:rsidRDefault="00AC240C">
      <w:pPr>
        <w:spacing w:after="180" w:line="300" w:lineRule="auto"/>
        <w:ind w:left="400" w:hanging="400"/>
      </w:pPr>
      <w:r>
        <w:t>Hall, E.T. (1976) Beyond Culture. New York: Anchor Books.</w:t>
      </w:r>
    </w:p>
    <w:p w14:paraId="25402714" w14:textId="6D587135" w:rsidR="005F1ACA" w:rsidRDefault="00AC240C">
      <w:pPr>
        <w:spacing w:after="180" w:line="300" w:lineRule="auto"/>
        <w:ind w:left="400" w:hanging="400"/>
      </w:pPr>
      <w:r>
        <w:t>Hofstede, G. (2001) Culture's Consequences: Comparing Values, Behaviours, Institutions and Organizations Across Nations. 2nd edn. Thousand Oaks, CA: Sage Publications.</w:t>
      </w:r>
      <w:r w:rsidR="005D48FB"/>
      <w:r/>
      <w:r w:rsidR="005D48FB"/>
      <w:r/>
    </w:p>
    <w:p w14:paraId="292801DC" w14:textId="77777777" w:rsidR="005F1ACA" w:rsidRDefault="00AC240C">
      <w:pPr>
        <w:spacing w:after="180" w:line="300" w:lineRule="auto"/>
        <w:ind w:left="400" w:hanging="400"/>
      </w:pPr>
      <w:r>
        <w:t>Meyer, E. (2014) The Culture Map: Breaking Through the Invisible Boundaries of Global Business. New York: PublicAffairs.</w:t>
      </w:r>
    </w:p>
    <w:p w14:paraId="7EDC155B" w14:textId="23042197" w:rsidR="005F1ACA" w:rsidRDefault="00AC240C">
      <w:pPr>
        <w:spacing w:after="180" w:line="300" w:lineRule="auto"/>
        <w:ind w:left="400" w:hanging="400"/>
      </w:pPr>
      <w:r>
        <w:t xml:space="preserve">Mitsubishi Heavy Industries (2023) Global Combat Air Programme Industry Partners Agree Next Steps on Collaboration to Deliver Next Generation Combat Aircraft. Available at: https://www.mhi.com/news/23091202.html (Accessed: </w:t>
      </w:r>
      <w:r w:rsidR="00D47FAA">
        <w:t>30</w:t>
      </w:r>
      <w:r>
        <w:t xml:space="preserve"> July 2026).</w:t>
      </w:r>
    </w:p>
    <w:p>
      <w:pPr>
        <w:spacing w:after="180" w:line="300" w:lineRule="auto"/>
        <w:ind w:left="400" w:hanging="400"/>
      </w:pPr>
      <w:r>
        <w:t>Tabata, N. and Vrij, A. (2023) 'Differences between Japanese and British participants in self-reported verbal strategies to appear convincing', Psychiatry, Psychology and Law, 30(2), pp. 177–191. doi: 10.1080/13218719.2021.2003269.</w:t>
      </w:r>
    </w:p>
    <w:p w14:paraId="5C2C4C5A" w14:textId="7F7521AB" w:rsidR="005F1ACA" w:rsidRDefault="00AC240C">
      <w:pPr>
        <w:spacing w:after="180" w:line="300" w:lineRule="auto"/>
        <w:ind w:left="400" w:hanging="400"/>
      </w:pPr>
      <w:r>
        <w:t>Trompenaars, F. and Hampden-Turner, C. (1997) Riding the Waves of Culture: Understanding Cultural Diversity in Business. 2nd edn. London: Nicholas Brealey.</w:t>
      </w:r>
      <w:r w:rsidR="005D48FB"/>
      <w:r/>
    </w:p>
    <w:p>
      <w:pPr>
        <w:spacing w:after="180" w:line="300" w:lineRule="auto"/>
        <w:ind w:left="400" w:hanging="400"/>
      </w:pPr>
      <w:r>
        <w:t>Yi, J.-S. (2021) 'Revisiting Hofstede's uncertainty-avoidance dimension: A cross-cultural comparison of organizational employees in four countries', Journal of Intercultural Communication, 21(1), pp. 46–61. doi: 10.36923/jicc.v21i1.5.</w:t>
      </w:r>
    </w:p>
    <w:sectPr w:rsidR="005F1ACA">
      <w:headerReference w:type="default" r:id="rId8"/>
      <w:footerReference w:type="default" r:id="rId9"/>
      <w:pgSz w:w="11906" w:h="16838"/>
      <w:pgMar w:top="1080" w:right="1080" w:bottom="108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AC02413" w14:textId="77777777" w:rsidR="00E3480B" w:rsidRDefault="00E3480B">
      <w:r>
        <w:separator/>
      </w:r>
    </w:p>
  </w:endnote>
  <w:endnote w:type="continuationSeparator" w:id="0">
    <w:p w14:paraId="63B7B4E7" w14:textId="77777777" w:rsidR="00E3480B" w:rsidRDefault="00E348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94F4E4C" w14:textId="77777777" w:rsidR="005F1ACA" w:rsidRDefault="00AC240C">
    <w:pPr>
      <w:jc w:val="center"/>
    </w:pPr>
    <w:r>
      <w:rPr>
        <w:color w:val="888888"/>
        <w:sz w:val="18"/>
        <w:szCs w:val="18"/>
      </w:rPr>
      <w:fldChar w:fldCharType="begin"/>
    </w:r>
    <w:r>
      <w:rPr>
        <w:color w:val="888888"/>
        <w:sz w:val="18"/>
        <w:szCs w:val="18"/>
      </w:rPr>
      <w:instrText>PAGE</w:instrText>
    </w:r>
    <w:r>
      <w:rPr>
        <w:color w:val="888888"/>
        <w:sz w:val="18"/>
        <w:szCs w:val="18"/>
      </w:rPr>
      <w:fldChar w:fldCharType="separate"/>
    </w:r>
    <w:r w:rsidR="00D47FAA">
      <w:rPr>
        <w:noProof/>
        <w:color w:val="888888"/>
        <w:sz w:val="18"/>
        <w:szCs w:val="18"/>
      </w:rPr>
      <w:t>1</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43BCBA6" w14:textId="77777777" w:rsidR="00E3480B" w:rsidRDefault="00E3480B">
      <w:r>
        <w:separator/>
      </w:r>
    </w:p>
  </w:footnote>
  <w:footnote w:type="continuationSeparator" w:id="0">
    <w:p w14:paraId="09ED2364" w14:textId="77777777" w:rsidR="00E3480B" w:rsidRDefault="00E348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08513D3" w14:textId="77777777" w:rsidR="005F1ACA" w:rsidRDefault="00AC240C">
    <w:pPr>
      <w:jc w:val="right"/>
    </w:pPr>
    <w:r>
      <w:rPr>
        <w:color w:val="888888"/>
        <w:sz w:val="16"/>
        <w:szCs w:val="16"/>
      </w:rPr>
      <w:t>International Business Communications (LCBB6023) — Essay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4AF6CEC"/>
    <w:multiLevelType w:val="hybridMultilevel"/>
    <w:tmpl w:val="C456AEAE"/>
    <w:lvl w:ilvl="0" w:tplc="ED5C9BD4">
      <w:start w:val="1"/>
      <w:numFmt w:val="bullet"/>
      <w:lvlText w:val="●"/>
      <w:lvlJc w:val="left"/>
      <w:pPr>
        <w:ind w:left="720" w:hanging="360"/>
      </w:pPr>
    </w:lvl>
    <w:lvl w:ilvl="1" w:tplc="7D0E117C">
      <w:start w:val="1"/>
      <w:numFmt w:val="bullet"/>
      <w:lvlText w:val="○"/>
      <w:lvlJc w:val="left"/>
      <w:pPr>
        <w:ind w:left="1440" w:hanging="360"/>
      </w:pPr>
    </w:lvl>
    <w:lvl w:ilvl="2" w:tplc="00F07360">
      <w:start w:val="1"/>
      <w:numFmt w:val="bullet"/>
      <w:lvlText w:val="■"/>
      <w:lvlJc w:val="left"/>
      <w:pPr>
        <w:ind w:left="2160" w:hanging="360"/>
      </w:pPr>
    </w:lvl>
    <w:lvl w:ilvl="3" w:tplc="AFDE7074">
      <w:start w:val="1"/>
      <w:numFmt w:val="bullet"/>
      <w:lvlText w:val="●"/>
      <w:lvlJc w:val="left"/>
      <w:pPr>
        <w:ind w:left="2880" w:hanging="360"/>
      </w:pPr>
    </w:lvl>
    <w:lvl w:ilvl="4" w:tplc="8DFC717C">
      <w:start w:val="1"/>
      <w:numFmt w:val="bullet"/>
      <w:lvlText w:val="○"/>
      <w:lvlJc w:val="left"/>
      <w:pPr>
        <w:ind w:left="3600" w:hanging="360"/>
      </w:pPr>
    </w:lvl>
    <w:lvl w:ilvl="5" w:tplc="1A70A5D2">
      <w:start w:val="1"/>
      <w:numFmt w:val="bullet"/>
      <w:lvlText w:val="■"/>
      <w:lvlJc w:val="left"/>
      <w:pPr>
        <w:ind w:left="4320" w:hanging="360"/>
      </w:pPr>
    </w:lvl>
    <w:lvl w:ilvl="6" w:tplc="D6F8A8C4">
      <w:start w:val="1"/>
      <w:numFmt w:val="bullet"/>
      <w:lvlText w:val="●"/>
      <w:lvlJc w:val="left"/>
      <w:pPr>
        <w:ind w:left="5040" w:hanging="360"/>
      </w:pPr>
    </w:lvl>
    <w:lvl w:ilvl="7" w:tplc="E1923B98">
      <w:start w:val="1"/>
      <w:numFmt w:val="bullet"/>
      <w:lvlText w:val="●"/>
      <w:lvlJc w:val="left"/>
      <w:pPr>
        <w:ind w:left="5760" w:hanging="360"/>
      </w:pPr>
    </w:lvl>
    <w:lvl w:ilvl="8" w:tplc="82741436">
      <w:start w:val="1"/>
      <w:numFmt w:val="bullet"/>
      <w:lvlText w:val="●"/>
      <w:lvlJc w:val="left"/>
      <w:pPr>
        <w:ind w:left="6480" w:hanging="360"/>
      </w:pPr>
    </w:lvl>
  </w:abstractNum>
  <w:num w:numId="1" w16cid:durableId="1914075815">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5"/>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1ACA"/>
    <w:rsid w:val="000741E2"/>
    <w:rsid w:val="001C320E"/>
    <w:rsid w:val="002A53AE"/>
    <w:rsid w:val="002E5FAD"/>
    <w:rsid w:val="003E7BB0"/>
    <w:rsid w:val="0044345E"/>
    <w:rsid w:val="0045356B"/>
    <w:rsid w:val="004F2948"/>
    <w:rsid w:val="005D48FB"/>
    <w:rsid w:val="005F1ACA"/>
    <w:rsid w:val="0061428D"/>
    <w:rsid w:val="00702E52"/>
    <w:rsid w:val="00766281"/>
    <w:rsid w:val="007669CA"/>
    <w:rsid w:val="009E448D"/>
    <w:rsid w:val="00A153E9"/>
    <w:rsid w:val="00AC240C"/>
    <w:rsid w:val="00B35A71"/>
    <w:rsid w:val="00C83F48"/>
    <w:rsid w:val="00D47FAA"/>
    <w:rsid w:val="00E3480B"/>
    <w:rsid w:val="00F52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415BC2"/>
  <w15:docId w15:val="{769A52AA-AF62-6D48-92A2-E5884BC0841D}"/>
  <w:updateFields w:val="tru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00" w:after="200"/>
      <w:outlineLvl w:val="0"/>
    </w:pPr>
    <w:rPr>
      <w:rFonts w:ascii="Cambria" w:eastAsia="Cambria" w:hAnsi="Cambria" w:cs="Cambria"/>
      <w:b/>
      <w:bCs/>
      <w:color w:val="1B2A4A"/>
      <w:sz w:val="30"/>
      <w:szCs w:val="30"/>
    </w:rPr>
  </w:style>
  <w:style w:type="paragraph" w:styleId="Heading2">
    <w:name w:val="heading 2"/>
    <w:uiPriority w:val="9"/>
    <w:unhideWhenUsed/>
    <w:qFormat/>
    <w:pPr>
      <w:spacing w:before="280" w:after="140"/>
      <w:outlineLvl w:val="1"/>
    </w:pPr>
    <w:rPr>
      <w:rFonts w:ascii="Cambria" w:eastAsia="Cambria" w:hAnsi="Cambria" w:cs="Cambria"/>
      <w:b/>
      <w:bCs/>
      <w:color w:val="9A1B32"/>
      <w:sz w:val="25"/>
      <w:szCs w:val="25"/>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D47FAA"/>
    <w:pPr>
      <w:spacing w:after="100" w:line="276" w:lineRule="auto"/>
    </w:pPr>
  </w:style>
  <w:style w:type="paragraph" w:styleId="TOC2">
    <w:name w:val="toc 2"/>
    <w:basedOn w:val="Normal"/>
    <w:next w:val="Normal"/>
    <w:autoRedefine/>
    <w:uiPriority w:val="39"/>
    <w:unhideWhenUsed/>
    <w:rsid w:val="00D47FAA"/>
    <w:pPr>
      <w:spacing w:after="100" w:line="276" w:lineRule="auto"/>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TotalTime>
  <Pages>8</Pages>
  <Words>2505</Words>
  <Characters>14285</Characters>
  <Application>Microsoft Office Word</Application>
  <DocSecurity>0</DocSecurity>
  <Lines>119</Lines>
  <Paragraphs>33</Paragraphs>
  <ScaleCrop>false</ScaleCrop>
  <Company/>
  <LinksUpToDate>false</LinksUpToDate>
  <CharactersWithSpaces>16757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Kremena Petrova Nedelcheva (2336425)</cp:lastModifiedBy>
  <cp:revision>2</cp:revision>
  <dcterms:created xsi:type="dcterms:W3CDTF">2026-08-04T13:37:00Z</dcterms:created>
  <dcterms:modified xsi:type="dcterms:W3CDTF">2026-08-04T13:37:00Z</dcterms:modified>
</cp:coreProperties>
</file>