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240" w:after="0" w:line="360"/>
        <w:ind w:right="0" w:left="0" w:firstLine="0"/>
        <w:jc w:val="both"/>
        <w:rPr>
          <w:rFonts w:ascii="Times New Roman" w:hAnsi="Times New Roman" w:cs="Times New Roman" w:eastAsia="Times New Roman"/>
          <w:color w:val="auto"/>
          <w:spacing w:val="0"/>
          <w:position w:val="0"/>
          <w:sz w:val="32"/>
          <w:shd w:fill="auto" w:val="clear"/>
        </w:rPr>
      </w:pPr>
      <w:r>
        <w:object w:dxaOrig="2540" w:dyaOrig="1132">
          <v:rect xmlns:o="urn:schemas-microsoft-com:office:office" xmlns:v="urn:schemas-microsoft-com:vml" id="rectole0000000000" style="width:127.000000pt;height:56.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Certificate of Higher Education Skills for the Workplace</w:t>
      </w: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Digital Skills and Research Methods, BMSW4003</w:t>
      </w:r>
    </w:p>
    <w:p>
      <w:pPr>
        <w:spacing w:before="0" w:after="160" w:line="36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Independent tasks- Assessment 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Name</w:t>
        <w:tab/>
        <w:t xml:space="preserve">: Andrea Kandrova</w:t>
      </w: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Student ID</w:t>
        <w:tab/>
        <w:tab/>
        <w:t xml:space="preserve">: 2020051</w:t>
      </w: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Lecturer’s name</w:t>
        <w:tab/>
        <w:t xml:space="preserve">: Gayathri Mudiyanselage</w:t>
      </w: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p>
    <w:p>
      <w:pPr>
        <w:spacing w:before="0" w:after="160" w:line="360"/>
        <w:ind w:right="0" w:left="1440" w:firstLine="72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Introduction </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In order to keep up with the dynamic nature of the modern business market and maintain a competitive edge, modern company management demands a new set of skills, tactics, and tools. Global competitiveness, innovative technology, a focus on the client, and a fast-paced market define the enterprise of the twenty-first century (Senge, 2020). Leaders in the 21st century need to take a 360-degree view of their companies, considering not only the strategy and operations but also the finances, the marketing, and the human resources. They need to be anticipatory in seeking out and taking advantage of openings, cautious in avoiding threats, and open to novel approaches.</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Additionally, in the 21st century, company management calls for an in-depth familiarity with the digital world and the impact technology has on corporate operations and consumer experiences (Kotter, 2016). Data analytics, AI, machine learning, and other cutting-edge technologies are becoming more important tools for leaders to gather insights and drive expansion. In the end, the mentality shift towards change, diversity, and adaptability is essential for 21st century business management. (Prahalad, 2014). To succeed in today's fast-paced, always-evolving corporate climate, leaders must be open to change and innovation.</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Why is market research important </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Businesses in the modern day cannot function without engaging in market research, the practise of collecting and evaluating data on customers, rivals, and the market as a whole (Hamel, 2017). These are some of the reasons why 21st-century companies cannot afford to ignore primary or market research: By market research, companies may learn more about their consumers' wants, requirements, and habits. Business success depends on understanding and meeting the wants and requirements of consumers in order to provide goods and services that those customers will find valuable (Tushman, and O'Reilly III, 2017). Businesses may benefit from doing market research by learning about market shifts, shifting consumer preferences, and underserved markets. Insights like this help companies zero in on unmet consumer demands and create cutting-edge goods and services in response (Ohmae, 2019).</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If a company wants to stay up with the competition, it must do market research to learn about the methods used by rivals and assess the relative strengths and weaknesses of each. Businesses may get an edge over their rivals by keeping an eye on the marketplace (Collins, 2021). As a result of the insights gleaned from their market research efforts, companies are better able to prepare for, respond to, and recover from any threats that may arise. When organisations are aware of the threats they face, they may take precautions to lessen their effect on daily operations and the bottom line. When it comes to gauging the success of their marketing efforts, companies may rely on the findings of market research (Drucker, 2019). Companies may increase the efficacy of their marketing campaigns by monitoring the results they get and making necessary adjustments to their approach.</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Questionnaire analysis </w:t>
      </w:r>
    </w:p>
    <w:p>
      <w:pPr>
        <w:numPr>
          <w:ilvl w:val="0"/>
          <w:numId w:val="11"/>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How do they stay informed about the latest market trends and changes in customer preferences?</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Analysis-</w:t>
      </w:r>
      <w:r>
        <w:rPr>
          <w:rFonts w:ascii="Times New Roman" w:hAnsi="Times New Roman" w:cs="Times New Roman" w:eastAsia="Times New Roman"/>
          <w:color w:val="auto"/>
          <w:spacing w:val="0"/>
          <w:position w:val="0"/>
          <w:sz w:val="28"/>
          <w:shd w:fill="auto" w:val="clear"/>
        </w:rPr>
        <w:t xml:space="preserve"> This enquiry is meant to evaluate the company's proficiency in collecting and analysing market data for the purpose of maintaining a competitive edge. The answer to this question will have consequences for the organisation since it will aid in the discovery of new possibilities, the modification of existing strategies, and the creation of new goods and services tailored to the evolving wants and requirements of consumers.</w:t>
      </w:r>
    </w:p>
    <w:p>
      <w:pPr>
        <w:numPr>
          <w:ilvl w:val="0"/>
          <w:numId w:val="13"/>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How do they incorporate new technologies into their business operations and processes?</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Analysis-</w:t>
      </w:r>
      <w:r>
        <w:rPr>
          <w:rFonts w:ascii="Times New Roman" w:hAnsi="Times New Roman" w:cs="Times New Roman" w:eastAsia="Times New Roman"/>
          <w:color w:val="auto"/>
          <w:spacing w:val="0"/>
          <w:position w:val="0"/>
          <w:sz w:val="28"/>
          <w:shd w:fill="auto" w:val="clear"/>
        </w:rPr>
        <w:t xml:space="preserve"> This enquiry is an attempt to gauge the organization's openness to new ideas and its willingness to use cutting-edge technological solutions. The answer to this question will have an effect on the organisation by improving efficiency, cutting expenses, and providing a better service to customers.</w:t>
      </w:r>
    </w:p>
    <w:p>
      <w:pPr>
        <w:numPr>
          <w:ilvl w:val="0"/>
          <w:numId w:val="15"/>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How do they ensure that their company is agile and adaptable to changes in the business environment?</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Analysis-</w:t>
      </w:r>
      <w:r>
        <w:rPr>
          <w:rFonts w:ascii="Times New Roman" w:hAnsi="Times New Roman" w:cs="Times New Roman" w:eastAsia="Times New Roman"/>
          <w:color w:val="auto"/>
          <w:spacing w:val="0"/>
          <w:position w:val="0"/>
          <w:sz w:val="28"/>
          <w:shd w:fill="auto" w:val="clear"/>
        </w:rPr>
        <w:t xml:space="preserve"> Through this enquiry, they want to gauge the company's agility in the face of rapid market shifts. The answer to this issue will have an effect on the firm by improving its ability to compete, capture new opportunities, and reduce risks.</w:t>
      </w:r>
    </w:p>
    <w:p>
      <w:pPr>
        <w:numPr>
          <w:ilvl w:val="0"/>
          <w:numId w:val="17"/>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How do they manage risk in a highly dynamic and unpredictable market?</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Analysis-</w:t>
      </w:r>
      <w:r>
        <w:rPr>
          <w:rFonts w:ascii="Times New Roman" w:hAnsi="Times New Roman" w:cs="Times New Roman" w:eastAsia="Times New Roman"/>
          <w:color w:val="auto"/>
          <w:spacing w:val="0"/>
          <w:position w:val="0"/>
          <w:sz w:val="28"/>
          <w:shd w:fill="auto" w:val="clear"/>
        </w:rPr>
        <w:t xml:space="preserve"> The purpose of this enquiry is to examine the effectiveness of the company's risk management procedures. The answer to this question is important because it will assist the organisation reduce risk, maintain operations, and safeguard its good name.</w:t>
      </w:r>
    </w:p>
    <w:p>
      <w:pPr>
        <w:numPr>
          <w:ilvl w:val="0"/>
          <w:numId w:val="19"/>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How do they ensure that their employees have the necessary skills and knowledge to meet the demands of the 21st-century workplace?</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Analysis-</w:t>
      </w:r>
      <w:r>
        <w:rPr>
          <w:rFonts w:ascii="Times New Roman" w:hAnsi="Times New Roman" w:cs="Times New Roman" w:eastAsia="Times New Roman"/>
          <w:color w:val="auto"/>
          <w:spacing w:val="0"/>
          <w:position w:val="0"/>
          <w:sz w:val="28"/>
          <w:shd w:fill="auto" w:val="clear"/>
        </w:rPr>
        <w:t xml:space="preserve"> The purpose of this enquiry is to evaluate the effectiveness of the company's learning and development initiatives. The answer to this issue will have an effect on the organisation since it will improve its ability to recruit and retain talented workers, boost productivity and morale, and provide better goods and services.</w:t>
      </w:r>
    </w:p>
    <w:p>
      <w:pPr>
        <w:numPr>
          <w:ilvl w:val="0"/>
          <w:numId w:val="21"/>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How do they foster a culture of innovation and creativity within their organization?</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Analysis-</w:t>
      </w:r>
      <w:r>
        <w:rPr>
          <w:rFonts w:ascii="Times New Roman" w:hAnsi="Times New Roman" w:cs="Times New Roman" w:eastAsia="Times New Roman"/>
          <w:color w:val="auto"/>
          <w:spacing w:val="0"/>
          <w:position w:val="0"/>
          <w:sz w:val="28"/>
          <w:shd w:fill="auto" w:val="clear"/>
        </w:rPr>
        <w:t xml:space="preserve"> Through this enquiry, I want to gauge the extent to which the organisation supports its workers in thinking beyond the box. The answer to this question will have repercussions for the organisation in the form of improved product and service development, more customer happiness, and a possible edge in the market.</w:t>
      </w:r>
    </w:p>
    <w:p>
      <w:pPr>
        <w:numPr>
          <w:ilvl w:val="0"/>
          <w:numId w:val="23"/>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How do they measure the effectiveness of their marketing efforts and customer engagement strategies?</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Analysis-</w:t>
      </w:r>
      <w:r>
        <w:rPr>
          <w:rFonts w:ascii="Times New Roman" w:hAnsi="Times New Roman" w:cs="Times New Roman" w:eastAsia="Times New Roman"/>
          <w:color w:val="auto"/>
          <w:spacing w:val="0"/>
          <w:position w:val="0"/>
          <w:sz w:val="28"/>
          <w:shd w:fill="auto" w:val="clear"/>
        </w:rPr>
        <w:t xml:space="preserve"> This enquiry is meant to evaluate the firm's proficiency in analysing the results of its advertising and customer service initiatives. The answer may indicate whether or not the company bases its marketing decisions on hard facts, as opposed to speculation.</w:t>
      </w:r>
    </w:p>
    <w:p>
      <w:pPr>
        <w:numPr>
          <w:ilvl w:val="0"/>
          <w:numId w:val="25"/>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How do they ensure that the company complies with the latest regulations and ethical standards?</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Analysis-</w:t>
      </w:r>
      <w:r>
        <w:rPr>
          <w:rFonts w:ascii="Times New Roman" w:hAnsi="Times New Roman" w:cs="Times New Roman" w:eastAsia="Times New Roman"/>
          <w:color w:val="auto"/>
          <w:spacing w:val="0"/>
          <w:position w:val="0"/>
          <w:sz w:val="28"/>
          <w:shd w:fill="auto" w:val="clear"/>
        </w:rPr>
        <w:t xml:space="preserve"> This enquiry probes the extent to which the company abides by applicable laws and ethical norms. The reply may show how much value the company places on ethics and compliance, or if it prefers to cut corners.</w:t>
      </w:r>
    </w:p>
    <w:p>
      <w:pPr>
        <w:numPr>
          <w:ilvl w:val="0"/>
          <w:numId w:val="27"/>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How do they attract and retain top talent in a highly competitive job market?</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Analysis-</w:t>
      </w:r>
      <w:r>
        <w:rPr>
          <w:rFonts w:ascii="Times New Roman" w:hAnsi="Times New Roman" w:cs="Times New Roman" w:eastAsia="Times New Roman"/>
          <w:color w:val="auto"/>
          <w:spacing w:val="0"/>
          <w:position w:val="0"/>
          <w:sz w:val="28"/>
          <w:shd w:fill="auto" w:val="clear"/>
        </w:rPr>
        <w:t xml:space="preserve"> The ability to think creatively and innovatively is crucial to maintaining a competitive edge and generating new goods and services. The response to this question may provide light on the company's ability to foster a culture of good working and remain competitive with best employees.</w:t>
      </w:r>
    </w:p>
    <w:p>
      <w:pPr>
        <w:numPr>
          <w:ilvl w:val="0"/>
          <w:numId w:val="29"/>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How do they balance short-term profitability with long-term sustainability and growth?</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Analysis-</w:t>
      </w:r>
      <w:r>
        <w:rPr>
          <w:rFonts w:ascii="Times New Roman" w:hAnsi="Times New Roman" w:cs="Times New Roman" w:eastAsia="Times New Roman"/>
          <w:color w:val="auto"/>
          <w:spacing w:val="0"/>
          <w:position w:val="0"/>
          <w:sz w:val="28"/>
          <w:shd w:fill="auto" w:val="clear"/>
        </w:rPr>
        <w:t xml:space="preserve"> If one wants to save money and time, they need to know how successful the marketing campaigns are. A company's commitment to data-driven decision making and responsiveness to consumer feedback and analytics may be gleaned from the response to this question.</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Importance of SEO </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"SEO" refers to "Search Engine Optimization," the process of enhancing a website's content and architecture to improve its visibility in search engine results pages (SERPs) and attract more of the web's unpaid users. Search engine optimization (SEO) is essential for modern organisations since it helps bring in new clients without breaking the bank (Christensen, 2019). With the results of primary research, an SEO campaign may be fine-tuned to better suit the needs of its target audience. If, for instance, primary research shows that the intended audience responds better to videos than to textual material, then the SEO strategy might focus on the production and optimization of videos in order to raise the website's engagement levels and its position in search engine results.</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Keywords and search phrases used by the target market to find information about the company's goods or services may also be gleaned via primary research. Businesses may boost their chances of showing up in relevant search results and attracting more organic traffic by finding and targeting these keywords in their SEO plan (Porter, 2018). Primary research may also help guide the website's content strategy by revealing the queries and concerns of the intended audience. Businesses may add value to their customers' lives and raise their profile in search results by producing content that responds to these concerns and queries. As a whole, primary research is crucial for creating an efficient SEO strategy that aims for the proper audience with the correct content and keywords (Prahalad, and Hamel, 2014). The results of primary research may be used to boost a company's website's visibility in search engine results, increase the volume of organic visitors, and boost sales.</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Conclusion </w:t>
      </w:r>
    </w:p>
    <w:p>
      <w:pPr>
        <w:spacing w:before="0" w:after="16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In conclusion, 21st century business management calls for a proactive approach to embracing innovation and technology, responding to changing market conditions, and encouraging a culture of creativity and agility. To keep up with changing market conditions, client tastes, and rivalry in the industry, primary research is vital. Insights gained through primary research may help companies improve their internet presence, expand their customer base, and increase profits. Businesses that invest in primary research and use its results to inform their goals and daily operations are better prepared to thrive in the fast-paced, competitive marketplace of the twenty-first century.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References </w:t>
      </w:r>
    </w:p>
    <w:p>
      <w:pPr>
        <w:numPr>
          <w:ilvl w:val="0"/>
          <w:numId w:val="3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Porter, M. E. (2018). </w:t>
      </w:r>
      <w:r>
        <w:rPr>
          <w:rFonts w:ascii="Times New Roman" w:hAnsi="Times New Roman" w:cs="Times New Roman" w:eastAsia="Times New Roman"/>
          <w:i/>
          <w:color w:val="auto"/>
          <w:spacing w:val="0"/>
          <w:position w:val="0"/>
          <w:sz w:val="24"/>
          <w:shd w:fill="auto" w:val="clear"/>
        </w:rPr>
        <w:t xml:space="preserve">Competitive Advantage: Creating and Sustaining Superior Performance</w:t>
      </w:r>
      <w:r>
        <w:rPr>
          <w:rFonts w:ascii="Times New Roman" w:hAnsi="Times New Roman" w:cs="Times New Roman" w:eastAsia="Times New Roman"/>
          <w:color w:val="auto"/>
          <w:spacing w:val="0"/>
          <w:position w:val="0"/>
          <w:sz w:val="24"/>
          <w:shd w:fill="auto" w:val="clear"/>
        </w:rPr>
        <w:t xml:space="preserve">. Free Press.</w:t>
      </w:r>
    </w:p>
    <w:p>
      <w:pPr>
        <w:numPr>
          <w:ilvl w:val="0"/>
          <w:numId w:val="3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Christensen, C. M. (2019). </w:t>
      </w:r>
      <w:r>
        <w:rPr>
          <w:rFonts w:ascii="Times New Roman" w:hAnsi="Times New Roman" w:cs="Times New Roman" w:eastAsia="Times New Roman"/>
          <w:i/>
          <w:color w:val="auto"/>
          <w:spacing w:val="0"/>
          <w:position w:val="0"/>
          <w:sz w:val="24"/>
          <w:shd w:fill="auto" w:val="clear"/>
        </w:rPr>
        <w:t xml:space="preserve">The Innovator's Dilemma: When New Technologies Cause Great Firms to Fail.</w:t>
      </w:r>
      <w:r>
        <w:rPr>
          <w:rFonts w:ascii="Times New Roman" w:hAnsi="Times New Roman" w:cs="Times New Roman" w:eastAsia="Times New Roman"/>
          <w:color w:val="auto"/>
          <w:spacing w:val="0"/>
          <w:position w:val="0"/>
          <w:sz w:val="24"/>
          <w:shd w:fill="auto" w:val="clear"/>
        </w:rPr>
        <w:t xml:space="preserve"> Harvard Business Review Press.</w:t>
      </w:r>
    </w:p>
    <w:p>
      <w:pPr>
        <w:numPr>
          <w:ilvl w:val="0"/>
          <w:numId w:val="3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Prahalad, C. K., and Hamel, G. (2014). </w:t>
      </w:r>
      <w:r>
        <w:rPr>
          <w:rFonts w:ascii="Times New Roman" w:hAnsi="Times New Roman" w:cs="Times New Roman" w:eastAsia="Times New Roman"/>
          <w:i/>
          <w:color w:val="auto"/>
          <w:spacing w:val="0"/>
          <w:position w:val="0"/>
          <w:sz w:val="24"/>
          <w:shd w:fill="auto" w:val="clear"/>
        </w:rPr>
        <w:t xml:space="preserve">Competing for the Future</w:t>
      </w:r>
      <w:r>
        <w:rPr>
          <w:rFonts w:ascii="Times New Roman" w:hAnsi="Times New Roman" w:cs="Times New Roman" w:eastAsia="Times New Roman"/>
          <w:color w:val="auto"/>
          <w:spacing w:val="0"/>
          <w:position w:val="0"/>
          <w:sz w:val="24"/>
          <w:shd w:fill="auto" w:val="clear"/>
        </w:rPr>
        <w:t xml:space="preserve">. Harvard Business Review Press.</w:t>
      </w:r>
    </w:p>
    <w:p>
      <w:pPr>
        <w:numPr>
          <w:ilvl w:val="0"/>
          <w:numId w:val="3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Senge, P. M. (2020). </w:t>
      </w:r>
      <w:r>
        <w:rPr>
          <w:rFonts w:ascii="Times New Roman" w:hAnsi="Times New Roman" w:cs="Times New Roman" w:eastAsia="Times New Roman"/>
          <w:i/>
          <w:color w:val="auto"/>
          <w:spacing w:val="0"/>
          <w:position w:val="0"/>
          <w:sz w:val="24"/>
          <w:shd w:fill="auto" w:val="clear"/>
        </w:rPr>
        <w:t xml:space="preserve">The Fifth Discipline: The Art and Practice of The Learning Organization</w:t>
      </w:r>
      <w:r>
        <w:rPr>
          <w:rFonts w:ascii="Times New Roman" w:hAnsi="Times New Roman" w:cs="Times New Roman" w:eastAsia="Times New Roman"/>
          <w:color w:val="auto"/>
          <w:spacing w:val="0"/>
          <w:position w:val="0"/>
          <w:sz w:val="24"/>
          <w:shd w:fill="auto" w:val="clear"/>
        </w:rPr>
        <w:t xml:space="preserve">. Doubleday.</w:t>
      </w:r>
    </w:p>
    <w:p>
      <w:pPr>
        <w:numPr>
          <w:ilvl w:val="0"/>
          <w:numId w:val="3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Kotter, J. P. (2016). </w:t>
      </w:r>
      <w:r>
        <w:rPr>
          <w:rFonts w:ascii="Times New Roman" w:hAnsi="Times New Roman" w:cs="Times New Roman" w:eastAsia="Times New Roman"/>
          <w:i/>
          <w:color w:val="auto"/>
          <w:spacing w:val="0"/>
          <w:position w:val="0"/>
          <w:sz w:val="24"/>
          <w:shd w:fill="auto" w:val="clear"/>
        </w:rPr>
        <w:t xml:space="preserve">Leading Change</w:t>
      </w:r>
      <w:r>
        <w:rPr>
          <w:rFonts w:ascii="Times New Roman" w:hAnsi="Times New Roman" w:cs="Times New Roman" w:eastAsia="Times New Roman"/>
          <w:color w:val="auto"/>
          <w:spacing w:val="0"/>
          <w:position w:val="0"/>
          <w:sz w:val="24"/>
          <w:shd w:fill="auto" w:val="clear"/>
        </w:rPr>
        <w:t xml:space="preserve">. Harvard Business Review Press.</w:t>
      </w:r>
    </w:p>
    <w:p>
      <w:pPr>
        <w:numPr>
          <w:ilvl w:val="0"/>
          <w:numId w:val="3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Collins, J. (2021). </w:t>
      </w:r>
      <w:r>
        <w:rPr>
          <w:rFonts w:ascii="Times New Roman" w:hAnsi="Times New Roman" w:cs="Times New Roman" w:eastAsia="Times New Roman"/>
          <w:i/>
          <w:color w:val="auto"/>
          <w:spacing w:val="0"/>
          <w:position w:val="0"/>
          <w:sz w:val="24"/>
          <w:shd w:fill="auto" w:val="clear"/>
        </w:rPr>
        <w:t xml:space="preserve">Good to Great: Why Some Companies Make the Leap and Others Don't.</w:t>
      </w:r>
      <w:r>
        <w:rPr>
          <w:rFonts w:ascii="Times New Roman" w:hAnsi="Times New Roman" w:cs="Times New Roman" w:eastAsia="Times New Roman"/>
          <w:color w:val="auto"/>
          <w:spacing w:val="0"/>
          <w:position w:val="0"/>
          <w:sz w:val="24"/>
          <w:shd w:fill="auto" w:val="clear"/>
        </w:rPr>
        <w:t xml:space="preserve"> HarperBusiness.</w:t>
      </w:r>
    </w:p>
    <w:p>
      <w:pPr>
        <w:numPr>
          <w:ilvl w:val="0"/>
          <w:numId w:val="3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Drucker, P. F. (2019). </w:t>
      </w:r>
      <w:r>
        <w:rPr>
          <w:rFonts w:ascii="Times New Roman" w:hAnsi="Times New Roman" w:cs="Times New Roman" w:eastAsia="Times New Roman"/>
          <w:i/>
          <w:color w:val="auto"/>
          <w:spacing w:val="0"/>
          <w:position w:val="0"/>
          <w:sz w:val="24"/>
          <w:shd w:fill="auto" w:val="clear"/>
        </w:rPr>
        <w:t xml:space="preserve">Post-Capitalist Society</w:t>
      </w:r>
      <w:r>
        <w:rPr>
          <w:rFonts w:ascii="Times New Roman" w:hAnsi="Times New Roman" w:cs="Times New Roman" w:eastAsia="Times New Roman"/>
          <w:color w:val="auto"/>
          <w:spacing w:val="0"/>
          <w:position w:val="0"/>
          <w:sz w:val="24"/>
          <w:shd w:fill="auto" w:val="clear"/>
        </w:rPr>
        <w:t xml:space="preserve">. HarperBusiness.</w:t>
      </w:r>
    </w:p>
    <w:p>
      <w:pPr>
        <w:numPr>
          <w:ilvl w:val="0"/>
          <w:numId w:val="3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Tushman, M. L., and O'Reilly III, C. A. (2017). </w:t>
      </w:r>
      <w:r>
        <w:rPr>
          <w:rFonts w:ascii="Times New Roman" w:hAnsi="Times New Roman" w:cs="Times New Roman" w:eastAsia="Times New Roman"/>
          <w:i/>
          <w:color w:val="auto"/>
          <w:spacing w:val="0"/>
          <w:position w:val="0"/>
          <w:sz w:val="24"/>
          <w:shd w:fill="auto" w:val="clear"/>
        </w:rPr>
        <w:t xml:space="preserve">Winning Through Innovation: A Practical Guide to Leading Organizational Change and Renewal</w:t>
      </w:r>
      <w:r>
        <w:rPr>
          <w:rFonts w:ascii="Times New Roman" w:hAnsi="Times New Roman" w:cs="Times New Roman" w:eastAsia="Times New Roman"/>
          <w:color w:val="auto"/>
          <w:spacing w:val="0"/>
          <w:position w:val="0"/>
          <w:sz w:val="24"/>
          <w:shd w:fill="auto" w:val="clear"/>
        </w:rPr>
        <w:t xml:space="preserve">. Harvard Business Review Press.</w:t>
      </w:r>
    </w:p>
    <w:p>
      <w:pPr>
        <w:numPr>
          <w:ilvl w:val="0"/>
          <w:numId w:val="3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Hamel, G. (2017). </w:t>
      </w:r>
      <w:r>
        <w:rPr>
          <w:rFonts w:ascii="Times New Roman" w:hAnsi="Times New Roman" w:cs="Times New Roman" w:eastAsia="Times New Roman"/>
          <w:i/>
          <w:color w:val="auto"/>
          <w:spacing w:val="0"/>
          <w:position w:val="0"/>
          <w:sz w:val="24"/>
          <w:shd w:fill="auto" w:val="clear"/>
        </w:rPr>
        <w:t xml:space="preserve">The Future of Management</w:t>
      </w:r>
      <w:r>
        <w:rPr>
          <w:rFonts w:ascii="Times New Roman" w:hAnsi="Times New Roman" w:cs="Times New Roman" w:eastAsia="Times New Roman"/>
          <w:color w:val="auto"/>
          <w:spacing w:val="0"/>
          <w:position w:val="0"/>
          <w:sz w:val="24"/>
          <w:shd w:fill="auto" w:val="clear"/>
        </w:rPr>
        <w:t xml:space="preserve">. Harvard Business Review Press.</w:t>
      </w:r>
    </w:p>
    <w:p>
      <w:pPr>
        <w:numPr>
          <w:ilvl w:val="0"/>
          <w:numId w:val="3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Ohmae, K. (2019). </w:t>
      </w:r>
      <w:r>
        <w:rPr>
          <w:rFonts w:ascii="Times New Roman" w:hAnsi="Times New Roman" w:cs="Times New Roman" w:eastAsia="Times New Roman"/>
          <w:i/>
          <w:color w:val="auto"/>
          <w:spacing w:val="0"/>
          <w:position w:val="0"/>
          <w:sz w:val="24"/>
          <w:shd w:fill="auto" w:val="clear"/>
        </w:rPr>
        <w:t xml:space="preserve">The Mind of the Strategist: The Art of Japanese Business</w:t>
      </w:r>
      <w:r>
        <w:rPr>
          <w:rFonts w:ascii="Times New Roman" w:hAnsi="Times New Roman" w:cs="Times New Roman" w:eastAsia="Times New Roman"/>
          <w:color w:val="auto"/>
          <w:spacing w:val="0"/>
          <w:position w:val="0"/>
          <w:sz w:val="24"/>
          <w:shd w:fill="auto" w:val="clear"/>
        </w:rPr>
        <w:t xml:space="preserve">. McGraw-Hill.</w:t>
      </w:r>
    </w:p>
    <w:p>
      <w:pPr>
        <w:numPr>
          <w:ilvl w:val="0"/>
          <w:numId w:val="3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Prahalad, C. K. (2014). </w:t>
      </w:r>
      <w:r>
        <w:rPr>
          <w:rFonts w:ascii="Times New Roman" w:hAnsi="Times New Roman" w:cs="Times New Roman" w:eastAsia="Times New Roman"/>
          <w:i/>
          <w:color w:val="auto"/>
          <w:spacing w:val="0"/>
          <w:position w:val="0"/>
          <w:sz w:val="24"/>
          <w:shd w:fill="auto" w:val="clear"/>
        </w:rPr>
        <w:t xml:space="preserve">The Fortune at the Bottom of the Pyramid: Eradicating Poverty Through Profits</w:t>
      </w:r>
      <w:r>
        <w:rPr>
          <w:rFonts w:ascii="Times New Roman" w:hAnsi="Times New Roman" w:cs="Times New Roman" w:eastAsia="Times New Roman"/>
          <w:color w:val="auto"/>
          <w:spacing w:val="0"/>
          <w:position w:val="0"/>
          <w:sz w:val="24"/>
          <w:shd w:fill="auto" w:val="clear"/>
        </w:rPr>
        <w:t xml:space="preserve">. Wharton School Publishing.</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256"/>
        <w:ind w:right="0" w:left="0" w:firstLine="0"/>
        <w:jc w:val="left"/>
        <w:rPr>
          <w:rFonts w:ascii="Times New Roman" w:hAnsi="Times New Roman" w:cs="Times New Roman" w:eastAsia="Times New Roman"/>
          <w:color w:val="auto"/>
          <w:spacing w:val="0"/>
          <w:position w:val="0"/>
          <w:sz w:val="32"/>
          <w:shd w:fill="auto" w:val="clear"/>
        </w:rPr>
      </w:pPr>
      <w:r>
        <w:rPr>
          <w:rFonts w:ascii="Times New Roman" w:hAnsi="Times New Roman" w:cs="Times New Roman" w:eastAsia="Times New Roman"/>
          <w:color w:val="auto"/>
          <w:spacing w:val="0"/>
          <w:position w:val="0"/>
          <w:sz w:val="32"/>
          <w:shd w:fill="auto" w:val="clear"/>
        </w:rPr>
        <w:t xml:space="preserve">Appendix </w:t>
      </w:r>
    </w:p>
    <w:p>
      <w:pPr>
        <w:keepNext w:val="true"/>
        <w:keepLines w:val="true"/>
        <w:spacing w:before="40" w:after="0" w:line="256"/>
        <w:ind w:right="0" w:left="0" w:firstLine="0"/>
        <w:jc w:val="lef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Google form </w:t>
      </w:r>
    </w:p>
    <w:p>
      <w:pPr>
        <w:spacing w:before="0" w:after="160" w:line="256"/>
        <w:ind w:right="0" w:left="0" w:firstLine="0"/>
        <w:jc w:val="left"/>
        <w:rPr>
          <w:rFonts w:ascii="Times New Roman" w:hAnsi="Times New Roman" w:cs="Times New Roman" w:eastAsia="Times New Roman"/>
          <w:color w:val="auto"/>
          <w:spacing w:val="0"/>
          <w:position w:val="0"/>
          <w:sz w:val="24"/>
          <w:shd w:fill="auto" w:val="clear"/>
        </w:rPr>
      </w:pPr>
      <w:r>
        <w:object w:dxaOrig="8664" w:dyaOrig="5588">
          <v:rect xmlns:o="urn:schemas-microsoft-com:office:office" xmlns:v="urn:schemas-microsoft-com:vml" id="rectole0000000001" style="width:433.200000pt;height:279.4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object w:dxaOrig="8664" w:dyaOrig="4481">
          <v:rect xmlns:o="urn:schemas-microsoft-com:office:office" xmlns:v="urn:schemas-microsoft-com:vml" id="rectole0000000002" style="width:433.200000pt;height:224.0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256"/>
        <w:ind w:right="0" w:left="0" w:firstLine="0"/>
        <w:jc w:val="left"/>
        <w:rPr>
          <w:rFonts w:ascii="Times New Roman" w:hAnsi="Times New Roman" w:cs="Times New Roman" w:eastAsia="Times New Roman"/>
          <w:color w:val="auto"/>
          <w:spacing w:val="0"/>
          <w:position w:val="0"/>
          <w:sz w:val="24"/>
          <w:shd w:fill="auto" w:val="clear"/>
        </w:rPr>
      </w:pPr>
      <w:r>
        <w:object w:dxaOrig="8664" w:dyaOrig="4549">
          <v:rect xmlns:o="urn:schemas-microsoft-com:office:office" xmlns:v="urn:schemas-microsoft-com:vml" id="rectole0000000003" style="width:433.200000pt;height:227.4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r>
        <w:object w:dxaOrig="8664" w:dyaOrig="4673">
          <v:rect xmlns:o="urn:schemas-microsoft-com:office:office" xmlns:v="urn:schemas-microsoft-com:vml" id="rectole0000000004" style="width:433.200000pt;height:233.6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num w:numId="11">
    <w:abstractNumId w:val="60"/>
  </w:num>
  <w:num w:numId="13">
    <w:abstractNumId w:val="54"/>
  </w:num>
  <w:num w:numId="15">
    <w:abstractNumId w:val="48"/>
  </w:num>
  <w:num w:numId="17">
    <w:abstractNumId w:val="42"/>
  </w:num>
  <w:num w:numId="19">
    <w:abstractNumId w:val="36"/>
  </w:num>
  <w:num w:numId="21">
    <w:abstractNumId w:val="30"/>
  </w:num>
  <w:num w:numId="23">
    <w:abstractNumId w:val="24"/>
  </w:num>
  <w:num w:numId="25">
    <w:abstractNumId w:val="18"/>
  </w:num>
  <w:num w:numId="27">
    <w:abstractNumId w:val="12"/>
  </w:num>
  <w:num w:numId="29">
    <w:abstractNumId w:val="6"/>
  </w:num>
  <w:num w:numId="3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1.wmf" Id="docRId3" Type="http://schemas.openxmlformats.org/officeDocument/2006/relationships/image" /><Relationship Target="media/image3.wmf" Id="docRId7" Type="http://schemas.openxmlformats.org/officeDocument/2006/relationships/image" /><Relationship Target="embeddings/oleObject0.bin" Id="docRId0" Type="http://schemas.openxmlformats.org/officeDocument/2006/relationships/oleObject" /><Relationship Target="numbering.xml" Id="docRId10" Type="http://schemas.openxmlformats.org/officeDocument/2006/relationships/numbering" /><Relationship Target="embeddings/oleObject1.bin" Id="docRId2" Type="http://schemas.openxmlformats.org/officeDocument/2006/relationships/oleObject" /><Relationship Target="embeddings/oleObject2.bin" Id="docRId4" Type="http://schemas.openxmlformats.org/officeDocument/2006/relationships/oleObject" /><Relationship Target="embeddings/oleObject3.bin" Id="docRId6" Type="http://schemas.openxmlformats.org/officeDocument/2006/relationships/oleObject" /><Relationship Target="embeddings/oleObject4.bin" Id="docRId8" Type="http://schemas.openxmlformats.org/officeDocument/2006/relationships/oleObject" /><Relationship Target="media/image0.wmf" Id="docRId1" Type="http://schemas.openxmlformats.org/officeDocument/2006/relationships/image" /><Relationship Target="styles.xml" Id="docRId11" Type="http://schemas.openxmlformats.org/officeDocument/2006/relationships/styles" /><Relationship Target="media/image2.wmf" Id="docRId5" Type="http://schemas.openxmlformats.org/officeDocument/2006/relationships/image" /><Relationship Target="media/image4.wmf" Id="docRId9" Type="http://schemas.openxmlformats.org/officeDocument/2006/relationships/image" /></Relationships>
</file>