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470D" w:rsidRDefault="00785D7B" w:rsidP="0082470D">
      <w:pPr>
        <w:rPr>
          <w:rFonts w:ascii="Arial" w:hAnsi="Arial"/>
          <w:b/>
          <w:sz w:val="36"/>
        </w:rPr>
      </w:pPr>
      <w:r>
        <w:rPr>
          <w:noProof/>
          <w:lang w:val="en-GB" w:eastAsia="en-GB"/>
        </w:rPr>
        <mc:AlternateContent>
          <mc:Choice Requires="wps">
            <w:drawing>
              <wp:anchor distT="0" distB="0" distL="114300" distR="114300" simplePos="0" relativeHeight="251659264" behindDoc="0" locked="0" layoutInCell="1" allowOverlap="1">
                <wp:simplePos x="0" y="0"/>
                <wp:positionH relativeFrom="page">
                  <wp:posOffset>-262890</wp:posOffset>
                </wp:positionH>
                <wp:positionV relativeFrom="page">
                  <wp:posOffset>1275715</wp:posOffset>
                </wp:positionV>
                <wp:extent cx="8001000" cy="173990"/>
                <wp:effectExtent l="3810" t="0" r="0" b="0"/>
                <wp:wrapTight wrapText="bothSides">
                  <wp:wrapPolygon edited="0">
                    <wp:start x="-27" y="-631"/>
                    <wp:lineTo x="-27" y="20969"/>
                    <wp:lineTo x="21627" y="20969"/>
                    <wp:lineTo x="21627" y="-631"/>
                    <wp:lineTo x="-27" y="-631"/>
                  </wp:wrapPolygon>
                </wp:wrapTight>
                <wp:docPr id="1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1000" cy="173990"/>
                        </a:xfrm>
                        <a:prstGeom prst="rect">
                          <a:avLst/>
                        </a:prstGeom>
                        <a:solidFill>
                          <a:schemeClr val="accent6">
                            <a:lumMod val="75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701E4C" id="Rectangle 7" o:spid="_x0000_s1026" style="position:absolute;margin-left:-20.7pt;margin-top:100.45pt;width:630pt;height:13.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" fillcolor="#e36c0a [2409]" stroked="f" strokecolor="#4a7ebb" strokeweight="1.5pt">
                <v:shadow opacity="22938f" offset="0"/>
                <v:textbox inset=",7.2pt,,7.2pt"/>
                <w10:wrap type="tight" anchorx="page" anchory="page"/>
              </v:rect>
            </w:pict>
          </mc:Fallback>
        </mc:AlternateContent>
      </w:r>
      <w:r>
        <w:rPr>
          <w:noProof/>
          <w:lang w:val="en-GB" w:eastAsia="en-GB"/>
        </w:rPr>
        <mc:AlternateContent>
          <mc:Choice Requires="wps">
            <w:drawing>
              <wp:anchor distT="0" distB="0" distL="114300" distR="114300" simplePos="0" relativeHeight="251658240" behindDoc="0" locked="0" layoutInCell="1" allowOverlap="1">
                <wp:simplePos x="0" y="0"/>
                <wp:positionH relativeFrom="page">
                  <wp:posOffset>-174171</wp:posOffset>
                </wp:positionH>
                <wp:positionV relativeFrom="page">
                  <wp:posOffset>-114300</wp:posOffset>
                </wp:positionV>
                <wp:extent cx="8001000" cy="1355271"/>
                <wp:effectExtent l="0" t="0" r="0" b="0"/>
                <wp:wrapNone/>
                <wp:docPr id="19"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1000" cy="1355271"/>
                        </a:xfrm>
                        <a:prstGeom prst="rect">
                          <a:avLst/>
                        </a:prstGeom>
                        <a:solidFill>
                          <a:schemeClr val="accent5">
                            <a:lumMod val="50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txbx>
                        <w:txbxContent>
                          <w:p w:rsidR="0000112E" w:rsidRDefault="0000112E" w:rsidP="001149B1">
                            <w:pPr>
                              <w:pStyle w:val="Heading2"/>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26" style="position:absolute;margin-left:-13.7pt;margin-top:-9pt;width:630pt;height:106.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" fillcolor="#205867 [1608]" stroked="f" strokecolor="#4a7ebb" strokeweight="1.5pt">
                <v:shadow opacity="22938f" offset="0"/>
                <v:textbox inset=",7.2pt,,7.2pt">
                  <w:txbxContent>
                    <w:p w:rsidR="0000112E" w:rsidRDefault="0000112E" w:rsidP="001149B1">
                      <w:pPr>
                        <w:pStyle w:val="Heading2"/>
                      </w:pPr>
                    </w:p>
                  </w:txbxContent>
                </v:textbox>
                <w10:wrap anchorx="page" anchory="page"/>
              </v:rect>
            </w:pict>
          </mc:Fallback>
        </mc:AlternateContent>
      </w:r>
      <w:r>
        <w:rPr>
          <w:rFonts w:ascii="Arial" w:hAnsi="Arial"/>
          <w:b/>
          <w:noProof/>
          <w:sz w:val="36"/>
          <w:lang w:val="en-GB" w:eastAsia="en-GB"/>
        </w:rPr>
        <mc:AlternateContent>
          <mc:Choice Requires="wps">
            <w:drawing>
              <wp:anchor distT="0" distB="0" distL="114300" distR="114300" simplePos="0" relativeHeight="251696128" behindDoc="0" locked="0" layoutInCell="1" allowOverlap="1">
                <wp:simplePos x="0" y="0"/>
                <wp:positionH relativeFrom="column">
                  <wp:posOffset>-276225</wp:posOffset>
                </wp:positionH>
                <wp:positionV relativeFrom="paragraph">
                  <wp:posOffset>-893989</wp:posOffset>
                </wp:positionV>
                <wp:extent cx="7315200" cy="1257300"/>
                <wp:effectExtent l="0" t="0" r="0" b="0"/>
                <wp:wrapNone/>
                <wp:docPr id="1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0" cy="1257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bookmarkStart w:id="0" w:name="_GoBack" w:displacedByCustomXml="next"/>
                          <w:sdt>
                            <w:sdtPr>
                              <w:id w:val="128975440"/>
                              <w:placeholder>
                                <w:docPart w:val="B87BCD6AFA494B4BB54D09F76F38ED74"/>
                              </w:placeholder>
                            </w:sdtPr>
                            <w:sdtEndPr/>
                            <w:sdtContent>
                              <w:p w:rsidR="003B57E6" w:rsidRPr="003B57E6" w:rsidRDefault="003D5D6E" w:rsidP="00223FB4">
                                <w:pPr>
                                  <w:pStyle w:val="CompanyName"/>
                                </w:pPr>
                                <w:r>
                                  <w:t>A</w:t>
                                </w:r>
                                <w:r w:rsidR="00770EDF">
                                  <w:t xml:space="preserve"> ‘Dual-Challenge’</w:t>
                                </w:r>
                                <w:r>
                                  <w:t>;</w:t>
                                </w:r>
                                <w:r w:rsidR="00770EDF">
                                  <w:t xml:space="preserve"> ‘Black Swan Event’ o</w:t>
                                </w:r>
                                <w:r>
                                  <w:t>r the elephant in the room for Oil and G</w:t>
                                </w:r>
                                <w:r w:rsidR="00770EDF">
                                  <w:t>as Executives?</w:t>
                                </w:r>
                              </w:p>
                            </w:sdtContent>
                          </w:sdt>
                          <w:bookmarkEnd w:id="0" w:displacedByCustomXml="prev"/>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8" o:spid="_x0000_s1027" type="#_x0000_t202" style="position:absolute;margin-left:-21.75pt;margin-top:-70.4pt;width:8in;height:9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" filled="f" stroked="f">
                <v:textbox>
                  <w:txbxContent>
                    <w:bookmarkStart w:id="1" w:name="_GoBack" w:displacedByCustomXml="next"/>
                    <w:sdt>
                      <w:sdtPr>
                        <w:id w:val="128975440"/>
                        <w:placeholder>
                          <w:docPart w:val="B87BCD6AFA494B4BB54D09F76F38ED74"/>
                        </w:placeholder>
                      </w:sdtPr>
                      <w:sdtEndPr/>
                      <w:sdtContent>
                        <w:p w:rsidR="003B57E6" w:rsidRPr="003B57E6" w:rsidRDefault="003D5D6E" w:rsidP="00223FB4">
                          <w:pPr>
                            <w:pStyle w:val="CompanyName"/>
                          </w:pPr>
                          <w:r>
                            <w:t>A</w:t>
                          </w:r>
                          <w:r w:rsidR="00770EDF">
                            <w:t xml:space="preserve"> ‘Dual-Challenge’</w:t>
                          </w:r>
                          <w:r>
                            <w:t>;</w:t>
                          </w:r>
                          <w:r w:rsidR="00770EDF">
                            <w:t xml:space="preserve"> ‘Black Swan Event’ o</w:t>
                          </w:r>
                          <w:r>
                            <w:t>r the elephant in the room for Oil and G</w:t>
                          </w:r>
                          <w:r w:rsidR="00770EDF">
                            <w:t>as Executives?</w:t>
                          </w:r>
                        </w:p>
                      </w:sdtContent>
                    </w:sdt>
                    <w:bookmarkEnd w:id="1" w:displacedByCustomXml="prev"/>
                  </w:txbxContent>
                </v:textbox>
              </v:shape>
            </w:pict>
          </mc:Fallback>
        </mc:AlternateContent>
      </w:r>
    </w:p>
    <w:p w:rsidR="0082470D" w:rsidRPr="00EE1259" w:rsidRDefault="002F1290" w:rsidP="007D1701">
      <w:pPr>
        <w:pStyle w:val="NewsletterHeadline"/>
      </w:pPr>
      <w:sdt>
        <w:sdtPr>
          <w:id w:val="228783093"/>
          <w:placeholder>
            <w:docPart w:val="B87BCD6AFA494B4BB54D09F76F38ED74"/>
          </w:placeholder>
        </w:sdtPr>
        <w:sdtEndPr/>
        <w:sdtContent>
          <w:r w:rsidR="00770EDF">
            <w:t>Forget ‘Peak Oil’</w:t>
          </w:r>
          <w:r w:rsidR="00F20A66">
            <w:t>;</w:t>
          </w:r>
          <w:r w:rsidR="00770EDF">
            <w:t xml:space="preserve"> </w:t>
          </w:r>
          <w:r w:rsidR="00F20A66">
            <w:t>could there</w:t>
          </w:r>
          <w:r w:rsidR="00770EDF">
            <w:t xml:space="preserve"> be a bigger problem on the horizon for</w:t>
          </w:r>
          <w:r w:rsidR="00F20A66">
            <w:t xml:space="preserve"> Oil and G</w:t>
          </w:r>
          <w:r w:rsidR="00770EDF">
            <w:t>as businesses</w:t>
          </w:r>
          <w:r w:rsidR="003D5D6E">
            <w:t>?</w:t>
          </w:r>
        </w:sdtContent>
      </w:sdt>
    </w:p>
    <w:p w:rsidR="0082470D" w:rsidRPr="00EE1259" w:rsidRDefault="0082470D" w:rsidP="0082470D">
      <w:pPr>
        <w:rPr>
          <w:rFonts w:ascii="Arial" w:hAnsi="Arial"/>
          <w:sz w:val="22"/>
        </w:rPr>
      </w:pPr>
    </w:p>
    <w:p w:rsidR="00760E4B" w:rsidRDefault="00760E4B" w:rsidP="003E564B">
      <w:pPr>
        <w:pStyle w:val="NewsletterBody"/>
        <w:sectPr w:rsidR="00760E4B" w:rsidSect="00760E4B">
          <w:pgSz w:w="12240" w:h="15840"/>
          <w:pgMar w:top="1440" w:right="630" w:bottom="1440" w:left="720" w:header="720" w:footer="720" w:gutter="0"/>
          <w:cols w:space="720"/>
        </w:sectPr>
      </w:pPr>
    </w:p>
    <w:p w:rsidR="00770EDF" w:rsidRDefault="00F20A66" w:rsidP="003E564B">
      <w:pPr>
        <w:pStyle w:val="NewsletterBody"/>
      </w:pPr>
      <w:r>
        <w:t>As an industry, Oil and G</w:t>
      </w:r>
      <w:r w:rsidR="00770EDF" w:rsidRPr="00770EDF">
        <w:t xml:space="preserve">as </w:t>
      </w:r>
      <w:r w:rsidR="00302EA4">
        <w:t>is</w:t>
      </w:r>
      <w:r w:rsidR="00770EDF" w:rsidRPr="00770EDF">
        <w:t xml:space="preserve"> faced with </w:t>
      </w:r>
      <w:r w:rsidR="00BC67DC">
        <w:t xml:space="preserve">the </w:t>
      </w:r>
      <w:r>
        <w:t>complex and far-reaching issue</w:t>
      </w:r>
      <w:r w:rsidR="006D1EAD" w:rsidRPr="006D1EAD">
        <w:t xml:space="preserve"> of energy transition (International Energy Agency, 2020). </w:t>
      </w:r>
      <w:r>
        <w:t>Answering</w:t>
      </w:r>
      <w:r w:rsidR="006D1EAD" w:rsidRPr="006D1EAD">
        <w:t xml:space="preserve"> the question; </w:t>
      </w:r>
      <w:r w:rsidR="00BC67DC">
        <w:t>‘H</w:t>
      </w:r>
      <w:r w:rsidR="006D1EAD" w:rsidRPr="006D1EAD">
        <w:t xml:space="preserve">ow do we simultaneously meet increasing energy demands </w:t>
      </w:r>
      <w:r w:rsidR="00BC67DC">
        <w:t>while also reducing emissions</w:t>
      </w:r>
      <w:r w:rsidR="006D1EAD" w:rsidRPr="006D1EAD">
        <w:t>?</w:t>
      </w:r>
      <w:r w:rsidR="00BC67DC">
        <w:t>’ requires</w:t>
      </w:r>
      <w:r>
        <w:t xml:space="preserve"> </w:t>
      </w:r>
      <w:r w:rsidRPr="006D1EAD">
        <w:t xml:space="preserve">industry evolution </w:t>
      </w:r>
      <w:r w:rsidR="00BC67DC">
        <w:t xml:space="preserve">and </w:t>
      </w:r>
      <w:r w:rsidRPr="006D1EAD">
        <w:t>implies a significant change to</w:t>
      </w:r>
      <w:r w:rsidR="00BC67DC">
        <w:t xml:space="preserve"> business models and operations.</w:t>
      </w:r>
    </w:p>
    <w:p w:rsidR="00770EDF" w:rsidRDefault="00302EA4" w:rsidP="003E564B">
      <w:pPr>
        <w:pStyle w:val="NewsletterBody"/>
      </w:pPr>
      <w:r w:rsidRPr="00302EA4">
        <w:t>Many refer to this as the 'Dual-Challenge'.</w:t>
      </w:r>
    </w:p>
    <w:p w:rsidR="006D1EAD" w:rsidRDefault="006D1EAD" w:rsidP="003E564B">
      <w:pPr>
        <w:pStyle w:val="NewsletterBody"/>
      </w:pPr>
      <w:r>
        <w:rPr>
          <w:noProof/>
          <w:lang w:val="en-GB" w:eastAsia="en-GB"/>
        </w:rPr>
        <w:drawing>
          <wp:anchor distT="0" distB="0" distL="114300" distR="114300" simplePos="0" relativeHeight="251661824" behindDoc="1" locked="0" layoutInCell="1" allowOverlap="1">
            <wp:simplePos x="0" y="0"/>
            <wp:positionH relativeFrom="column">
              <wp:posOffset>1543050</wp:posOffset>
            </wp:positionH>
            <wp:positionV relativeFrom="paragraph">
              <wp:posOffset>783590</wp:posOffset>
            </wp:positionV>
            <wp:extent cx="1665605" cy="21221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65605" cy="2122170"/>
                    </a:xfrm>
                    <a:prstGeom prst="rect">
                      <a:avLst/>
                    </a:prstGeom>
                  </pic:spPr>
                </pic:pic>
              </a:graphicData>
            </a:graphic>
          </wp:anchor>
        </w:drawing>
      </w:r>
      <w:r w:rsidRPr="006D1EAD">
        <w:t>Evident across many Sustainability Reports and published International Oil Companies (IOC) strategies, there is a consensus that the 'Dual-Challenge' presents significant business continuity risks, and an imminent need for business to adapt.</w:t>
      </w:r>
    </w:p>
    <w:p w:rsidR="00770EDF" w:rsidRDefault="006D1EAD" w:rsidP="003E564B">
      <w:pPr>
        <w:pStyle w:val="NewsletterBody"/>
      </w:pPr>
      <w:r>
        <w:rPr>
          <w:noProof/>
          <w:lang w:val="en-GB" w:eastAsia="en-GB"/>
        </w:rPr>
        <mc:AlternateContent>
          <mc:Choice Requires="wpg">
            <w:drawing>
              <wp:anchor distT="0" distB="0" distL="114300" distR="114300" simplePos="0" relativeHeight="251703296" behindDoc="0" locked="0" layoutInCell="1" allowOverlap="1">
                <wp:simplePos x="0" y="0"/>
                <wp:positionH relativeFrom="column">
                  <wp:posOffset>1543050</wp:posOffset>
                </wp:positionH>
                <wp:positionV relativeFrom="paragraph">
                  <wp:posOffset>1823720</wp:posOffset>
                </wp:positionV>
                <wp:extent cx="5353050" cy="2493010"/>
                <wp:effectExtent l="0" t="0" r="0" b="2540"/>
                <wp:wrapNone/>
                <wp:docPr id="14"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53050" cy="2493010"/>
                          <a:chOff x="3150" y="12100"/>
                          <a:chExt cx="8430" cy="3926"/>
                        </a:xfrm>
                      </wpg:grpSpPr>
                      <wps:wsp>
                        <wps:cNvPr id="15" name="Text Box 39"/>
                        <wps:cNvSpPr txBox="1">
                          <a:spLocks noChangeArrowheads="1"/>
                        </wps:cNvSpPr>
                        <wps:spPr bwMode="auto">
                          <a:xfrm>
                            <a:off x="3150" y="12100"/>
                            <a:ext cx="2623" cy="40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02EA4" w:rsidRPr="00B80A47" w:rsidRDefault="00302EA4" w:rsidP="00302EA4">
                              <w:pPr>
                                <w:pStyle w:val="Caption"/>
                                <w:rPr>
                                  <w:color w:val="000000"/>
                                  <w:szCs w:val="24"/>
                                </w:rPr>
                              </w:pPr>
                              <w:r>
                                <w:t xml:space="preserve">Figure </w:t>
                              </w:r>
                              <w:fldSimple w:instr=" SEQ Figure \* ARABIC ">
                                <w:r w:rsidR="001C4F17">
                                  <w:rPr>
                                    <w:noProof/>
                                  </w:rPr>
                                  <w:t>2</w:t>
                                </w:r>
                              </w:fldSimple>
                              <w:r>
                                <w:t>: Advancing the Energy Transition (BP, 2018)</w:t>
                              </w:r>
                            </w:p>
                          </w:txbxContent>
                        </wps:txbx>
                        <wps:bodyPr rot="0" vert="horz" wrap="square" lIns="0" tIns="0" rIns="0" bIns="0" anchor="t" anchorCtr="0" upright="1">
                          <a:noAutofit/>
                        </wps:bodyPr>
                      </wps:wsp>
                      <wps:wsp>
                        <wps:cNvPr id="16" name="Text Box 42"/>
                        <wps:cNvSpPr txBox="1">
                          <a:spLocks noChangeArrowheads="1"/>
                        </wps:cNvSpPr>
                        <wps:spPr bwMode="auto">
                          <a:xfrm>
                            <a:off x="9480" y="15412"/>
                            <a:ext cx="2100" cy="61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55225" w:rsidRPr="00E15837" w:rsidRDefault="00455225" w:rsidP="00455225">
                              <w:pPr>
                                <w:pStyle w:val="Caption"/>
                                <w:rPr>
                                  <w:rFonts w:eastAsiaTheme="majorEastAsia"/>
                                  <w:noProof/>
                                  <w:color w:val="0E101A"/>
                                  <w:szCs w:val="24"/>
                                </w:rPr>
                              </w:pPr>
                              <w:r>
                                <w:t xml:space="preserve">Figure </w:t>
                              </w:r>
                              <w:fldSimple w:instr=" SEQ Figure \* ARABIC ">
                                <w:r w:rsidR="001C4F17">
                                  <w:rPr>
                                    <w:noProof/>
                                  </w:rPr>
                                  <w:t>2</w:t>
                                </w:r>
                              </w:fldSimple>
                              <w:r>
                                <w:t xml:space="preserve"> Black Swan (Taleb, 2007)</w:t>
                              </w:r>
                            </w:p>
                          </w:txbxContent>
                        </wps:txbx>
                        <wps:bodyPr rot="0" vert="horz" wrap="square" lIns="0" tIns="0" rIns="0" bIns="0" anchor="t" anchorCtr="0" upright="1">
                          <a:spAutoFit/>
                        </wps:bodyPr>
                      </wps:wsp>
                    </wpg:wgp>
                  </a:graphicData>
                </a:graphic>
                <wp14:sizeRelH relativeFrom="page">
                  <wp14:pctWidth>0</wp14:pctWidth>
                </wp14:sizeRelH>
                <wp14:sizeRelV relativeFrom="page">
                  <wp14:pctHeight>0</wp14:pctHeight>
                </wp14:sizeRelV>
              </wp:anchor>
            </w:drawing>
          </mc:Choice>
          <mc:Fallback>
            <w:pict>
              <v:group id="Group 43" o:spid="_x0000_s1028" style="position:absolute;left:0;text-align:left;margin-left:121.5pt;margin-top:143.6pt;width:421.5pt;height:196.3pt;z-index:251703296" coordorigin="3150,12100" coordsize="8430,39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">
                <v:shape id="Text Box 39" o:spid="_x0000_s1029" type="#_x0000_t202" style="position:absolute;left:3150;top:12100;width:2623;height: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rsidR="00302EA4" w:rsidRPr="00B80A47" w:rsidRDefault="00302EA4" w:rsidP="00302EA4">
                        <w:pPr>
                          <w:pStyle w:val="Caption"/>
                          <w:rPr>
                            <w:color w:val="000000"/>
                            <w:szCs w:val="24"/>
                          </w:rPr>
                        </w:pPr>
                        <w:r>
                          <w:t xml:space="preserve">Figure </w:t>
                        </w:r>
                        <w:fldSimple w:instr=" SEQ Figure \* ARABIC ">
                          <w:r w:rsidR="001C4F17">
                            <w:rPr>
                              <w:noProof/>
                            </w:rPr>
                            <w:t>2</w:t>
                          </w:r>
                        </w:fldSimple>
                        <w:r>
                          <w:t>: Advancing the Energy Transition (BP, 2018)</w:t>
                        </w:r>
                      </w:p>
                    </w:txbxContent>
                  </v:textbox>
                </v:shape>
                <v:shape id="Text Box 42" o:spid="_x0000_s1030" type="#_x0000_t202" style="position:absolute;left:9480;top:15412;width:2100;height:6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rsidR="00455225" w:rsidRPr="00E15837" w:rsidRDefault="00455225" w:rsidP="00455225">
                        <w:pPr>
                          <w:pStyle w:val="Caption"/>
                          <w:rPr>
                            <w:rFonts w:eastAsiaTheme="majorEastAsia"/>
                            <w:noProof/>
                            <w:color w:val="0E101A"/>
                            <w:szCs w:val="24"/>
                          </w:rPr>
                        </w:pPr>
                        <w:r>
                          <w:t xml:space="preserve">Figure </w:t>
                        </w:r>
                        <w:fldSimple w:instr=" SEQ Figure \* ARABIC ">
                          <w:r w:rsidR="001C4F17">
                            <w:rPr>
                              <w:noProof/>
                            </w:rPr>
                            <w:t>2</w:t>
                          </w:r>
                        </w:fldSimple>
                        <w:r>
                          <w:t xml:space="preserve"> Black Swan (Taleb, 2007)</w:t>
                        </w:r>
                      </w:p>
                    </w:txbxContent>
                  </v:textbox>
                </v:shape>
              </v:group>
            </w:pict>
          </mc:Fallback>
        </mc:AlternateContent>
      </w:r>
      <w:r w:rsidRPr="006D1EAD">
        <w:t xml:space="preserve">BP Group Chief Executive, Bob Dudley, explains that despite emerging technologies and new business models, 'no single solution is emerging' (BP, 2018) that can answer this complex question. Even without a concrete solution, BP's publications are a tale of 'opportunities' and 'transition', peppered with 'support' for the movement, and ambitious </w:t>
      </w:r>
      <w:r w:rsidR="000E1D08" w:rsidRPr="006D1EAD">
        <w:t>programs</w:t>
      </w:r>
      <w:r w:rsidRPr="006D1EAD">
        <w:t xml:space="preserve"> for curtailing emissions. This sentiment is echoed by Shell, Exxon Mobil and much of the remaining industry; with a message of 'exploring' business models, trialing technologies and remaining flexible to keep abreast of a changing energy system (Shell, 2018) (Exxon Mobil, 2020).</w:t>
      </w:r>
    </w:p>
    <w:p w:rsidR="006D1EAD" w:rsidRDefault="006D1EAD" w:rsidP="00302EA4">
      <w:pPr>
        <w:pStyle w:val="NewsletterBody"/>
      </w:pPr>
      <w:r w:rsidRPr="006D1EAD">
        <w:t xml:space="preserve">The strategies used by </w:t>
      </w:r>
      <w:r w:rsidR="00BC67DC">
        <w:t>IOC’s</w:t>
      </w:r>
      <w:r w:rsidRPr="006D1EAD">
        <w:t xml:space="preserve"> to navigate the </w:t>
      </w:r>
      <w:r w:rsidR="00BC67DC">
        <w:t>‘</w:t>
      </w:r>
      <w:r w:rsidRPr="006D1EAD">
        <w:t>Dual-Challenge</w:t>
      </w:r>
      <w:r w:rsidR="00BC67DC">
        <w:t>’</w:t>
      </w:r>
      <w:r w:rsidRPr="006D1EAD">
        <w:t xml:space="preserve"> are founded on technologies </w:t>
      </w:r>
      <w:r w:rsidR="00BC67DC">
        <w:t>‘</w:t>
      </w:r>
      <w:r w:rsidRPr="006D1EAD">
        <w:t xml:space="preserve">developing low-carbon transportation fuels, commercialising carbon capture and storage, and developing technologies for using hydrogen in power generation and transportation' (Shojaeddini &amp; Ladislaw, 2019). As an industry response, </w:t>
      </w:r>
      <w:r w:rsidRPr="006D1EAD">
        <w:t xml:space="preserve">the strategy is ambiguous (International Energy Agency, 2020) and </w:t>
      </w:r>
      <w:r>
        <w:t>assured</w:t>
      </w:r>
      <w:r w:rsidRPr="006D1EAD">
        <w:t xml:space="preserve"> by technologies and business models that are not currently available (The Oxford Institute for Energy Studies, 2019). This </w:t>
      </w:r>
      <w:r w:rsidR="00BC67DC">
        <w:t>tactic draws similarities to discredited</w:t>
      </w:r>
      <w:r w:rsidRPr="006D1EAD">
        <w:t xml:space="preserve"> development theories, where finite resource issues can be resolved in the future through technological advancement (Du Pisani, 2006).</w:t>
      </w:r>
    </w:p>
    <w:p w:rsidR="006D1EAD" w:rsidRDefault="006D1EAD" w:rsidP="00302EA4">
      <w:pPr>
        <w:pStyle w:val="NewsletterBody"/>
      </w:pPr>
      <w:r w:rsidRPr="006D1EAD">
        <w:t>In an industry characterised by unce</w:t>
      </w:r>
      <w:r w:rsidR="008544E8">
        <w:t>rtainty and a cyclical nature, Oil and G</w:t>
      </w:r>
      <w:r w:rsidRPr="006D1EAD">
        <w:t xml:space="preserve">as businesses are putting on a </w:t>
      </w:r>
      <w:r w:rsidR="008544E8">
        <w:t>‘</w:t>
      </w:r>
      <w:r w:rsidRPr="006D1EAD">
        <w:t>brave face</w:t>
      </w:r>
      <w:r w:rsidR="008544E8">
        <w:t>’</w:t>
      </w:r>
      <w:r w:rsidRPr="006D1EAD">
        <w:t>. With a façade of optimism and image of confidence, IOC's are reaffirming their commercial viability and social license to operate in an industry on the move.</w:t>
      </w:r>
    </w:p>
    <w:p w:rsidR="00770EDF" w:rsidRDefault="00302EA4" w:rsidP="00302EA4">
      <w:pPr>
        <w:pStyle w:val="NewsletterBody"/>
      </w:pPr>
      <w:r>
        <w:t xml:space="preserve">Beneath the bluster, a pervasive mix of social, financial and political risks are </w:t>
      </w:r>
      <w:r w:rsidR="006D1EAD">
        <w:t>altering</w:t>
      </w:r>
      <w:r>
        <w:t xml:space="preserve"> the global demand and energy mix - forcing </w:t>
      </w:r>
      <w:r w:rsidR="000E1D08">
        <w:t>Oil and G</w:t>
      </w:r>
      <w:r>
        <w:t>as businesses to change whether they like it or not.</w:t>
      </w:r>
    </w:p>
    <w:p w:rsidR="00455225" w:rsidRPr="00455225" w:rsidRDefault="00455225" w:rsidP="003E564B">
      <w:pPr>
        <w:pStyle w:val="NewsletterBody"/>
        <w:rPr>
          <w:b/>
        </w:rPr>
      </w:pPr>
      <w:r w:rsidRPr="00455225">
        <w:rPr>
          <w:b/>
        </w:rPr>
        <w:t>Black Swan Events</w:t>
      </w:r>
    </w:p>
    <w:p w:rsidR="00455225" w:rsidRDefault="008544E8" w:rsidP="003E564B">
      <w:pPr>
        <w:pStyle w:val="NewsletterBody"/>
      </w:pPr>
      <w:r>
        <w:t xml:space="preserve">A </w:t>
      </w:r>
      <w:r w:rsidR="00455225" w:rsidRPr="00455225">
        <w:t xml:space="preserve">'Black Swan Event' is </w:t>
      </w:r>
      <w:r w:rsidR="00575BDE">
        <w:t xml:space="preserve">a </w:t>
      </w:r>
      <w:r w:rsidR="00575BDE" w:rsidRPr="00575BDE">
        <w:t>colloquialism</w:t>
      </w:r>
      <w:r w:rsidR="00575BDE">
        <w:t xml:space="preserve"> used</w:t>
      </w:r>
      <w:r w:rsidR="00455225" w:rsidRPr="00455225">
        <w:t xml:space="preserve"> to describe highly disruptive soci</w:t>
      </w:r>
      <w:r>
        <w:t>o-economic events. The hallmark</w:t>
      </w:r>
      <w:r w:rsidR="00455225" w:rsidRPr="00455225">
        <w:t xml:space="preserve"> of a 'Black Swan Event' is best described by </w:t>
      </w:r>
      <w:r>
        <w:t xml:space="preserve">Nassim Nicholas Taleb, the author </w:t>
      </w:r>
      <w:r w:rsidR="00FF4DDD">
        <w:t xml:space="preserve">of </w:t>
      </w:r>
      <w:r w:rsidR="00FF4DDD" w:rsidRPr="00455225">
        <w:t>‘The</w:t>
      </w:r>
      <w:r>
        <w:t xml:space="preserve"> </w:t>
      </w:r>
      <w:r w:rsidR="00455225" w:rsidRPr="00455225">
        <w:t>Black Swan';</w:t>
      </w:r>
    </w:p>
    <w:p w:rsidR="00455225" w:rsidRDefault="00C21272" w:rsidP="00455225">
      <w:pPr>
        <w:pStyle w:val="NormalWeb"/>
        <w:spacing w:before="0" w:beforeAutospacing="0" w:after="0" w:afterAutospacing="0"/>
        <w:jc w:val="both"/>
        <w:rPr>
          <w:rStyle w:val="Emphasis"/>
          <w:rFonts w:eastAsiaTheme="majorEastAsia"/>
          <w:color w:val="0E101A"/>
        </w:rPr>
      </w:pPr>
      <w:r>
        <w:rPr>
          <w:rStyle w:val="Emphasis"/>
          <w:rFonts w:eastAsiaTheme="majorEastAsia"/>
          <w:noProof/>
          <w:color w:val="0E101A"/>
        </w:rPr>
        <w:drawing>
          <wp:anchor distT="0" distB="0" distL="114300" distR="114300" simplePos="0" relativeHeight="251664896" behindDoc="0" locked="0" layoutInCell="1" allowOverlap="1">
            <wp:simplePos x="0" y="0"/>
            <wp:positionH relativeFrom="column">
              <wp:posOffset>1939925</wp:posOffset>
            </wp:positionH>
            <wp:positionV relativeFrom="paragraph">
              <wp:posOffset>26670</wp:posOffset>
            </wp:positionV>
            <wp:extent cx="1333500" cy="207327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33500" cy="2073275"/>
                    </a:xfrm>
                    <a:prstGeom prst="rect">
                      <a:avLst/>
                    </a:prstGeom>
                    <a:noFill/>
                  </pic:spPr>
                </pic:pic>
              </a:graphicData>
            </a:graphic>
            <wp14:sizeRelH relativeFrom="margin">
              <wp14:pctWidth>0</wp14:pctWidth>
            </wp14:sizeRelH>
            <wp14:sizeRelV relativeFrom="margin">
              <wp14:pctHeight>0</wp14:pctHeight>
            </wp14:sizeRelV>
          </wp:anchor>
        </w:drawing>
      </w:r>
      <w:r w:rsidR="00455225">
        <w:rPr>
          <w:color w:val="0E101A"/>
        </w:rPr>
        <w:t> </w:t>
      </w:r>
      <w:r w:rsidR="00455225" w:rsidRPr="00AC3B6C">
        <w:rPr>
          <w:rStyle w:val="Emphasis"/>
          <w:rFonts w:eastAsiaTheme="majorEastAsia"/>
          <w:color w:val="0E101A"/>
          <w:sz w:val="22"/>
        </w:rPr>
        <w:t xml:space="preserve">"First, it is an outlier, as it lies outside the realm of regular expectations because nothing in the past can convincingly point to its possibility. Second, it carries an extreme 'impact.' Third, despite its outlier status, human nature makes us concoct explanations for its occurrence after the fact, making it explainable and predictable." </w:t>
      </w:r>
      <w:sdt>
        <w:sdtPr>
          <w:rPr>
            <w:rStyle w:val="Emphasis"/>
            <w:rFonts w:eastAsiaTheme="majorEastAsia"/>
            <w:color w:val="0E101A"/>
            <w:sz w:val="22"/>
          </w:rPr>
          <w:id w:val="1160970952"/>
          <w:citation/>
        </w:sdtPr>
        <w:sdtContent>
          <w:r w:rsidR="00455225" w:rsidRPr="00AC3B6C">
            <w:rPr>
              <w:rStyle w:val="Emphasis"/>
              <w:rFonts w:eastAsiaTheme="majorEastAsia"/>
              <w:color w:val="0E101A"/>
              <w:sz w:val="22"/>
            </w:rPr>
            <w:fldChar w:fldCharType="begin"/>
          </w:r>
          <w:r w:rsidR="00455225" w:rsidRPr="00AC3B6C">
            <w:rPr>
              <w:rStyle w:val="Emphasis"/>
              <w:rFonts w:eastAsiaTheme="majorEastAsia"/>
              <w:color w:val="0E101A"/>
              <w:sz w:val="22"/>
            </w:rPr>
            <w:instrText xml:space="preserve"> CITATION Nas07 \l 2057 </w:instrText>
          </w:r>
          <w:r w:rsidR="00455225" w:rsidRPr="00AC3B6C">
            <w:rPr>
              <w:rStyle w:val="Emphasis"/>
              <w:rFonts w:eastAsiaTheme="majorEastAsia"/>
              <w:color w:val="0E101A"/>
              <w:sz w:val="22"/>
            </w:rPr>
            <w:fldChar w:fldCharType="separate"/>
          </w:r>
          <w:r w:rsidR="00223FB4" w:rsidRPr="00223FB4">
            <w:rPr>
              <w:rFonts w:eastAsiaTheme="majorEastAsia"/>
              <w:noProof/>
              <w:color w:val="0E101A"/>
              <w:sz w:val="22"/>
            </w:rPr>
            <w:t>(Taleb, 2007)</w:t>
          </w:r>
          <w:r w:rsidR="00455225" w:rsidRPr="00AC3B6C">
            <w:rPr>
              <w:rStyle w:val="Emphasis"/>
              <w:rFonts w:eastAsiaTheme="majorEastAsia"/>
              <w:color w:val="0E101A"/>
              <w:sz w:val="22"/>
            </w:rPr>
            <w:fldChar w:fldCharType="end"/>
          </w:r>
        </w:sdtContent>
      </w:sdt>
      <w:r w:rsidR="00455225" w:rsidRPr="00AC3B6C">
        <w:rPr>
          <w:rStyle w:val="Emphasis"/>
          <w:rFonts w:eastAsiaTheme="majorEastAsia"/>
          <w:color w:val="0E101A"/>
          <w:sz w:val="22"/>
        </w:rPr>
        <w:t>.</w:t>
      </w:r>
    </w:p>
    <w:p w:rsidR="003D5D6E" w:rsidRDefault="00AE603C" w:rsidP="003D5D6E">
      <w:pPr>
        <w:pStyle w:val="NewsletterBody"/>
      </w:pPr>
      <w:r>
        <w:rPr>
          <w:noProof/>
          <w:lang w:eastAsia="en-GB"/>
        </w:rPr>
        <w:lastRenderedPageBreak/>
        <w:drawing>
          <wp:anchor distT="0" distB="0" distL="114300" distR="114300" simplePos="0" relativeHeight="251704320" behindDoc="1" locked="0" layoutInCell="1" allowOverlap="1">
            <wp:simplePos x="0" y="0"/>
            <wp:positionH relativeFrom="column">
              <wp:posOffset>46990</wp:posOffset>
            </wp:positionH>
            <wp:positionV relativeFrom="paragraph">
              <wp:posOffset>1028700</wp:posOffset>
            </wp:positionV>
            <wp:extent cx="3095625" cy="1779270"/>
            <wp:effectExtent l="0" t="0" r="9525" b="0"/>
            <wp:wrapTight wrapText="bothSides">
              <wp:wrapPolygon edited="0">
                <wp:start x="0" y="0"/>
                <wp:lineTo x="0" y="21276"/>
                <wp:lineTo x="21534" y="21276"/>
                <wp:lineTo x="21534" y="0"/>
                <wp:lineTo x="0" y="0"/>
              </wp:wrapPolygon>
            </wp:wrapTight>
            <wp:docPr id="20" name="Picture 20" descr="What exactly Is a Black Swan E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exactly Is a Black Swan Ev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95625" cy="1779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5BDE" w:rsidRPr="00575BDE">
        <w:t xml:space="preserve">'Black Swan Events' are </w:t>
      </w:r>
      <w:r w:rsidR="008544E8">
        <w:t>exceptional.</w:t>
      </w:r>
      <w:r w:rsidR="00575BDE" w:rsidRPr="00575BDE">
        <w:t xml:space="preserve"> These types o</w:t>
      </w:r>
      <w:r w:rsidR="008544E8">
        <w:t xml:space="preserve">f events impose themselves as </w:t>
      </w:r>
      <w:r w:rsidR="00575BDE" w:rsidRPr="00575BDE">
        <w:t xml:space="preserve">‘medium’ to ‘high’ on a risk matrix, purely because their consequence is so extreme. The likelihood of the event remains low, making this </w:t>
      </w:r>
      <w:r w:rsidR="008544E8" w:rsidRPr="00575BDE">
        <w:t>a</w:t>
      </w:r>
      <w:r w:rsidR="00575BDE" w:rsidRPr="00575BDE">
        <w:t xml:space="preserve"> </w:t>
      </w:r>
      <w:r w:rsidR="008544E8">
        <w:t xml:space="preserve">difficult </w:t>
      </w:r>
      <w:r w:rsidR="00575BDE" w:rsidRPr="00575BDE">
        <w:t>risk for businesses t</w:t>
      </w:r>
      <w:r w:rsidR="00575BDE">
        <w:t xml:space="preserve">o identify and take seriously. </w:t>
      </w:r>
      <w:r w:rsidR="003D5D6E">
        <w:t xml:space="preserve">  </w:t>
      </w:r>
    </w:p>
    <w:p w:rsidR="00575BDE" w:rsidRDefault="00575BDE" w:rsidP="003E564B">
      <w:pPr>
        <w:pStyle w:val="NewsletterBody"/>
      </w:pPr>
      <w:r w:rsidRPr="00575BDE">
        <w:t>This article w</w:t>
      </w:r>
      <w:r w:rsidR="008544E8">
        <w:t>ill use the characteristics of the</w:t>
      </w:r>
      <w:r w:rsidRPr="00575BDE">
        <w:t xml:space="preserve"> 'Black Swan Event' to determine if the 'Dual Challenge' is a rare, unforeseeable and unavoidable catastrophe, or just the </w:t>
      </w:r>
      <w:r>
        <w:t>latest</w:t>
      </w:r>
      <w:r w:rsidRPr="00575BDE">
        <w:t xml:space="preserve"> </w:t>
      </w:r>
      <w:r w:rsidR="008544E8">
        <w:t>‘</w:t>
      </w:r>
      <w:r w:rsidRPr="00575BDE">
        <w:t>elephant in the room</w:t>
      </w:r>
      <w:r w:rsidR="008544E8">
        <w:t>’</w:t>
      </w:r>
      <w:r w:rsidRPr="00575BDE">
        <w:t xml:space="preserve"> for Oil and Gas executives.</w:t>
      </w:r>
    </w:p>
    <w:p w:rsidR="00455225" w:rsidRPr="003D5D6E" w:rsidRDefault="003D5D6E" w:rsidP="003E564B">
      <w:pPr>
        <w:pStyle w:val="NewsletterBody"/>
        <w:rPr>
          <w:b/>
        </w:rPr>
      </w:pPr>
      <w:r w:rsidRPr="003D5D6E">
        <w:rPr>
          <w:b/>
        </w:rPr>
        <w:t>Attribute one: Is the 'Dual-Challenge' an outlier?</w:t>
      </w:r>
    </w:p>
    <w:p w:rsidR="008544E8" w:rsidRDefault="00575BDE" w:rsidP="003D5D6E">
      <w:pPr>
        <w:pStyle w:val="NewsletterBody"/>
      </w:pPr>
      <w:r w:rsidRPr="00575BDE">
        <w:t>Breaking down one part of the 'Dual-Challenge'; we observe a consistent upward trend in</w:t>
      </w:r>
      <w:r w:rsidR="000E1D08">
        <w:t xml:space="preserve"> energy</w:t>
      </w:r>
      <w:r w:rsidRPr="00575BDE">
        <w:t xml:space="preserve"> demand. Since 1990, global energy demand has risen 2.8% per annum, sustaining a steady rate of growth into the recent century (The Oxford Institute for Energy Studies, 2019). </w:t>
      </w:r>
    </w:p>
    <w:p w:rsidR="00575BDE" w:rsidRDefault="00575BDE" w:rsidP="003D5D6E">
      <w:pPr>
        <w:pStyle w:val="NewsletterBody"/>
      </w:pPr>
      <w:r w:rsidRPr="00575BDE">
        <w:t>Some models see demand increasing exponentially because of globalisation and industrialisa</w:t>
      </w:r>
      <w:r w:rsidR="008544E8">
        <w:t xml:space="preserve">tion (Sunganthi &amp; Samual, 2011). </w:t>
      </w:r>
      <w:r w:rsidR="00034255">
        <w:t>O</w:t>
      </w:r>
      <w:r w:rsidR="00034255" w:rsidRPr="00575BDE">
        <w:t>thers</w:t>
      </w:r>
      <w:r w:rsidR="008544E8">
        <w:t xml:space="preserve"> are more conservative and predict energy peaks occurring in</w:t>
      </w:r>
      <w:r w:rsidRPr="00575BDE">
        <w:t xml:space="preserve"> around 30 years (Alvik &amp; Irvine, 2020). Climate Change also serves as a future aggravating factor, with a greater need for energy to offset the impacts of climatic extremes and variability (van Ruijven &amp; De Cian, 2019).</w:t>
      </w:r>
    </w:p>
    <w:p w:rsidR="003D5D6E" w:rsidRDefault="00FF4DDD" w:rsidP="003D5D6E">
      <w:pPr>
        <w:pStyle w:val="NewsletterBody"/>
      </w:pPr>
      <w:r>
        <w:rPr>
          <w:noProof/>
          <w:lang w:val="en-GB" w:eastAsia="en-GB"/>
        </w:rPr>
        <w:drawing>
          <wp:anchor distT="0" distB="0" distL="114300" distR="114300" simplePos="0" relativeHeight="251705344" behindDoc="1" locked="0" layoutInCell="1" allowOverlap="1">
            <wp:simplePos x="0" y="0"/>
            <wp:positionH relativeFrom="column">
              <wp:posOffset>2025650</wp:posOffset>
            </wp:positionH>
            <wp:positionV relativeFrom="paragraph">
              <wp:posOffset>41910</wp:posOffset>
            </wp:positionV>
            <wp:extent cx="1257300" cy="1257300"/>
            <wp:effectExtent l="0" t="0" r="0" b="0"/>
            <wp:wrapTight wrapText="bothSides">
              <wp:wrapPolygon edited="0">
                <wp:start x="0" y="0"/>
                <wp:lineTo x="0" y="21273"/>
                <wp:lineTo x="21273" y="21273"/>
                <wp:lineTo x="21273" y="0"/>
                <wp:lineTo x="0" y="0"/>
              </wp:wrapPolygon>
            </wp:wrapTight>
            <wp:docPr id="21" name="Picture 21" descr="C:\Users\thompska\AppData\Local\Microsoft\Windows\INetCache\Content.MSO\4EF5F31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hompska\AppData\Local\Microsoft\Windows\INetCache\Content.MSO\4EF5F315.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573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4255">
        <w:t>The second part</w:t>
      </w:r>
      <w:r w:rsidR="003D5D6E">
        <w:t xml:space="preserve"> of the 'Dual-Challenge'</w:t>
      </w:r>
      <w:r w:rsidR="00034255">
        <w:t xml:space="preserve"> stems around the</w:t>
      </w:r>
      <w:r w:rsidR="003D5D6E">
        <w:t xml:space="preserve"> need for energy sources to be cleaner and with fewer emissions.</w:t>
      </w:r>
    </w:p>
    <w:p w:rsidR="003D5D6E" w:rsidRDefault="00342486" w:rsidP="003D5D6E">
      <w:pPr>
        <w:pStyle w:val="NewsletterBody"/>
      </w:pPr>
      <w:r>
        <w:rPr>
          <w:noProof/>
        </w:rPr>
        <mc:AlternateContent>
          <mc:Choice Requires="wps">
            <w:drawing>
              <wp:anchor distT="0" distB="0" distL="114300" distR="114300" simplePos="0" relativeHeight="251707392" behindDoc="1" locked="0" layoutInCell="1" allowOverlap="1" wp14:anchorId="52600776" wp14:editId="490B0F5C">
                <wp:simplePos x="0" y="0"/>
                <wp:positionH relativeFrom="column">
                  <wp:posOffset>2058035</wp:posOffset>
                </wp:positionH>
                <wp:positionV relativeFrom="paragraph">
                  <wp:posOffset>568960</wp:posOffset>
                </wp:positionV>
                <wp:extent cx="1349375" cy="419100"/>
                <wp:effectExtent l="0" t="0" r="3175" b="0"/>
                <wp:wrapTight wrapText="bothSides">
                  <wp:wrapPolygon edited="0">
                    <wp:start x="0" y="0"/>
                    <wp:lineTo x="0" y="20618"/>
                    <wp:lineTo x="21346" y="20618"/>
                    <wp:lineTo x="21346"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349375" cy="419100"/>
                        </a:xfrm>
                        <a:prstGeom prst="rect">
                          <a:avLst/>
                        </a:prstGeom>
                        <a:solidFill>
                          <a:prstClr val="white"/>
                        </a:solidFill>
                        <a:ln>
                          <a:noFill/>
                        </a:ln>
                      </wps:spPr>
                      <wps:txbx>
                        <w:txbxContent>
                          <w:p w:rsidR="003D5D6E" w:rsidRPr="008A3DE3" w:rsidRDefault="003D5D6E" w:rsidP="003D5D6E">
                            <w:pPr>
                              <w:pStyle w:val="Caption"/>
                              <w:rPr>
                                <w:noProof/>
                                <w:color w:val="000000"/>
                                <w:szCs w:val="24"/>
                              </w:rPr>
                            </w:pPr>
                            <w:r>
                              <w:t xml:space="preserve">Figure </w:t>
                            </w:r>
                            <w:fldSimple w:instr=" SEQ Figure \* ARABIC ">
                              <w:r w:rsidR="001C4F17">
                                <w:rPr>
                                  <w:noProof/>
                                </w:rPr>
                                <w:t>3</w:t>
                              </w:r>
                            </w:fldSimple>
                            <w:r>
                              <w:t xml:space="preserve"> UN Sustainable Development Goal Number 7(United Nations, 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00776" id="Text Box 22" o:spid="_x0000_s1031" type="#_x0000_t202" style="position:absolute;left:0;text-align:left;margin-left:162.05pt;margin-top:44.8pt;width:106.25pt;height:33pt;z-index:-25160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" stroked="f">
                <v:textbox inset="0,0,0,0">
                  <w:txbxContent>
                    <w:p w:rsidR="003D5D6E" w:rsidRPr="008A3DE3" w:rsidRDefault="003D5D6E" w:rsidP="003D5D6E">
                      <w:pPr>
                        <w:pStyle w:val="Caption"/>
                        <w:rPr>
                          <w:noProof/>
                          <w:color w:val="000000"/>
                          <w:szCs w:val="24"/>
                        </w:rPr>
                      </w:pPr>
                      <w:r>
                        <w:t xml:space="preserve">Figure </w:t>
                      </w:r>
                      <w:fldSimple w:instr=" SEQ Figure \* ARABIC ">
                        <w:r w:rsidR="001C4F17">
                          <w:rPr>
                            <w:noProof/>
                          </w:rPr>
                          <w:t>3</w:t>
                        </w:r>
                      </w:fldSimple>
                      <w:r>
                        <w:t xml:space="preserve"> UN Sustainable Development Goal Number 7(United Nations, N.D)</w:t>
                      </w:r>
                    </w:p>
                  </w:txbxContent>
                </v:textbox>
                <w10:wrap type="tight"/>
              </v:shape>
            </w:pict>
          </mc:Fallback>
        </mc:AlternateContent>
      </w:r>
      <w:r>
        <w:t>I</w:t>
      </w:r>
      <w:r w:rsidR="003D5D6E">
        <w:t>f the Oil and Gas industry</w:t>
      </w:r>
      <w:r w:rsidR="00034255">
        <w:t xml:space="preserve"> ignored</w:t>
      </w:r>
      <w:r w:rsidR="003D5D6E">
        <w:t xml:space="preserve"> the widely recognised and luminous yellow UN Sustainability Goal #7 (United Nations, n.d.), they could perhaps look for precedence in other 'dirty industries'.</w:t>
      </w:r>
    </w:p>
    <w:p w:rsidR="003D5D6E" w:rsidRDefault="003D5D6E" w:rsidP="003D5D6E">
      <w:pPr>
        <w:pStyle w:val="NewsletterBody"/>
      </w:pPr>
      <w:r>
        <w:t xml:space="preserve">In 2011, </w:t>
      </w:r>
      <w:r w:rsidRPr="00575BDE">
        <w:rPr>
          <w:i/>
        </w:rPr>
        <w:t>The Carbon Plan: Delivering our Low Carbon future</w:t>
      </w:r>
      <w:r>
        <w:t xml:space="preserve"> set out some 'easy wins' for the UK. The plan include</w:t>
      </w:r>
      <w:r w:rsidR="00575BDE">
        <w:t>d</w:t>
      </w:r>
      <w:r>
        <w:t xml:space="preserve"> ambitious 40% emission reductions in existing coal-fired power stations, new carbon power stations and </w:t>
      </w:r>
      <w:r w:rsidR="00575BDE">
        <w:t xml:space="preserve">proposals to </w:t>
      </w:r>
      <w:r>
        <w:t xml:space="preserve">invest across more diverse ranges of power sources (HM Government, 2011). </w:t>
      </w:r>
    </w:p>
    <w:p w:rsidR="00575BDE" w:rsidRDefault="00575BDE" w:rsidP="003D5D6E">
      <w:pPr>
        <w:pStyle w:val="NewsletterBody"/>
      </w:pPr>
      <w:r w:rsidRPr="00575BDE">
        <w:t>The UK iron and steel industry was also singled out for industrial decarbonisation. Policy Frameworks were introduced</w:t>
      </w:r>
      <w:r w:rsidR="00034255">
        <w:t>,</w:t>
      </w:r>
      <w:r w:rsidRPr="00575BDE">
        <w:t xml:space="preserve"> whereby innovation and deployment became more viable, with industry players who failed to adapt being penalised by increasing carbon costs. (WSP and Parsons Brinckerhoff, 2015).</w:t>
      </w:r>
    </w:p>
    <w:p w:rsidR="003D5D6E" w:rsidRDefault="00575BDE" w:rsidP="003D5D6E">
      <w:pPr>
        <w:pStyle w:val="NewsletterBody"/>
      </w:pPr>
      <w:r>
        <w:t>Ostensibly</w:t>
      </w:r>
      <w:r w:rsidR="003D5D6E">
        <w:t xml:space="preserve">, Fossil-fuel-orientated industries appear much less viable </w:t>
      </w:r>
      <w:r w:rsidR="00D23A34">
        <w:t>in 2020, given the increase in statutory and fiscal measures to curb carbon emissions</w:t>
      </w:r>
      <w:r w:rsidR="003D5D6E">
        <w:t xml:space="preserve">. </w:t>
      </w:r>
      <w:r w:rsidR="00D23A34" w:rsidRPr="00D23A34">
        <w:t>Climate Justice Campaigners would discredit this presumption by presenting a case of 'fossil fuel welfare' and 'protectionism". Arguing that public financing, subsidies and bailouts hold together a 'corrupt governance system', creating a 'Polluters Market' (Lenferna, 2019) and allowing clean energy sources to be overlooked. Other theories include 'petro-masculinity' and 'fossil fascism' as reasons why oil and gas have not transitioned to cleaner sources of energy (Daggett, 2018).</w:t>
      </w:r>
    </w:p>
    <w:p w:rsidR="003D5D6E" w:rsidRDefault="003D5D6E" w:rsidP="003D5D6E">
      <w:pPr>
        <w:pStyle w:val="NewsletterBody"/>
      </w:pPr>
      <w:r>
        <w:t>The combination of rising demand for energy, precedence set by other industries and strong market drivers for clean energy creates a compelling case that the 'Dual-Challenge' is no</w:t>
      </w:r>
      <w:r w:rsidR="000E1D08">
        <w:t>t an outlier for the Oil and G</w:t>
      </w:r>
      <w:r>
        <w:t>as industry and a foreseeable problem for business.</w:t>
      </w:r>
    </w:p>
    <w:p w:rsidR="003D5D6E" w:rsidRDefault="003D5D6E" w:rsidP="003D5D6E">
      <w:pPr>
        <w:pStyle w:val="NewsletterBody"/>
      </w:pPr>
      <w:r>
        <w:t>The undercurrent of soc</w:t>
      </w:r>
      <w:r w:rsidR="00034255">
        <w:t>io-political factors that make Oil and G</w:t>
      </w:r>
      <w:r>
        <w:t>as still feasible today, appear only robust enough to delay the inevitable.</w:t>
      </w:r>
    </w:p>
    <w:p w:rsidR="003D5D6E" w:rsidRDefault="003D5D6E" w:rsidP="003D5D6E">
      <w:pPr>
        <w:pStyle w:val="NormalWeb"/>
        <w:spacing w:before="0" w:beforeAutospacing="0" w:after="0" w:afterAutospacing="0"/>
        <w:jc w:val="both"/>
        <w:rPr>
          <w:rStyle w:val="Strong"/>
          <w:color w:val="0E101A"/>
        </w:rPr>
      </w:pPr>
      <w:r>
        <w:rPr>
          <w:rStyle w:val="Strong"/>
          <w:color w:val="0E101A"/>
        </w:rPr>
        <w:t>Attribute two: Does the Dual-Challenge carry a severe impact?</w:t>
      </w:r>
    </w:p>
    <w:p w:rsidR="003D5D6E" w:rsidRDefault="003D5D6E" w:rsidP="003D5D6E">
      <w:pPr>
        <w:pStyle w:val="NormalWeb"/>
        <w:spacing w:before="0" w:beforeAutospacing="0" w:after="0" w:afterAutospacing="0"/>
        <w:jc w:val="both"/>
        <w:rPr>
          <w:rStyle w:val="Strong"/>
          <w:color w:val="0E101A"/>
        </w:rPr>
      </w:pPr>
    </w:p>
    <w:p w:rsidR="003D5D6E" w:rsidRDefault="003D5D6E" w:rsidP="003D5D6E">
      <w:pPr>
        <w:pStyle w:val="NewsletterBody"/>
      </w:pPr>
      <w:r>
        <w:t xml:space="preserve">Coronavirus </w:t>
      </w:r>
      <w:r w:rsidR="00D23A34">
        <w:t>illuminated</w:t>
      </w:r>
      <w:r>
        <w:t xml:space="preserve"> the fragility of the North Sea</w:t>
      </w:r>
      <w:r w:rsidR="00034255">
        <w:t xml:space="preserve"> Oil and G</w:t>
      </w:r>
      <w:r w:rsidR="00D23A34">
        <w:t>as</w:t>
      </w:r>
      <w:r>
        <w:t xml:space="preserve"> industry, where oversupply pushed oil prices to the lowest seen in 20 years, threatening the </w:t>
      </w:r>
      <w:r w:rsidR="003A52FE">
        <w:t>employment</w:t>
      </w:r>
      <w:r>
        <w:t xml:space="preserve"> of 30,000 workers (Keane, 2020). This example, of course, represents a small cross-section of the industry, and </w:t>
      </w:r>
      <w:r w:rsidR="003A52FE">
        <w:t xml:space="preserve">albeit </w:t>
      </w:r>
      <w:r>
        <w:t>a</w:t>
      </w:r>
      <w:r w:rsidR="003A52FE">
        <w:t xml:space="preserve"> sharp-</w:t>
      </w:r>
      <w:r>
        <w:t xml:space="preserve">shock to demand. </w:t>
      </w:r>
      <w:r w:rsidR="00D23A34">
        <w:t>T</w:t>
      </w:r>
      <w:r w:rsidR="003A52FE">
        <w:t>he</w:t>
      </w:r>
      <w:r w:rsidR="00D23A34">
        <w:t xml:space="preserve"> change in behavior </w:t>
      </w:r>
      <w:r w:rsidR="0035063B">
        <w:t>and demand</w:t>
      </w:r>
      <w:r w:rsidR="003A52FE">
        <w:t xml:space="preserve"> triggered by coronavirus</w:t>
      </w:r>
      <w:r w:rsidR="00D23A34">
        <w:t xml:space="preserve"> mimics </w:t>
      </w:r>
      <w:r w:rsidR="003A52FE">
        <w:t>the</w:t>
      </w:r>
      <w:r w:rsidR="00D23A34">
        <w:t xml:space="preserve"> </w:t>
      </w:r>
      <w:r w:rsidR="0035063B">
        <w:t>impact</w:t>
      </w:r>
      <w:r w:rsidR="003A52FE">
        <w:t xml:space="preserve"> </w:t>
      </w:r>
      <w:r w:rsidR="0035063B">
        <w:t>a</w:t>
      </w:r>
      <w:r>
        <w:t xml:space="preserve"> long-term structural change of energy </w:t>
      </w:r>
      <w:r w:rsidR="000E1D08">
        <w:t>mix</w:t>
      </w:r>
      <w:r w:rsidR="00D23A34">
        <w:t>. IOC’s have already</w:t>
      </w:r>
      <w:r>
        <w:t xml:space="preserve"> </w:t>
      </w:r>
      <w:r w:rsidR="00D23A34">
        <w:t>recognised</w:t>
      </w:r>
      <w:r w:rsidR="0035063B">
        <w:t xml:space="preserve"> volatility in</w:t>
      </w:r>
      <w:r>
        <w:t xml:space="preserve"> </w:t>
      </w:r>
      <w:r w:rsidR="00D23A34">
        <w:t xml:space="preserve">demand </w:t>
      </w:r>
      <w:r>
        <w:t xml:space="preserve">as a continuity risk (Shojaeddini &amp; </w:t>
      </w:r>
      <w:r w:rsidR="00CE2DA1">
        <w:t xml:space="preserve">Ladislaw, 2019). </w:t>
      </w:r>
      <w:r w:rsidR="0035063B" w:rsidRPr="0035063B">
        <w:t>Framing this point, BP recently announced a devaluing of assets</w:t>
      </w:r>
      <w:r w:rsidR="00034255">
        <w:t>,</w:t>
      </w:r>
      <w:r w:rsidR="0035063B" w:rsidRPr="0035063B">
        <w:t xml:space="preserve"> of between $13bn and $17.5bn. The "leaner, faster-moving </w:t>
      </w:r>
      <w:r w:rsidR="0035063B" w:rsidRPr="0035063B">
        <w:lastRenderedPageBreak/>
        <w:t>and lower cost" organisational model BP foresees is in response to lower oil prices for an extended period (BBC, 2020), reflecting the sentiment of industry.</w:t>
      </w:r>
    </w:p>
    <w:p w:rsidR="0035063B" w:rsidRDefault="0035063B" w:rsidP="003D5D6E">
      <w:pPr>
        <w:pStyle w:val="NewsletterBody"/>
      </w:pPr>
      <w:r>
        <w:t xml:space="preserve">It is likely </w:t>
      </w:r>
      <w:r w:rsidR="00B44002">
        <w:t xml:space="preserve">that the </w:t>
      </w:r>
      <w:r>
        <w:t>i</w:t>
      </w:r>
      <w:r w:rsidR="00B44002">
        <w:t>mpact to Oil and G</w:t>
      </w:r>
      <w:r w:rsidRPr="0035063B">
        <w:t xml:space="preserve">as will not just </w:t>
      </w:r>
      <w:r>
        <w:t>be in the form of</w:t>
      </w:r>
      <w:r w:rsidRPr="0035063B">
        <w:t xml:space="preserve"> </w:t>
      </w:r>
      <w:r>
        <w:t>r</w:t>
      </w:r>
      <w:r w:rsidRPr="0035063B">
        <w:t>educed demand. Increased intensity of climate policies, geopolitics and loss of stakeholder confidence can severely affect investment levels. International Energy Agency estimates that without capital investment, t</w:t>
      </w:r>
      <w:r w:rsidR="000E1D08">
        <w:t>he rate of decline in existing O</w:t>
      </w:r>
      <w:r w:rsidRPr="0035063B">
        <w:t>il a</w:t>
      </w:r>
      <w:r w:rsidR="000E1D08">
        <w:t>nd G</w:t>
      </w:r>
      <w:r w:rsidRPr="0035063B">
        <w:t xml:space="preserve">as fields would be 8% (International Energy Agency, 2020). A volatile oil price and </w:t>
      </w:r>
      <w:r>
        <w:t>mixed investor</w:t>
      </w:r>
      <w:r w:rsidRPr="0035063B">
        <w:t xml:space="preserve"> sentiment could cause oil, gas and coal assets to become 'stranded' whereby they will not generate desired returns before the end of their economic life (Farooquee, 2020).</w:t>
      </w:r>
    </w:p>
    <w:p w:rsidR="003D5D6E" w:rsidRDefault="0035063B" w:rsidP="003D5D6E">
      <w:pPr>
        <w:pStyle w:val="NewsletterBody"/>
      </w:pPr>
      <w:r w:rsidRPr="0035063B">
        <w:t>Energy transition may also present another challenge to this industry. Renewable technology is developing at a</w:t>
      </w:r>
      <w:r w:rsidR="00B44002">
        <w:t xml:space="preserve"> rate faster than the Oil and G</w:t>
      </w:r>
      <w:r w:rsidRPr="0035063B">
        <w:t xml:space="preserve">as industry. Offshore wind generation is increasing in viability, quoted prices for solar energy are dropping rapidly, and improved technology is equipping grid operators with the ability to deal with the surges in generation or demand (Abram, et al., 2020). Economies of scale and advancement </w:t>
      </w:r>
      <w:r w:rsidR="00BD3F82">
        <w:t xml:space="preserve">in </w:t>
      </w:r>
      <w:r>
        <w:t>technology enabling</w:t>
      </w:r>
      <w:r w:rsidRPr="0035063B">
        <w:t xml:space="preserve"> renewable</w:t>
      </w:r>
      <w:r>
        <w:t xml:space="preserve"> energy </w:t>
      </w:r>
      <w:r w:rsidRPr="0035063B">
        <w:t>will negatively af</w:t>
      </w:r>
      <w:r w:rsidR="00B44002">
        <w:t>fect Oil and G</w:t>
      </w:r>
      <w:r w:rsidRPr="0035063B">
        <w:t>as by drawing from its stake in the energy mix.</w:t>
      </w:r>
    </w:p>
    <w:p w:rsidR="003D5D6E" w:rsidRDefault="0035063B" w:rsidP="003D5D6E">
      <w:pPr>
        <w:pStyle w:val="NewsletterBody"/>
      </w:pPr>
      <w:r>
        <w:t xml:space="preserve">The </w:t>
      </w:r>
      <w:r w:rsidR="00B44002">
        <w:t>'Dual-Challenge' is flanking Oil and G</w:t>
      </w:r>
      <w:r w:rsidR="003D5D6E">
        <w:t xml:space="preserve">as companies, introducing cultural, social, political and environmental uncertainty, all of which carry </w:t>
      </w:r>
      <w:r>
        <w:t>a potentially</w:t>
      </w:r>
      <w:r w:rsidR="00743B1F">
        <w:t xml:space="preserve"> extreme impact. </w:t>
      </w:r>
    </w:p>
    <w:p w:rsidR="003D5D6E" w:rsidRDefault="00743B1F" w:rsidP="003D5D6E">
      <w:pPr>
        <w:pStyle w:val="NewsletterBody"/>
      </w:pPr>
      <w:r>
        <w:t xml:space="preserve">Where the 'Dual-Challenge </w:t>
      </w:r>
      <w:r w:rsidR="003D5D6E">
        <w:t xml:space="preserve">differs from other </w:t>
      </w:r>
      <w:r>
        <w:t>‘</w:t>
      </w:r>
      <w:r w:rsidR="003D5D6E">
        <w:t>Black Swan Events</w:t>
      </w:r>
      <w:r>
        <w:t>’</w:t>
      </w:r>
      <w:r w:rsidR="003D5D6E">
        <w:t>, is that, we have not perhaps realised the full extent o</w:t>
      </w:r>
      <w:r w:rsidR="00B44002">
        <w:t>f the impact. This statement is based on the</w:t>
      </w:r>
      <w:r>
        <w:t xml:space="preserve"> </w:t>
      </w:r>
      <w:r w:rsidR="00B44002">
        <w:t xml:space="preserve">potential </w:t>
      </w:r>
      <w:r>
        <w:t xml:space="preserve">impact if we continue on the current trajectory of ‘petromodernity’ (Heurtebise, 2020) </w:t>
      </w:r>
      <w:r w:rsidR="00B44002">
        <w:t xml:space="preserve">and </w:t>
      </w:r>
      <w:r>
        <w:t>the</w:t>
      </w:r>
      <w:r w:rsidR="003D5D6E">
        <w:t xml:space="preserve"> economic repercussions of an industry failure to act.</w:t>
      </w:r>
    </w:p>
    <w:p w:rsidR="003D5D6E" w:rsidRDefault="003D5D6E" w:rsidP="003D5D6E">
      <w:pPr>
        <w:pStyle w:val="NormalWeb"/>
        <w:spacing w:before="0" w:beforeAutospacing="0" w:after="0" w:afterAutospacing="0"/>
        <w:jc w:val="both"/>
        <w:rPr>
          <w:rStyle w:val="Strong"/>
          <w:color w:val="0E101A"/>
        </w:rPr>
      </w:pPr>
      <w:r>
        <w:rPr>
          <w:rStyle w:val="Strong"/>
          <w:color w:val="0E101A"/>
        </w:rPr>
        <w:t>Attribute three: Is it, or will it be, normalised after the fact?</w:t>
      </w:r>
    </w:p>
    <w:p w:rsidR="00743B1F" w:rsidRDefault="00743B1F" w:rsidP="003D5D6E">
      <w:pPr>
        <w:pStyle w:val="NormalWeb"/>
        <w:spacing w:before="0" w:beforeAutospacing="0" w:after="0" w:afterAutospacing="0"/>
        <w:jc w:val="both"/>
        <w:rPr>
          <w:rStyle w:val="Strong"/>
          <w:color w:val="0E101A"/>
        </w:rPr>
      </w:pPr>
    </w:p>
    <w:p w:rsidR="003D5D6E" w:rsidRPr="00AC3B6C" w:rsidRDefault="00743B1F" w:rsidP="003D5D6E">
      <w:pPr>
        <w:pStyle w:val="NormalWeb"/>
        <w:spacing w:before="0" w:beforeAutospacing="0" w:after="0" w:afterAutospacing="0"/>
        <w:jc w:val="both"/>
        <w:rPr>
          <w:color w:val="0E101A"/>
          <w:sz w:val="22"/>
        </w:rPr>
      </w:pPr>
      <w:r w:rsidRPr="00AC3B6C">
        <w:rPr>
          <w:color w:val="0E101A"/>
          <w:sz w:val="22"/>
        </w:rPr>
        <w:t>The trademarks of this attribute are hard to prove as we are in the midst of energy transition and 'Dual-Challenge' remains far from overcome.</w:t>
      </w:r>
    </w:p>
    <w:p w:rsidR="00743B1F" w:rsidRPr="00AC3B6C" w:rsidRDefault="00743B1F" w:rsidP="003D5D6E">
      <w:pPr>
        <w:pStyle w:val="NormalWeb"/>
        <w:spacing w:before="0" w:beforeAutospacing="0" w:after="0" w:afterAutospacing="0"/>
        <w:jc w:val="both"/>
        <w:rPr>
          <w:color w:val="0E101A"/>
          <w:sz w:val="22"/>
        </w:rPr>
      </w:pPr>
    </w:p>
    <w:p w:rsidR="003D5D6E" w:rsidRDefault="003D5D6E" w:rsidP="003D5D6E">
      <w:pPr>
        <w:pStyle w:val="NormalWeb"/>
        <w:spacing w:before="0" w:beforeAutospacing="0" w:after="0" w:afterAutospacing="0"/>
        <w:jc w:val="both"/>
        <w:rPr>
          <w:color w:val="0E101A"/>
        </w:rPr>
      </w:pPr>
      <w:r w:rsidRPr="00AC3B6C">
        <w:rPr>
          <w:color w:val="0E101A"/>
          <w:sz w:val="22"/>
        </w:rPr>
        <w:t>On the one hand, this article recognises that as a sustainability issue, the 'Dual-Challenge' is</w:t>
      </w:r>
      <w:r w:rsidR="00743B1F" w:rsidRPr="00AC3B6C">
        <w:rPr>
          <w:color w:val="0E101A"/>
          <w:sz w:val="22"/>
        </w:rPr>
        <w:t xml:space="preserve"> not an outlier and has</w:t>
      </w:r>
      <w:r w:rsidRPr="00AC3B6C">
        <w:rPr>
          <w:color w:val="0E101A"/>
          <w:sz w:val="22"/>
        </w:rPr>
        <w:t xml:space="preserve"> been presenting itself for some time. As a business challenge, it is already recognised and should, therefore be relatively easy to normalise. </w:t>
      </w:r>
    </w:p>
    <w:p w:rsidR="003D5D6E" w:rsidRDefault="003D5D6E" w:rsidP="003D5D6E">
      <w:pPr>
        <w:pStyle w:val="NormalWeb"/>
        <w:spacing w:before="0" w:beforeAutospacing="0" w:after="0" w:afterAutospacing="0"/>
        <w:jc w:val="both"/>
        <w:rPr>
          <w:color w:val="0E101A"/>
        </w:rPr>
      </w:pPr>
      <w:r>
        <w:rPr>
          <w:color w:val="0E101A"/>
        </w:rPr>
        <w:t> </w:t>
      </w:r>
    </w:p>
    <w:p w:rsidR="003D5D6E" w:rsidRDefault="003D5D6E" w:rsidP="003D5D6E">
      <w:pPr>
        <w:pStyle w:val="NewsletterBody"/>
      </w:pPr>
      <w:r>
        <w:rPr>
          <w:color w:val="0E101A"/>
        </w:rPr>
        <w:t xml:space="preserve">The 'Dual-Challenge' could </w:t>
      </w:r>
      <w:r w:rsidR="00FE6037">
        <w:rPr>
          <w:color w:val="0E101A"/>
        </w:rPr>
        <w:t>also be perceived</w:t>
      </w:r>
      <w:r>
        <w:rPr>
          <w:color w:val="0E101A"/>
        </w:rPr>
        <w:t xml:space="preserve"> as too </w:t>
      </w:r>
      <w:r w:rsidR="00FE6037">
        <w:rPr>
          <w:color w:val="0E101A"/>
        </w:rPr>
        <w:t>complex a model for a post-mortem to ever be performed.</w:t>
      </w:r>
      <w:r>
        <w:rPr>
          <w:color w:val="0E101A"/>
        </w:rPr>
        <w:t xml:space="preserve"> The task of meeting both perpetual global energy demands and iterative socio-political energy </w:t>
      </w:r>
      <w:r w:rsidR="00B44002">
        <w:rPr>
          <w:color w:val="0E101A"/>
        </w:rPr>
        <w:t>expectations</w:t>
      </w:r>
      <w:r>
        <w:rPr>
          <w:color w:val="0E101A"/>
        </w:rPr>
        <w:t xml:space="preserve"> may be something that is never</w:t>
      </w:r>
      <w:r w:rsidR="00FE6037">
        <w:rPr>
          <w:color w:val="0E101A"/>
        </w:rPr>
        <w:t xml:space="preserve"> achieved</w:t>
      </w:r>
      <w:r w:rsidR="001C4F17">
        <w:rPr>
          <w:color w:val="0E101A"/>
        </w:rPr>
        <w:t>.</w:t>
      </w:r>
      <w:r w:rsidR="00FE6037">
        <w:rPr>
          <w:color w:val="0E101A"/>
        </w:rPr>
        <w:t xml:space="preserve"> Therefore, it cannot be normalized. </w:t>
      </w:r>
    </w:p>
    <w:p w:rsidR="001C4F17" w:rsidRDefault="001C4F17" w:rsidP="001C4F17">
      <w:pPr>
        <w:pStyle w:val="NormalWeb"/>
        <w:spacing w:before="0" w:beforeAutospacing="0" w:after="0" w:afterAutospacing="0"/>
        <w:jc w:val="both"/>
        <w:rPr>
          <w:rStyle w:val="Strong"/>
          <w:color w:val="0E101A"/>
        </w:rPr>
      </w:pPr>
      <w:r>
        <w:rPr>
          <w:rStyle w:val="Strong"/>
          <w:color w:val="0E101A"/>
        </w:rPr>
        <w:t>A Black Swan or</w:t>
      </w:r>
      <w:r w:rsidRPr="001C4F17">
        <w:rPr>
          <w:rStyle w:val="Strong"/>
          <w:color w:val="0E101A"/>
        </w:rPr>
        <w:t xml:space="preserve"> the </w:t>
      </w:r>
      <w:r w:rsidR="00B44002">
        <w:rPr>
          <w:rStyle w:val="Strong"/>
          <w:color w:val="0E101A"/>
        </w:rPr>
        <w:t>‘</w:t>
      </w:r>
      <w:r w:rsidRPr="001C4F17">
        <w:rPr>
          <w:rStyle w:val="Strong"/>
          <w:color w:val="0E101A"/>
        </w:rPr>
        <w:t>elephant in the room</w:t>
      </w:r>
      <w:r w:rsidR="00B44002">
        <w:rPr>
          <w:rStyle w:val="Strong"/>
          <w:color w:val="0E101A"/>
        </w:rPr>
        <w:t>’</w:t>
      </w:r>
      <w:r w:rsidRPr="001C4F17">
        <w:rPr>
          <w:rStyle w:val="Strong"/>
          <w:color w:val="0E101A"/>
        </w:rPr>
        <w:t>?</w:t>
      </w:r>
    </w:p>
    <w:p w:rsidR="001C4F17" w:rsidRPr="001C4F17" w:rsidRDefault="001C4F17" w:rsidP="001C4F17">
      <w:pPr>
        <w:pStyle w:val="NormalWeb"/>
        <w:spacing w:before="0" w:beforeAutospacing="0" w:after="0" w:afterAutospacing="0"/>
        <w:jc w:val="both"/>
        <w:rPr>
          <w:rStyle w:val="Strong"/>
          <w:color w:val="0E101A"/>
        </w:rPr>
      </w:pPr>
    </w:p>
    <w:p w:rsidR="001C4F17" w:rsidRDefault="001C4F17" w:rsidP="001C4F17">
      <w:pPr>
        <w:pStyle w:val="NewsletterBody"/>
      </w:pPr>
      <w:r>
        <w:t>The 'Dual-Challenge' shares only one characteristic of a 'Black Swan Event'; in that, it h</w:t>
      </w:r>
      <w:r w:rsidR="00B44002">
        <w:t>as the potential to affect the Oil and G</w:t>
      </w:r>
      <w:r>
        <w:t xml:space="preserve">as industry significantly, should it fail to act or respond. The two other </w:t>
      </w:r>
      <w:r w:rsidR="00B44002">
        <w:t>attributes</w:t>
      </w:r>
      <w:r>
        <w:t xml:space="preserve"> of the analogy are less definitive than this.</w:t>
      </w:r>
    </w:p>
    <w:p w:rsidR="00FE6037" w:rsidRDefault="008D5222" w:rsidP="00FE6037">
      <w:pPr>
        <w:pStyle w:val="NewsletterBody"/>
      </w:pPr>
      <w:r>
        <w:t>A</w:t>
      </w:r>
      <w:r>
        <w:t xml:space="preserve">nother conclusion can be </w:t>
      </w:r>
      <w:r>
        <w:t>drawn when d</w:t>
      </w:r>
      <w:r w:rsidR="001C4F17">
        <w:t>ismantling the 'Dual-Challenge' usi</w:t>
      </w:r>
      <w:r>
        <w:t xml:space="preserve">ng the 'Black Swan Event' model. </w:t>
      </w:r>
      <w:r w:rsidR="00FE6037">
        <w:t xml:space="preserve">The 'Dual-Challenge' is more of a societal conundrum than a singular 'event' or industry </w:t>
      </w:r>
      <w:r>
        <w:t>problem</w:t>
      </w:r>
      <w:r w:rsidR="00FE6037">
        <w:t>. This conundr</w:t>
      </w:r>
      <w:r>
        <w:t>um does not merely require the Oil and G</w:t>
      </w:r>
      <w:r w:rsidR="00FE6037">
        <w:t>as industry</w:t>
      </w:r>
      <w:r>
        <w:t xml:space="preserve"> to</w:t>
      </w:r>
      <w:r w:rsidR="00FE6037">
        <w:t xml:space="preserve"> change from 'grey' to 'green' energy whilst supplying more. It is one of society's grandest challenges. </w:t>
      </w:r>
    </w:p>
    <w:p w:rsidR="00FE6037" w:rsidRDefault="00FE6037" w:rsidP="00FE6037">
      <w:pPr>
        <w:pStyle w:val="NewsletterBody"/>
      </w:pPr>
      <w:r>
        <w:t xml:space="preserve">Before anyone (let alone a business) can respond to the 'Dual-Challenge', </w:t>
      </w:r>
      <w:r w:rsidR="008D5222">
        <w:t xml:space="preserve">an </w:t>
      </w:r>
      <w:r>
        <w:t>understanding of the terms associated with energy transition and demand</w:t>
      </w:r>
      <w:r w:rsidR="008D5222">
        <w:t xml:space="preserve"> is required</w:t>
      </w:r>
      <w:r>
        <w:t>. This in itself is an epistemological, cultural and anthropological problem (Heurtebise, 2020)</w:t>
      </w:r>
      <w:r w:rsidR="008D5222">
        <w:t>,</w:t>
      </w:r>
      <w:r>
        <w:t xml:space="preserve"> that if solved today, may not be fit for purpose tomorrow.</w:t>
      </w:r>
      <w:r w:rsidRPr="00FE6037">
        <w:t xml:space="preserve"> </w:t>
      </w:r>
    </w:p>
    <w:p w:rsidR="003D5D6E" w:rsidRDefault="003A52FE" w:rsidP="003A52FE">
      <w:pPr>
        <w:pStyle w:val="NewsletterBody"/>
        <w:rPr>
          <w:noProof/>
          <w:lang w:val="en-GB" w:eastAsia="en-GB"/>
        </w:rPr>
      </w:pPr>
      <w:r>
        <w:rPr>
          <w:noProof/>
          <w:lang w:val="en-GB" w:eastAsia="en-GB"/>
        </w:rPr>
        <w:drawing>
          <wp:anchor distT="0" distB="0" distL="114300" distR="114300" simplePos="0" relativeHeight="251708416" behindDoc="1" locked="0" layoutInCell="1" allowOverlap="1">
            <wp:simplePos x="0" y="0"/>
            <wp:positionH relativeFrom="column">
              <wp:posOffset>1489075</wp:posOffset>
            </wp:positionH>
            <wp:positionV relativeFrom="paragraph">
              <wp:posOffset>859155</wp:posOffset>
            </wp:positionV>
            <wp:extent cx="1758950" cy="1282700"/>
            <wp:effectExtent l="0" t="0" r="0" b="0"/>
            <wp:wrapTight wrapText="bothSides">
              <wp:wrapPolygon edited="0">
                <wp:start x="0" y="0"/>
                <wp:lineTo x="0" y="21172"/>
                <wp:lineTo x="21288" y="21172"/>
                <wp:lineTo x="21288" y="0"/>
                <wp:lineTo x="0" y="0"/>
              </wp:wrapPolygon>
            </wp:wrapTight>
            <wp:docPr id="24" name="Video 24">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r:embed="rId13" cstate="print">
                      <a:extLst>
                        <a:ext uri="{28A0092B-C50C-407E-A947-70E740481C1C}">
                          <a14:useLocalDpi xmlns:a14="http://schemas.microsoft.com/office/drawing/2010/main" val="0"/>
                        </a:ext>
                        <a:ext uri="{C809E66F-F1BF-436E-b5F7-EEA9579F0CBA}">
                          <wp15:webVideoPr xmlns:wp15="http://schemas.microsoft.com/office/word/2012/wordprocessingDrawing" embeddedHtml="&lt;iframe id=&quot;ytplayer&quot; src=&quot;https://www.youtube.com/embed/DBBA2LAsepU&quot; frameborder=&quot;0&quot; type=&quot;text/html&quot; width=&quot;816&quot; height=&quot;480&quot; /&gt;" h="480" w="816"/>
                        </a:ext>
                      </a:extLst>
                    </a:blip>
                    <a:stretch>
                      <a:fillRect/>
                    </a:stretch>
                  </pic:blipFill>
                  <pic:spPr>
                    <a:xfrm>
                      <a:off x="0" y="0"/>
                      <a:ext cx="1758950" cy="1282700"/>
                    </a:xfrm>
                    <a:prstGeom prst="rect">
                      <a:avLst/>
                    </a:prstGeom>
                  </pic:spPr>
                </pic:pic>
              </a:graphicData>
            </a:graphic>
            <wp14:sizeRelH relativeFrom="margin">
              <wp14:pctWidth>0</wp14:pctWidth>
            </wp14:sizeRelH>
            <wp14:sizeRelV relativeFrom="margin">
              <wp14:pctHeight>0</wp14:pctHeight>
            </wp14:sizeRelV>
          </wp:anchor>
        </w:drawing>
      </w:r>
      <w:r w:rsidR="001C4F17">
        <w:t xml:space="preserve">A more accurate animal analogy is Michelle Wucker's 'Grey Rhino' (Wucker, 2019). The 'Dual-Challenge' is dangerous, visible and predictable for the industry. </w:t>
      </w:r>
      <w:r w:rsidR="00785D7B">
        <w:t>Oil and Gas</w:t>
      </w:r>
      <w:r>
        <w:t xml:space="preserve"> businesses</w:t>
      </w:r>
      <w:r w:rsidR="00785D7B">
        <w:t xml:space="preserve"> </w:t>
      </w:r>
      <w:r w:rsidR="001C4F17">
        <w:t>also ha</w:t>
      </w:r>
      <w:r>
        <w:t>ve</w:t>
      </w:r>
      <w:r w:rsidR="001C4F17">
        <w:t xml:space="preserve"> little control over </w:t>
      </w:r>
      <w:r w:rsidR="008D5222">
        <w:t>their</w:t>
      </w:r>
      <w:r w:rsidR="00342486">
        <w:t xml:space="preserve"> </w:t>
      </w:r>
      <w:r w:rsidR="00785D7B">
        <w:t>destiny</w:t>
      </w:r>
      <w:r w:rsidR="001C4F17">
        <w:t>,</w:t>
      </w:r>
      <w:r w:rsidR="00785D7B">
        <w:t xml:space="preserve"> which has</w:t>
      </w:r>
      <w:r w:rsidR="001C4F17">
        <w:t xml:space="preserve"> </w:t>
      </w:r>
      <w:r w:rsidR="00342486">
        <w:t>creat</w:t>
      </w:r>
      <w:r w:rsidR="00785D7B">
        <w:t>ed a dynamic of downplaying and ignoring the problem. Paralysis has set in, where the industry waits for</w:t>
      </w:r>
      <w:r>
        <w:t xml:space="preserve"> </w:t>
      </w:r>
      <w:r w:rsidR="00BD3F82">
        <w:t xml:space="preserve">some sort of </w:t>
      </w:r>
      <w:r>
        <w:t>change;</w:t>
      </w:r>
      <w:r w:rsidR="00785D7B">
        <w:t xml:space="preserve"> </w:t>
      </w:r>
      <w:r w:rsidR="00BD3F82">
        <w:t>whether this</w:t>
      </w:r>
      <w:r w:rsidR="00785D7B">
        <w:t xml:space="preserve"> </w:t>
      </w:r>
      <w:r w:rsidR="00BD3F82">
        <w:t>is the silver bullet in renewable</w:t>
      </w:r>
      <w:r w:rsidR="00785D7B">
        <w:t xml:space="preserve"> </w:t>
      </w:r>
      <w:r>
        <w:t xml:space="preserve">enabling </w:t>
      </w:r>
      <w:r w:rsidR="00785D7B">
        <w:t>technolog</w:t>
      </w:r>
      <w:r w:rsidR="00BD3F82">
        <w:t>y, a new business model</w:t>
      </w:r>
      <w:r w:rsidR="00785D7B">
        <w:t xml:space="preserve"> or the </w:t>
      </w:r>
      <w:r w:rsidR="00BD3F82">
        <w:t>proverbial…</w:t>
      </w:r>
      <w:r w:rsidR="00785D7B">
        <w:t xml:space="preserve">Whichever comes first.  </w:t>
      </w:r>
    </w:p>
    <w:p w:rsidR="00785D7B" w:rsidRDefault="00785D7B" w:rsidP="00AC3B6C">
      <w:pPr>
        <w:pStyle w:val="Caption"/>
        <w:ind w:firstLine="720"/>
        <w:jc w:val="both"/>
      </w:pPr>
      <w:r>
        <w:t xml:space="preserve">Figure </w:t>
      </w:r>
      <w:r>
        <w:fldChar w:fldCharType="begin"/>
      </w:r>
      <w:r>
        <w:instrText xml:space="preserve"> SEQ Figure \* ARABIC </w:instrText>
      </w:r>
      <w:r>
        <w:fldChar w:fldCharType="separate"/>
      </w:r>
      <w:r>
        <w:rPr>
          <w:noProof/>
        </w:rPr>
        <w:t>4</w:t>
      </w:r>
      <w:r>
        <w:fldChar w:fldCharType="end"/>
      </w:r>
      <w:r>
        <w:t xml:space="preserve"> Why we ignore obvious problems? (Wucker, 2019)</w:t>
      </w:r>
    </w:p>
    <w:p w:rsidR="00342486" w:rsidRDefault="00342486" w:rsidP="00785D7B">
      <w:pPr>
        <w:pStyle w:val="NewsletterBody"/>
      </w:pPr>
    </w:p>
    <w:p w:rsidR="00BD3F82" w:rsidRDefault="00BD3F82" w:rsidP="00785D7B">
      <w:pPr>
        <w:pStyle w:val="NewsletterBody"/>
      </w:pPr>
    </w:p>
    <w:p w:rsidR="003758C6" w:rsidRDefault="003758C6" w:rsidP="003758C6">
      <w:pPr>
        <w:pStyle w:val="Heading1"/>
      </w:pPr>
      <w:r>
        <w:lastRenderedPageBreak/>
        <w:t>References</w:t>
      </w:r>
    </w:p>
    <w:p w:rsidR="00FF4DDD" w:rsidRPr="00FF4DDD" w:rsidRDefault="00FF4DDD" w:rsidP="00FF4DDD"/>
    <w:sdt>
      <w:sdtPr>
        <w:id w:val="-573587230"/>
        <w:bibliography/>
      </w:sdtPr>
      <w:sdtEndPr>
        <w:rPr>
          <w:sz w:val="24"/>
          <w:szCs w:val="24"/>
          <w:lang w:val="en-US"/>
        </w:rPr>
      </w:sdtEndPr>
      <w:sdtContent>
        <w:p w:rsidR="00223FB4" w:rsidRDefault="003758C6" w:rsidP="00223FB4">
          <w:pPr>
            <w:pStyle w:val="Bibliography"/>
            <w:rPr>
              <w:noProof/>
              <w:sz w:val="24"/>
              <w:szCs w:val="24"/>
              <w:lang w:val="en-US"/>
            </w:rPr>
          </w:pPr>
          <w:r>
            <w:fldChar w:fldCharType="begin"/>
          </w:r>
          <w:r>
            <w:instrText xml:space="preserve"> BIBLIOGRAPHY </w:instrText>
          </w:r>
          <w:r>
            <w:fldChar w:fldCharType="separate"/>
          </w:r>
          <w:r w:rsidR="00223FB4">
            <w:rPr>
              <w:noProof/>
              <w:lang w:val="en-US"/>
            </w:rPr>
            <w:t xml:space="preserve">Abram, S., Horsfall, A. &amp; Crossland, A., 2020. </w:t>
          </w:r>
          <w:r w:rsidR="00223FB4">
            <w:rPr>
              <w:i/>
              <w:iCs/>
              <w:noProof/>
              <w:lang w:val="en-US"/>
            </w:rPr>
            <w:t xml:space="preserve">‘Decarbonisation’ may be the wrong goal for energy – here’s why. </w:t>
          </w:r>
          <w:r w:rsidR="00223FB4">
            <w:rPr>
              <w:noProof/>
              <w:lang w:val="en-US"/>
            </w:rPr>
            <w:t xml:space="preserve">[Online] </w:t>
          </w:r>
          <w:r w:rsidR="00223FB4">
            <w:rPr>
              <w:noProof/>
              <w:lang w:val="en-US"/>
            </w:rPr>
            <w:br/>
            <w:t xml:space="preserve">Available at: </w:t>
          </w:r>
          <w:r w:rsidR="00223FB4">
            <w:rPr>
              <w:noProof/>
              <w:u w:val="single"/>
              <w:lang w:val="en-US"/>
            </w:rPr>
            <w:t>https://theconversation.com/decarbonisation-may-be-the-wrong-goal-for-energy-heres-why-148388</w:t>
          </w:r>
          <w:r w:rsidR="00223FB4">
            <w:rPr>
              <w:noProof/>
              <w:lang w:val="en-US"/>
            </w:rPr>
            <w:br/>
            <w:t>[Accessed 3 Nov 2020].</w:t>
          </w:r>
        </w:p>
        <w:p w:rsidR="00223FB4" w:rsidRDefault="00223FB4" w:rsidP="00223FB4">
          <w:pPr>
            <w:pStyle w:val="Bibliography"/>
            <w:rPr>
              <w:noProof/>
              <w:lang w:val="en-US"/>
            </w:rPr>
          </w:pPr>
          <w:r>
            <w:rPr>
              <w:noProof/>
              <w:lang w:val="en-US"/>
            </w:rPr>
            <w:t xml:space="preserve">Alvik, S. &amp; Irvine, M., 2020. </w:t>
          </w:r>
          <w:r>
            <w:rPr>
              <w:i/>
              <w:iCs/>
              <w:noProof/>
              <w:lang w:val="en-US"/>
            </w:rPr>
            <w:t xml:space="preserve">THE IMPACT OF COVID-19 ON THE ENERGY TRANSITION. </w:t>
          </w:r>
          <w:r>
            <w:rPr>
              <w:noProof/>
              <w:lang w:val="en-US"/>
            </w:rPr>
            <w:t xml:space="preserve">[Online] </w:t>
          </w:r>
          <w:r>
            <w:rPr>
              <w:noProof/>
              <w:lang w:val="en-US"/>
            </w:rPr>
            <w:br/>
            <w:t xml:space="preserve">Available at: </w:t>
          </w:r>
          <w:r>
            <w:rPr>
              <w:noProof/>
              <w:u w:val="single"/>
              <w:lang w:val="en-US"/>
            </w:rPr>
            <w:t>https://www.dnvgl.com/energy-transition/impact-of-covid19-on-the-energy-transition.html#start</w:t>
          </w:r>
          <w:r>
            <w:rPr>
              <w:noProof/>
              <w:lang w:val="en-US"/>
            </w:rPr>
            <w:br/>
            <w:t>[Accessed 5 Nov 2020].</w:t>
          </w:r>
        </w:p>
        <w:p w:rsidR="00223FB4" w:rsidRDefault="00223FB4" w:rsidP="00223FB4">
          <w:pPr>
            <w:pStyle w:val="Bibliography"/>
            <w:rPr>
              <w:noProof/>
              <w:lang w:val="en-US"/>
            </w:rPr>
          </w:pPr>
          <w:r>
            <w:rPr>
              <w:noProof/>
              <w:lang w:val="en-US"/>
            </w:rPr>
            <w:t xml:space="preserve">Ambrose, J., 2020.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https://www.theguardian.com/business/2020/apr/20/over-a-barrel-how-oil-prices-dropped-below-zero#:%7E:text=US%20oil%20prices%20turned%20negative,the%20fastest%20plunge%20in%20history.</w:t>
          </w:r>
          <w:r>
            <w:rPr>
              <w:noProof/>
              <w:lang w:val="en-US"/>
            </w:rPr>
            <w:br/>
            <w:t>[Accessed 31 October 2020].</w:t>
          </w:r>
        </w:p>
        <w:p w:rsidR="00223FB4" w:rsidRDefault="00223FB4" w:rsidP="00223FB4">
          <w:pPr>
            <w:pStyle w:val="Bibliography"/>
            <w:rPr>
              <w:noProof/>
              <w:lang w:val="en-US"/>
            </w:rPr>
          </w:pPr>
          <w:r>
            <w:rPr>
              <w:noProof/>
              <w:lang w:val="en-US"/>
            </w:rPr>
            <w:t xml:space="preserve">Anon., 2019. </w:t>
          </w:r>
          <w:r>
            <w:rPr>
              <w:i/>
              <w:iCs/>
              <w:noProof/>
              <w:lang w:val="en-US"/>
            </w:rPr>
            <w:t xml:space="preserve">Top ten companies by oil production. </w:t>
          </w:r>
          <w:r>
            <w:rPr>
              <w:noProof/>
              <w:lang w:val="en-US"/>
            </w:rPr>
            <w:t xml:space="preserve">[Online] </w:t>
          </w:r>
          <w:r>
            <w:rPr>
              <w:noProof/>
              <w:lang w:val="en-US"/>
            </w:rPr>
            <w:br/>
            <w:t xml:space="preserve">Available at: </w:t>
          </w:r>
          <w:r>
            <w:rPr>
              <w:noProof/>
              <w:u w:val="single"/>
              <w:lang w:val="en-US"/>
            </w:rPr>
            <w:t>https://www.offshore-technology.com/features/companies-by-oil-production/</w:t>
          </w:r>
          <w:r>
            <w:rPr>
              <w:noProof/>
              <w:lang w:val="en-US"/>
            </w:rPr>
            <w:br/>
            <w:t>[Accessed 31 October 2020].</w:t>
          </w:r>
        </w:p>
        <w:p w:rsidR="00223FB4" w:rsidRDefault="00223FB4" w:rsidP="00223FB4">
          <w:pPr>
            <w:pStyle w:val="Bibliography"/>
            <w:rPr>
              <w:noProof/>
              <w:lang w:val="en-US"/>
            </w:rPr>
          </w:pPr>
          <w:r>
            <w:rPr>
              <w:noProof/>
              <w:lang w:val="en-US"/>
            </w:rPr>
            <w:t xml:space="preserve">BBC, 2020. </w:t>
          </w:r>
          <w:r>
            <w:rPr>
              <w:i/>
              <w:iCs/>
              <w:noProof/>
              <w:lang w:val="en-US"/>
            </w:rPr>
            <w:t xml:space="preserve">BP faces hit of up to $17.5bn as it forecasts lower oil prices. </w:t>
          </w:r>
          <w:r>
            <w:rPr>
              <w:noProof/>
              <w:lang w:val="en-US"/>
            </w:rPr>
            <w:t xml:space="preserve">[Online] </w:t>
          </w:r>
          <w:r>
            <w:rPr>
              <w:noProof/>
              <w:lang w:val="en-US"/>
            </w:rPr>
            <w:br/>
            <w:t xml:space="preserve">Available at: </w:t>
          </w:r>
          <w:r>
            <w:rPr>
              <w:noProof/>
              <w:u w:val="single"/>
              <w:lang w:val="en-US"/>
            </w:rPr>
            <w:t>https://www.bbc.co.uk/news/business-53047894</w:t>
          </w:r>
          <w:r>
            <w:rPr>
              <w:noProof/>
              <w:lang w:val="en-US"/>
            </w:rPr>
            <w:br/>
            <w:t>[Accessed 03 November 2020].</w:t>
          </w:r>
        </w:p>
        <w:p w:rsidR="00223FB4" w:rsidRDefault="00223FB4" w:rsidP="00223FB4">
          <w:pPr>
            <w:pStyle w:val="Bibliography"/>
            <w:rPr>
              <w:noProof/>
              <w:lang w:val="en-US"/>
            </w:rPr>
          </w:pPr>
          <w:r>
            <w:rPr>
              <w:noProof/>
              <w:lang w:val="en-US"/>
            </w:rPr>
            <w:t xml:space="preserve">BP, 2018. </w:t>
          </w:r>
          <w:r>
            <w:rPr>
              <w:i/>
              <w:iCs/>
              <w:noProof/>
              <w:lang w:val="en-US"/>
            </w:rPr>
            <w:t xml:space="preserve">Advancing the Energy Transition, </w:t>
          </w:r>
          <w:r>
            <w:rPr>
              <w:noProof/>
              <w:lang w:val="en-US"/>
            </w:rPr>
            <w:t>London: BP P.L.C.</w:t>
          </w:r>
        </w:p>
        <w:p w:rsidR="00223FB4" w:rsidRDefault="00223FB4" w:rsidP="00223FB4">
          <w:pPr>
            <w:pStyle w:val="Bibliography"/>
            <w:rPr>
              <w:noProof/>
              <w:lang w:val="en-US"/>
            </w:rPr>
          </w:pPr>
          <w:r>
            <w:rPr>
              <w:noProof/>
              <w:lang w:val="en-US"/>
            </w:rPr>
            <w:t xml:space="preserve">Corrigan, J., 2020. </w:t>
          </w:r>
          <w:r>
            <w:rPr>
              <w:i/>
              <w:iCs/>
              <w:noProof/>
              <w:lang w:val="en-US"/>
            </w:rPr>
            <w:t xml:space="preserve">PWC United States. </w:t>
          </w:r>
          <w:r>
            <w:rPr>
              <w:noProof/>
              <w:lang w:val="en-US"/>
            </w:rPr>
            <w:t xml:space="preserve">[Online] </w:t>
          </w:r>
          <w:r>
            <w:rPr>
              <w:noProof/>
              <w:lang w:val="en-US"/>
            </w:rPr>
            <w:br/>
            <w:t xml:space="preserve">Available at: </w:t>
          </w:r>
          <w:r>
            <w:rPr>
              <w:noProof/>
              <w:u w:val="single"/>
              <w:lang w:val="en-US"/>
            </w:rPr>
            <w:t>https://www.pwc.com/us/en/industries/energy-utilities-mining/library/covid-19-impact-on-oil-field-services.html</w:t>
          </w:r>
          <w:r>
            <w:rPr>
              <w:noProof/>
              <w:lang w:val="en-US"/>
            </w:rPr>
            <w:br/>
            <w:t>[Accessed 31 October 2020].</w:t>
          </w:r>
        </w:p>
        <w:p w:rsidR="00223FB4" w:rsidRDefault="00223FB4" w:rsidP="00223FB4">
          <w:pPr>
            <w:pStyle w:val="Bibliography"/>
            <w:rPr>
              <w:noProof/>
              <w:lang w:val="en-US"/>
            </w:rPr>
          </w:pPr>
          <w:r>
            <w:rPr>
              <w:noProof/>
              <w:lang w:val="en-US"/>
            </w:rPr>
            <w:t xml:space="preserve">Daggett, C., 2018. Petro-masculinity: Fossil Fuels and Authoritarian Desire. </w:t>
          </w:r>
          <w:r>
            <w:rPr>
              <w:i/>
              <w:iCs/>
              <w:noProof/>
              <w:lang w:val="en-US"/>
            </w:rPr>
            <w:t xml:space="preserve">Journal of International Studies, </w:t>
          </w:r>
          <w:r>
            <w:rPr>
              <w:noProof/>
              <w:lang w:val="en-US"/>
            </w:rPr>
            <w:t>1(47), pp. 25 - 44.</w:t>
          </w:r>
        </w:p>
        <w:p w:rsidR="00223FB4" w:rsidRDefault="00223FB4" w:rsidP="00223FB4">
          <w:pPr>
            <w:pStyle w:val="Bibliography"/>
            <w:rPr>
              <w:noProof/>
              <w:lang w:val="en-US"/>
            </w:rPr>
          </w:pPr>
          <w:r>
            <w:rPr>
              <w:noProof/>
              <w:lang w:val="en-US"/>
            </w:rPr>
            <w:t xml:space="preserve">Du Pisani, J., 2006. Sustainable Development - Historical Roots of the Concept. </w:t>
          </w:r>
          <w:r>
            <w:rPr>
              <w:i/>
              <w:iCs/>
              <w:noProof/>
              <w:lang w:val="en-US"/>
            </w:rPr>
            <w:t xml:space="preserve">Environ. Sci, </w:t>
          </w:r>
          <w:r>
            <w:rPr>
              <w:noProof/>
              <w:lang w:val="en-US"/>
            </w:rPr>
            <w:t>pp. 86-96.</w:t>
          </w:r>
        </w:p>
        <w:p w:rsidR="00223FB4" w:rsidRDefault="00223FB4" w:rsidP="00223FB4">
          <w:pPr>
            <w:pStyle w:val="Bibliography"/>
            <w:rPr>
              <w:noProof/>
              <w:lang w:val="en-US"/>
            </w:rPr>
          </w:pPr>
          <w:r>
            <w:rPr>
              <w:noProof/>
              <w:lang w:val="en-US"/>
            </w:rPr>
            <w:t xml:space="preserve">Exxon Mobil, 2020. </w:t>
          </w:r>
          <w:r>
            <w:rPr>
              <w:i/>
              <w:iCs/>
              <w:noProof/>
              <w:lang w:val="en-US"/>
            </w:rPr>
            <w:t xml:space="preserve">2020 Energy &amp; Carbon Summary, </w:t>
          </w:r>
          <w:r>
            <w:rPr>
              <w:noProof/>
              <w:lang w:val="en-US"/>
            </w:rPr>
            <w:t>Texas: Exxon Mobil.</w:t>
          </w:r>
        </w:p>
        <w:p w:rsidR="00223FB4" w:rsidRDefault="00223FB4" w:rsidP="00223FB4">
          <w:pPr>
            <w:pStyle w:val="Bibliography"/>
            <w:rPr>
              <w:noProof/>
              <w:lang w:val="en-US"/>
            </w:rPr>
          </w:pPr>
          <w:r>
            <w:rPr>
              <w:noProof/>
              <w:lang w:val="en-US"/>
            </w:rPr>
            <w:t xml:space="preserve">Farooquee, A. A., 2020. The Covid crisis will delay but not derail the energy transition. </w:t>
          </w:r>
          <w:r>
            <w:rPr>
              <w:i/>
              <w:iCs/>
              <w:noProof/>
              <w:lang w:val="en-US"/>
            </w:rPr>
            <w:t>London School of Economics Business Review</w:t>
          </w:r>
          <w:r>
            <w:rPr>
              <w:noProof/>
              <w:lang w:val="en-US"/>
            </w:rPr>
            <w:t xml:space="preserve">, 11 May. </w:t>
          </w:r>
        </w:p>
        <w:p w:rsidR="00223FB4" w:rsidRDefault="00223FB4" w:rsidP="00223FB4">
          <w:pPr>
            <w:pStyle w:val="Bibliography"/>
            <w:rPr>
              <w:noProof/>
              <w:lang w:val="en-US"/>
            </w:rPr>
          </w:pPr>
          <w:r>
            <w:rPr>
              <w:noProof/>
              <w:lang w:val="en-US"/>
            </w:rPr>
            <w:t xml:space="preserve">Hayes, M., 2018. </w:t>
          </w:r>
          <w:r>
            <w:rPr>
              <w:i/>
              <w:iCs/>
              <w:noProof/>
              <w:lang w:val="en-US"/>
            </w:rPr>
            <w:t xml:space="preserve">New drivers of the renewable energy transition. </w:t>
          </w:r>
          <w:r>
            <w:rPr>
              <w:noProof/>
              <w:lang w:val="en-US"/>
            </w:rPr>
            <w:t xml:space="preserve">[Online] </w:t>
          </w:r>
          <w:r>
            <w:rPr>
              <w:noProof/>
              <w:lang w:val="en-US"/>
            </w:rPr>
            <w:br/>
            <w:t xml:space="preserve">Available at: </w:t>
          </w:r>
          <w:r>
            <w:rPr>
              <w:noProof/>
              <w:u w:val="single"/>
              <w:lang w:val="en-US"/>
            </w:rPr>
            <w:t>https://home.kpmg/xx/en/home/insights/2018/04/new-drivers-of-the-renewable-energy-transition.html</w:t>
          </w:r>
          <w:r>
            <w:rPr>
              <w:noProof/>
              <w:lang w:val="en-US"/>
            </w:rPr>
            <w:br/>
            <w:t>[Accessed 31 October 2020].</w:t>
          </w:r>
        </w:p>
        <w:p w:rsidR="00223FB4" w:rsidRDefault="00223FB4" w:rsidP="00223FB4">
          <w:pPr>
            <w:pStyle w:val="Bibliography"/>
            <w:rPr>
              <w:noProof/>
              <w:lang w:val="en-US"/>
            </w:rPr>
          </w:pPr>
          <w:r>
            <w:rPr>
              <w:noProof/>
              <w:lang w:val="en-US"/>
            </w:rPr>
            <w:t xml:space="preserve">Heurtebise, J.-Y., 2020. Philosophy of energy and energy transition in the age of the petro-Anthropocene. </w:t>
          </w:r>
          <w:r>
            <w:rPr>
              <w:i/>
              <w:iCs/>
              <w:noProof/>
              <w:lang w:val="en-US"/>
            </w:rPr>
            <w:t xml:space="preserve">The Journal of World Energy Law &amp; Business, </w:t>
          </w:r>
          <w:r>
            <w:rPr>
              <w:noProof/>
              <w:lang w:val="en-US"/>
            </w:rPr>
            <w:t>13(2), pp. 100-113.</w:t>
          </w:r>
        </w:p>
        <w:p w:rsidR="00223FB4" w:rsidRDefault="00223FB4" w:rsidP="00223FB4">
          <w:pPr>
            <w:pStyle w:val="Bibliography"/>
            <w:rPr>
              <w:noProof/>
              <w:lang w:val="en-US"/>
            </w:rPr>
          </w:pPr>
          <w:r>
            <w:rPr>
              <w:noProof/>
              <w:lang w:val="en-US"/>
            </w:rPr>
            <w:t xml:space="preserve">HM Government, 2011. </w:t>
          </w:r>
          <w:r>
            <w:rPr>
              <w:i/>
              <w:iCs/>
              <w:noProof/>
              <w:lang w:val="en-US"/>
            </w:rPr>
            <w:t xml:space="preserve">The Carbon Plan: Delivering our low carbon future, </w:t>
          </w:r>
          <w:r>
            <w:rPr>
              <w:noProof/>
              <w:lang w:val="en-US"/>
            </w:rPr>
            <w:t>London: Office of Publications.</w:t>
          </w:r>
        </w:p>
        <w:p w:rsidR="00223FB4" w:rsidRDefault="00223FB4" w:rsidP="00223FB4">
          <w:pPr>
            <w:pStyle w:val="Bibliography"/>
            <w:rPr>
              <w:noProof/>
              <w:lang w:val="en-US"/>
            </w:rPr>
          </w:pPr>
          <w:r>
            <w:rPr>
              <w:noProof/>
              <w:lang w:val="en-US"/>
            </w:rPr>
            <w:t xml:space="preserve">International Energy Agency, 2020. </w:t>
          </w:r>
          <w:r>
            <w:rPr>
              <w:i/>
              <w:iCs/>
              <w:noProof/>
              <w:lang w:val="en-US"/>
            </w:rPr>
            <w:t xml:space="preserve">The Oil and Gas Industry in Energy Transitions, </w:t>
          </w:r>
          <w:r>
            <w:rPr>
              <w:noProof/>
              <w:lang w:val="en-US"/>
            </w:rPr>
            <w:t>s.l.: International Energy Agency.</w:t>
          </w:r>
        </w:p>
        <w:p w:rsidR="00223FB4" w:rsidRDefault="00223FB4" w:rsidP="00223FB4">
          <w:pPr>
            <w:pStyle w:val="Bibliography"/>
            <w:rPr>
              <w:noProof/>
              <w:lang w:val="en-US"/>
            </w:rPr>
          </w:pPr>
          <w:r>
            <w:rPr>
              <w:noProof/>
              <w:lang w:val="en-US"/>
            </w:rPr>
            <w:t xml:space="preserve">Keane, K., 2020. </w:t>
          </w:r>
          <w:r>
            <w:rPr>
              <w:i/>
              <w:iCs/>
              <w:noProof/>
              <w:lang w:val="en-US"/>
            </w:rPr>
            <w:t xml:space="preserve">Coronavirus: 'Thousands' of North Sea oil and gas jobs under threat, </w:t>
          </w:r>
          <w:r>
            <w:rPr>
              <w:noProof/>
              <w:lang w:val="en-US"/>
            </w:rPr>
            <w:t>s.l.: BBC Scotland.</w:t>
          </w:r>
        </w:p>
        <w:p w:rsidR="00223FB4" w:rsidRDefault="00223FB4" w:rsidP="00223FB4">
          <w:pPr>
            <w:pStyle w:val="Bibliography"/>
            <w:rPr>
              <w:noProof/>
              <w:lang w:val="en-US"/>
            </w:rPr>
          </w:pPr>
          <w:r>
            <w:rPr>
              <w:noProof/>
              <w:lang w:val="en-US"/>
            </w:rPr>
            <w:t xml:space="preserve">Lenferna, A., 2019. </w:t>
          </w:r>
          <w:r>
            <w:rPr>
              <w:i/>
              <w:iCs/>
              <w:noProof/>
              <w:lang w:val="en-US"/>
            </w:rPr>
            <w:t xml:space="preserve">Vast subsidies keeping the fossil fuel industry afloat should be put to better use. </w:t>
          </w:r>
          <w:r>
            <w:rPr>
              <w:noProof/>
              <w:lang w:val="en-US"/>
            </w:rPr>
            <w:t xml:space="preserve">[Online] </w:t>
          </w:r>
          <w:r>
            <w:rPr>
              <w:noProof/>
              <w:lang w:val="en-US"/>
            </w:rPr>
            <w:br/>
            <w:t xml:space="preserve">Available at: </w:t>
          </w:r>
          <w:r>
            <w:rPr>
              <w:noProof/>
              <w:u w:val="single"/>
              <w:lang w:val="en-US"/>
            </w:rPr>
            <w:t>https://theconversation.com/vast-subsidies-keeping-the-fossil-fuel-industry-afloat-should-be-put-to-better-use-119954</w:t>
          </w:r>
          <w:r>
            <w:rPr>
              <w:noProof/>
              <w:lang w:val="en-US"/>
            </w:rPr>
            <w:br/>
            <w:t>[Accessed 03 Nov 2020].</w:t>
          </w:r>
        </w:p>
        <w:p w:rsidR="00223FB4" w:rsidRDefault="00223FB4" w:rsidP="00223FB4">
          <w:pPr>
            <w:pStyle w:val="Bibliography"/>
            <w:rPr>
              <w:noProof/>
              <w:lang w:val="en-US"/>
            </w:rPr>
          </w:pPr>
          <w:r>
            <w:rPr>
              <w:noProof/>
              <w:lang w:val="en-US"/>
            </w:rPr>
            <w:t xml:space="preserve">Shell, 2018. </w:t>
          </w:r>
          <w:r>
            <w:rPr>
              <w:i/>
              <w:iCs/>
              <w:noProof/>
              <w:lang w:val="en-US"/>
            </w:rPr>
            <w:t xml:space="preserve">Shell Energy Transition Report, </w:t>
          </w:r>
          <w:r>
            <w:rPr>
              <w:noProof/>
              <w:lang w:val="en-US"/>
            </w:rPr>
            <w:t>s.l.: Dutch Shell P.L.C.</w:t>
          </w:r>
        </w:p>
        <w:p w:rsidR="00223FB4" w:rsidRDefault="00223FB4" w:rsidP="00223FB4">
          <w:pPr>
            <w:pStyle w:val="Bibliography"/>
            <w:rPr>
              <w:noProof/>
              <w:lang w:val="en-US"/>
            </w:rPr>
          </w:pPr>
          <w:r>
            <w:rPr>
              <w:noProof/>
              <w:lang w:val="en-US"/>
            </w:rPr>
            <w:t xml:space="preserve">Shojaeddini, E. N. S. &amp; Ladislaw, S., 2019. Oil and gas company strategies regarding the energy transition. </w:t>
          </w:r>
          <w:r>
            <w:rPr>
              <w:i/>
              <w:iCs/>
              <w:noProof/>
              <w:lang w:val="en-US"/>
            </w:rPr>
            <w:t xml:space="preserve">Progress in Energy, </w:t>
          </w:r>
          <w:r>
            <w:rPr>
              <w:noProof/>
              <w:lang w:val="en-US"/>
            </w:rPr>
            <w:t>1(1), p. 2.</w:t>
          </w:r>
        </w:p>
        <w:p w:rsidR="00223FB4" w:rsidRDefault="00223FB4" w:rsidP="00223FB4">
          <w:pPr>
            <w:pStyle w:val="Bibliography"/>
            <w:rPr>
              <w:noProof/>
              <w:lang w:val="en-US"/>
            </w:rPr>
          </w:pPr>
          <w:r>
            <w:rPr>
              <w:noProof/>
              <w:lang w:val="en-US"/>
            </w:rPr>
            <w:t xml:space="preserve">Sunganthi, L. &amp; Samual, A., 2011. Energy Models for demand forecasting - a review. </w:t>
          </w:r>
          <w:r>
            <w:rPr>
              <w:i/>
              <w:iCs/>
              <w:noProof/>
              <w:lang w:val="en-US"/>
            </w:rPr>
            <w:t xml:space="preserve">Renewable and </w:t>
          </w:r>
          <w:r>
            <w:rPr>
              <w:i/>
              <w:iCs/>
              <w:noProof/>
              <w:lang w:val="en-US"/>
            </w:rPr>
            <w:lastRenderedPageBreak/>
            <w:t xml:space="preserve">Sustainable Energy Reviews, </w:t>
          </w:r>
          <w:r>
            <w:rPr>
              <w:noProof/>
              <w:lang w:val="en-US"/>
            </w:rPr>
            <w:t>Volume 16, pp. 1223 - 1240.</w:t>
          </w:r>
        </w:p>
        <w:p w:rsidR="00223FB4" w:rsidRDefault="00223FB4" w:rsidP="00223FB4">
          <w:pPr>
            <w:pStyle w:val="Bibliography"/>
            <w:rPr>
              <w:noProof/>
              <w:lang w:val="en-US"/>
            </w:rPr>
          </w:pPr>
          <w:r>
            <w:rPr>
              <w:noProof/>
              <w:lang w:val="en-US"/>
            </w:rPr>
            <w:t xml:space="preserve">Taleb, N. N., 2007. </w:t>
          </w:r>
          <w:r>
            <w:rPr>
              <w:i/>
              <w:iCs/>
              <w:noProof/>
              <w:lang w:val="en-US"/>
            </w:rPr>
            <w:t xml:space="preserve">Black Swan: the impact of Highly Improbable. </w:t>
          </w:r>
          <w:r>
            <w:rPr>
              <w:noProof/>
              <w:lang w:val="en-US"/>
            </w:rPr>
            <w:t>1st ed. s.l.:Random House.</w:t>
          </w:r>
        </w:p>
        <w:p w:rsidR="00223FB4" w:rsidRDefault="00223FB4" w:rsidP="00223FB4">
          <w:pPr>
            <w:pStyle w:val="Bibliography"/>
            <w:rPr>
              <w:noProof/>
              <w:lang w:val="en-US"/>
            </w:rPr>
          </w:pPr>
          <w:r>
            <w:rPr>
              <w:noProof/>
              <w:lang w:val="en-US"/>
            </w:rPr>
            <w:t xml:space="preserve">The Oxford Institute for Energy Studies, 2019. </w:t>
          </w:r>
          <w:r>
            <w:rPr>
              <w:i/>
              <w:iCs/>
              <w:noProof/>
              <w:lang w:val="en-US"/>
            </w:rPr>
            <w:t xml:space="preserve">The Energy Transition and, </w:t>
          </w:r>
          <w:r>
            <w:rPr>
              <w:noProof/>
              <w:lang w:val="en-US"/>
            </w:rPr>
            <w:t>London: University of Oxford.</w:t>
          </w:r>
        </w:p>
        <w:p w:rsidR="00223FB4" w:rsidRDefault="00223FB4" w:rsidP="00223FB4">
          <w:pPr>
            <w:pStyle w:val="Bibliography"/>
            <w:rPr>
              <w:noProof/>
              <w:lang w:val="en-US"/>
            </w:rPr>
          </w:pPr>
          <w:r>
            <w:rPr>
              <w:noProof/>
              <w:lang w:val="en-US"/>
            </w:rPr>
            <w:t xml:space="preserve">U.S Department of Energy, 2018. </w:t>
          </w:r>
          <w:r>
            <w:rPr>
              <w:i/>
              <w:iCs/>
              <w:noProof/>
              <w:lang w:val="en-US"/>
            </w:rPr>
            <w:t xml:space="preserve">2018 Wind Technologies Market Report, </w:t>
          </w:r>
          <w:r>
            <w:rPr>
              <w:noProof/>
              <w:lang w:val="en-US"/>
            </w:rPr>
            <w:t>Oak Ridge: U.S Department of Energy.</w:t>
          </w:r>
        </w:p>
        <w:p w:rsidR="00223FB4" w:rsidRDefault="00223FB4" w:rsidP="00223FB4">
          <w:pPr>
            <w:pStyle w:val="Bibliography"/>
            <w:rPr>
              <w:noProof/>
              <w:lang w:val="en-US"/>
            </w:rPr>
          </w:pPr>
          <w:r>
            <w:rPr>
              <w:noProof/>
              <w:lang w:val="en-US"/>
            </w:rPr>
            <w:t xml:space="preserve">United Nations, n.d. </w:t>
          </w:r>
          <w:r>
            <w:rPr>
              <w:i/>
              <w:iCs/>
              <w:noProof/>
              <w:lang w:val="en-US"/>
            </w:rPr>
            <w:t xml:space="preserve">Ensure access to affordable, reliable, sustainable and modern energy. </w:t>
          </w:r>
          <w:r>
            <w:rPr>
              <w:noProof/>
              <w:lang w:val="en-US"/>
            </w:rPr>
            <w:t xml:space="preserve">[Online] </w:t>
          </w:r>
          <w:r>
            <w:rPr>
              <w:noProof/>
              <w:lang w:val="en-US"/>
            </w:rPr>
            <w:br/>
            <w:t xml:space="preserve">Available at: </w:t>
          </w:r>
          <w:r>
            <w:rPr>
              <w:noProof/>
              <w:u w:val="single"/>
              <w:lang w:val="en-US"/>
            </w:rPr>
            <w:t>https://www.un.org/sustainabledevelopment/energy/</w:t>
          </w:r>
          <w:r>
            <w:rPr>
              <w:noProof/>
              <w:lang w:val="en-US"/>
            </w:rPr>
            <w:br/>
            <w:t>[Accessed 02 Nov 2020].</w:t>
          </w:r>
        </w:p>
        <w:p w:rsidR="00223FB4" w:rsidRDefault="00223FB4" w:rsidP="00223FB4">
          <w:pPr>
            <w:pStyle w:val="Bibliography"/>
            <w:rPr>
              <w:noProof/>
              <w:lang w:val="en-US"/>
            </w:rPr>
          </w:pPr>
          <w:r>
            <w:rPr>
              <w:noProof/>
              <w:lang w:val="en-US"/>
            </w:rPr>
            <w:t xml:space="preserve">van Ruijven, B. &amp; De Cian, E. W. I. S., 2019. Amplification of future energy demand growth due to climate change. </w:t>
          </w:r>
          <w:r>
            <w:rPr>
              <w:i/>
              <w:iCs/>
              <w:noProof/>
              <w:lang w:val="en-US"/>
            </w:rPr>
            <w:t xml:space="preserve">Nature Communications, </w:t>
          </w:r>
          <w:r>
            <w:rPr>
              <w:noProof/>
              <w:lang w:val="en-US"/>
            </w:rPr>
            <w:t>Volume 10, p. 2762.</w:t>
          </w:r>
        </w:p>
        <w:p w:rsidR="00223FB4" w:rsidRDefault="00223FB4" w:rsidP="00223FB4">
          <w:pPr>
            <w:pStyle w:val="Bibliography"/>
            <w:rPr>
              <w:noProof/>
              <w:lang w:val="en-US"/>
            </w:rPr>
          </w:pPr>
          <w:r>
            <w:rPr>
              <w:noProof/>
              <w:lang w:val="en-US"/>
            </w:rPr>
            <w:t xml:space="preserve">WSP and Parsons Brinckerhoff, 2015. </w:t>
          </w:r>
          <w:r>
            <w:rPr>
              <w:i/>
              <w:iCs/>
              <w:noProof/>
              <w:lang w:val="en-US"/>
            </w:rPr>
            <w:t xml:space="preserve">Industrial Decarbonisation &amp; Energy Efficiency Roadmaps to 2050, </w:t>
          </w:r>
          <w:r>
            <w:rPr>
              <w:noProof/>
              <w:lang w:val="en-US"/>
            </w:rPr>
            <w:t>s.l.: Department of Energy and Climate Change and Department for Business, Innovation and Skills.</w:t>
          </w:r>
        </w:p>
        <w:p w:rsidR="00223FB4" w:rsidRDefault="00223FB4" w:rsidP="00223FB4">
          <w:pPr>
            <w:pStyle w:val="Bibliography"/>
            <w:rPr>
              <w:noProof/>
              <w:lang w:val="en-US"/>
            </w:rPr>
          </w:pPr>
          <w:r>
            <w:rPr>
              <w:noProof/>
              <w:lang w:val="en-US"/>
            </w:rPr>
            <w:t xml:space="preserve">Wucker, M., 2019. </w:t>
          </w:r>
          <w:r>
            <w:rPr>
              <w:i/>
              <w:iCs/>
              <w:noProof/>
              <w:lang w:val="en-US"/>
            </w:rPr>
            <w:t xml:space="preserve">Why we ignore obvious problems — and how to act on them, </w:t>
          </w:r>
          <w:r>
            <w:rPr>
              <w:noProof/>
              <w:lang w:val="en-US"/>
            </w:rPr>
            <w:t>s.l.: TED Talk.</w:t>
          </w:r>
        </w:p>
        <w:p w:rsidR="003758C6" w:rsidRDefault="003758C6" w:rsidP="00223FB4">
          <w:pPr>
            <w:rPr>
              <w:color w:val="000000"/>
              <w:sz w:val="22"/>
            </w:rPr>
          </w:pPr>
          <w:r>
            <w:rPr>
              <w:b/>
              <w:bCs/>
              <w:noProof/>
            </w:rPr>
            <w:fldChar w:fldCharType="end"/>
          </w:r>
        </w:p>
      </w:sdtContent>
    </w:sdt>
    <w:p w:rsidR="003D5D6E" w:rsidRPr="003E564B" w:rsidRDefault="003D5D6E" w:rsidP="003D5D6E">
      <w:pPr>
        <w:pStyle w:val="NewsletterBody"/>
      </w:pPr>
    </w:p>
    <w:sectPr w:rsidR="003D5D6E" w:rsidRPr="003E564B" w:rsidSect="00760E4B">
      <w:type w:val="continuous"/>
      <w:pgSz w:w="12240" w:h="15840"/>
      <w:pgMar w:top="1440" w:right="630" w:bottom="1440" w:left="720" w:header="720" w:footer="720" w:gutter="0"/>
      <w:cols w:num="2"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0EDF"/>
    <w:rsid w:val="0000112E"/>
    <w:rsid w:val="00034255"/>
    <w:rsid w:val="0005642F"/>
    <w:rsid w:val="000D3907"/>
    <w:rsid w:val="000E1D08"/>
    <w:rsid w:val="001149B1"/>
    <w:rsid w:val="00146C3C"/>
    <w:rsid w:val="00164876"/>
    <w:rsid w:val="001C4F17"/>
    <w:rsid w:val="001C7C78"/>
    <w:rsid w:val="00223FB4"/>
    <w:rsid w:val="002467FA"/>
    <w:rsid w:val="002D0702"/>
    <w:rsid w:val="002F1290"/>
    <w:rsid w:val="00302EA4"/>
    <w:rsid w:val="0031769F"/>
    <w:rsid w:val="00342486"/>
    <w:rsid w:val="0035063B"/>
    <w:rsid w:val="003758C6"/>
    <w:rsid w:val="003A390C"/>
    <w:rsid w:val="003A52FE"/>
    <w:rsid w:val="003B57E6"/>
    <w:rsid w:val="003D5D6E"/>
    <w:rsid w:val="003E564B"/>
    <w:rsid w:val="00422B18"/>
    <w:rsid w:val="00455225"/>
    <w:rsid w:val="0047735C"/>
    <w:rsid w:val="005301DF"/>
    <w:rsid w:val="00563295"/>
    <w:rsid w:val="00575BDE"/>
    <w:rsid w:val="005E2505"/>
    <w:rsid w:val="00603DFC"/>
    <w:rsid w:val="0069673B"/>
    <w:rsid w:val="006B75D8"/>
    <w:rsid w:val="006D1EAD"/>
    <w:rsid w:val="006D49E7"/>
    <w:rsid w:val="007071A8"/>
    <w:rsid w:val="00707C14"/>
    <w:rsid w:val="00717272"/>
    <w:rsid w:val="00743B1F"/>
    <w:rsid w:val="00760E4B"/>
    <w:rsid w:val="0076640C"/>
    <w:rsid w:val="00767C60"/>
    <w:rsid w:val="00770EDF"/>
    <w:rsid w:val="00785D7B"/>
    <w:rsid w:val="007D1701"/>
    <w:rsid w:val="007D5CBF"/>
    <w:rsid w:val="007F5F9D"/>
    <w:rsid w:val="00803D20"/>
    <w:rsid w:val="00821526"/>
    <w:rsid w:val="0082470D"/>
    <w:rsid w:val="008544E8"/>
    <w:rsid w:val="0088009C"/>
    <w:rsid w:val="00882A5B"/>
    <w:rsid w:val="0089455A"/>
    <w:rsid w:val="008D5222"/>
    <w:rsid w:val="009039FD"/>
    <w:rsid w:val="00912DB4"/>
    <w:rsid w:val="00982299"/>
    <w:rsid w:val="009B75CD"/>
    <w:rsid w:val="009D3CC3"/>
    <w:rsid w:val="009D78D2"/>
    <w:rsid w:val="009E049D"/>
    <w:rsid w:val="009E2E6F"/>
    <w:rsid w:val="00A51AAD"/>
    <w:rsid w:val="00A53DF1"/>
    <w:rsid w:val="00A82709"/>
    <w:rsid w:val="00AC3B6C"/>
    <w:rsid w:val="00AE603C"/>
    <w:rsid w:val="00AF5151"/>
    <w:rsid w:val="00B220EC"/>
    <w:rsid w:val="00B44002"/>
    <w:rsid w:val="00B478EE"/>
    <w:rsid w:val="00B56A3A"/>
    <w:rsid w:val="00B77C12"/>
    <w:rsid w:val="00BC67DC"/>
    <w:rsid w:val="00BD3F82"/>
    <w:rsid w:val="00C21272"/>
    <w:rsid w:val="00C213EC"/>
    <w:rsid w:val="00C4430D"/>
    <w:rsid w:val="00C66E73"/>
    <w:rsid w:val="00CE2DA1"/>
    <w:rsid w:val="00D014E1"/>
    <w:rsid w:val="00D021F5"/>
    <w:rsid w:val="00D1453D"/>
    <w:rsid w:val="00D23A34"/>
    <w:rsid w:val="00DD515F"/>
    <w:rsid w:val="00E023B5"/>
    <w:rsid w:val="00E33169"/>
    <w:rsid w:val="00E6528C"/>
    <w:rsid w:val="00EC6A3E"/>
    <w:rsid w:val="00EF6910"/>
    <w:rsid w:val="00F05E2C"/>
    <w:rsid w:val="00F20A66"/>
    <w:rsid w:val="00F7274D"/>
    <w:rsid w:val="00F95333"/>
    <w:rsid w:val="00FA0C58"/>
    <w:rsid w:val="00FA11BE"/>
    <w:rsid w:val="00FA1911"/>
    <w:rsid w:val="00FA5997"/>
    <w:rsid w:val="00FC4E74"/>
    <w:rsid w:val="00FE33F9"/>
    <w:rsid w:val="00FE6037"/>
    <w:rsid w:val="00FF4453"/>
    <w:rsid w:val="00FF4DDD"/>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9"/>
    <o:shapelayout v:ext="edit">
      <o:idmap v:ext="edit" data="1"/>
    </o:shapelayout>
  </w:shapeDefaults>
  <w:doNotEmbedSmartTags/>
  <w:decimalSymbol w:val="."/>
  <w:listSeparator w:val=","/>
  <w14:docId w14:val="2811B26E"/>
  <w15:docId w15:val="{80074916-5E2B-4BBB-8EE7-236286ABD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1526"/>
    <w:rPr>
      <w:sz w:val="24"/>
      <w:szCs w:val="24"/>
    </w:rPr>
  </w:style>
  <w:style w:type="paragraph" w:styleId="Heading1">
    <w:name w:val="heading 1"/>
    <w:basedOn w:val="Normal"/>
    <w:next w:val="Normal"/>
    <w:link w:val="Heading1Char"/>
    <w:uiPriority w:val="9"/>
    <w:qFormat/>
    <w:rsid w:val="003758C6"/>
    <w:pPr>
      <w:keepNext/>
      <w:keepLines/>
      <w:spacing w:before="24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paragraph" w:styleId="Caption">
    <w:name w:val="caption"/>
    <w:basedOn w:val="Normal"/>
    <w:next w:val="Normal"/>
    <w:uiPriority w:val="35"/>
    <w:unhideWhenUsed/>
    <w:qFormat/>
    <w:rsid w:val="00302EA4"/>
    <w:pPr>
      <w:spacing w:after="200"/>
    </w:pPr>
    <w:rPr>
      <w:i/>
      <w:iCs/>
      <w:color w:val="1F497D" w:themeColor="text2"/>
      <w:sz w:val="18"/>
      <w:szCs w:val="18"/>
    </w:rPr>
  </w:style>
  <w:style w:type="paragraph" w:styleId="NormalWeb">
    <w:name w:val="Normal (Web)"/>
    <w:basedOn w:val="Normal"/>
    <w:uiPriority w:val="99"/>
    <w:semiHidden/>
    <w:unhideWhenUsed/>
    <w:rsid w:val="00455225"/>
    <w:pPr>
      <w:spacing w:before="100" w:beforeAutospacing="1" w:after="100" w:afterAutospacing="1"/>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455225"/>
    <w:rPr>
      <w:i/>
      <w:iCs/>
    </w:rPr>
  </w:style>
  <w:style w:type="character" w:styleId="Strong">
    <w:name w:val="Strong"/>
    <w:basedOn w:val="DefaultParagraphFont"/>
    <w:uiPriority w:val="22"/>
    <w:qFormat/>
    <w:rsid w:val="003D5D6E"/>
    <w:rPr>
      <w:b/>
      <w:bCs/>
    </w:rPr>
  </w:style>
  <w:style w:type="character" w:customStyle="1" w:styleId="Heading1Char">
    <w:name w:val="Heading 1 Char"/>
    <w:basedOn w:val="DefaultParagraphFont"/>
    <w:link w:val="Heading1"/>
    <w:uiPriority w:val="9"/>
    <w:rsid w:val="003758C6"/>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3758C6"/>
    <w:pPr>
      <w:spacing w:after="160" w:line="259" w:lineRule="auto"/>
    </w:pPr>
    <w:rPr>
      <w:sz w:val="22"/>
      <w:szCs w:val="22"/>
      <w:lang w:val="en-GB"/>
    </w:rPr>
  </w:style>
  <w:style w:type="character" w:styleId="CommentReference">
    <w:name w:val="annotation reference"/>
    <w:basedOn w:val="DefaultParagraphFont"/>
    <w:uiPriority w:val="99"/>
    <w:semiHidden/>
    <w:unhideWhenUsed/>
    <w:rsid w:val="00F20A66"/>
    <w:rPr>
      <w:sz w:val="16"/>
      <w:szCs w:val="16"/>
    </w:rPr>
  </w:style>
  <w:style w:type="paragraph" w:styleId="CommentText">
    <w:name w:val="annotation text"/>
    <w:basedOn w:val="Normal"/>
    <w:link w:val="CommentTextChar"/>
    <w:uiPriority w:val="99"/>
    <w:semiHidden/>
    <w:unhideWhenUsed/>
    <w:rsid w:val="00F20A66"/>
    <w:rPr>
      <w:sz w:val="20"/>
      <w:szCs w:val="20"/>
    </w:rPr>
  </w:style>
  <w:style w:type="character" w:customStyle="1" w:styleId="CommentTextChar">
    <w:name w:val="Comment Text Char"/>
    <w:basedOn w:val="DefaultParagraphFont"/>
    <w:link w:val="CommentText"/>
    <w:uiPriority w:val="99"/>
    <w:semiHidden/>
    <w:rsid w:val="00F20A66"/>
  </w:style>
  <w:style w:type="paragraph" w:styleId="CommentSubject">
    <w:name w:val="annotation subject"/>
    <w:basedOn w:val="CommentText"/>
    <w:next w:val="CommentText"/>
    <w:link w:val="CommentSubjectChar"/>
    <w:uiPriority w:val="99"/>
    <w:semiHidden/>
    <w:unhideWhenUsed/>
    <w:rsid w:val="00F20A66"/>
    <w:rPr>
      <w:b/>
      <w:bCs/>
    </w:rPr>
  </w:style>
  <w:style w:type="character" w:customStyle="1" w:styleId="CommentSubjectChar">
    <w:name w:val="Comment Subject Char"/>
    <w:basedOn w:val="CommentTextChar"/>
    <w:link w:val="CommentSubject"/>
    <w:uiPriority w:val="99"/>
    <w:semiHidden/>
    <w:rsid w:val="00F20A66"/>
    <w:rPr>
      <w:b/>
      <w:bCs/>
    </w:rPr>
  </w:style>
  <w:style w:type="paragraph" w:styleId="Revision">
    <w:name w:val="Revision"/>
    <w:hidden/>
    <w:uiPriority w:val="99"/>
    <w:semiHidden/>
    <w:rsid w:val="00FF4DDD"/>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0252581">
      <w:bodyDiv w:val="1"/>
      <w:marLeft w:val="0"/>
      <w:marRight w:val="0"/>
      <w:marTop w:val="0"/>
      <w:marBottom w:val="0"/>
      <w:divBdr>
        <w:top w:val="none" w:sz="0" w:space="0" w:color="auto"/>
        <w:left w:val="none" w:sz="0" w:space="0" w:color="auto"/>
        <w:bottom w:val="none" w:sz="0" w:space="0" w:color="auto"/>
        <w:right w:val="none" w:sz="0" w:space="0" w:color="auto"/>
      </w:divBdr>
    </w:div>
    <w:div w:id="741299511">
      <w:bodyDiv w:val="1"/>
      <w:marLeft w:val="0"/>
      <w:marRight w:val="0"/>
      <w:marTop w:val="0"/>
      <w:marBottom w:val="0"/>
      <w:divBdr>
        <w:top w:val="none" w:sz="0" w:space="0" w:color="auto"/>
        <w:left w:val="none" w:sz="0" w:space="0" w:color="auto"/>
        <w:bottom w:val="none" w:sz="0" w:space="0" w:color="auto"/>
        <w:right w:val="none" w:sz="0" w:space="0" w:color="auto"/>
      </w:divBdr>
    </w:div>
    <w:div w:id="1364089035">
      <w:bodyDiv w:val="1"/>
      <w:marLeft w:val="0"/>
      <w:marRight w:val="0"/>
      <w:marTop w:val="0"/>
      <w:marBottom w:val="0"/>
      <w:divBdr>
        <w:top w:val="none" w:sz="0" w:space="0" w:color="auto"/>
        <w:left w:val="none" w:sz="0" w:space="0" w:color="auto"/>
        <w:bottom w:val="none" w:sz="0" w:space="0" w:color="auto"/>
        <w:right w:val="none" w:sz="0" w:space="0" w:color="auto"/>
      </w:divBdr>
    </w:div>
    <w:div w:id="1529217443">
      <w:bodyDiv w:val="1"/>
      <w:marLeft w:val="0"/>
      <w:marRight w:val="0"/>
      <w:marTop w:val="0"/>
      <w:marBottom w:val="0"/>
      <w:divBdr>
        <w:top w:val="none" w:sz="0" w:space="0" w:color="auto"/>
        <w:left w:val="none" w:sz="0" w:space="0" w:color="auto"/>
        <w:bottom w:val="none" w:sz="0" w:space="0" w:color="auto"/>
        <w:right w:val="none" w:sz="0" w:space="0" w:color="auto"/>
      </w:divBdr>
    </w:div>
    <w:div w:id="16372970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ube.com/watch?v=DBBA2LAsepU"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hompska\AppData\Roaming\Microsoft\Templates\Weekly%20news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87BCD6AFA494B4BB54D09F76F38ED74"/>
        <w:category>
          <w:name w:val="General"/>
          <w:gallery w:val="placeholder"/>
        </w:category>
        <w:types>
          <w:type w:val="bbPlcHdr"/>
        </w:types>
        <w:behaviors>
          <w:behavior w:val="content"/>
        </w:behaviors>
        <w:guid w:val="{688A76E4-F32E-4D72-8748-F8A870FA7692}"/>
      </w:docPartPr>
      <w:docPartBody>
        <w:p w:rsidR="00000000" w:rsidRDefault="00EC6177">
          <w:pPr>
            <w:pStyle w:val="B87BCD6AFA494B4BB54D09F76F38ED74"/>
          </w:pPr>
          <w:r w:rsidRPr="00C12127">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6177"/>
    <w:rsid w:val="00EC6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C6177"/>
    <w:rPr>
      <w:color w:val="808080"/>
    </w:rPr>
  </w:style>
  <w:style w:type="paragraph" w:customStyle="1" w:styleId="B87BCD6AFA494B4BB54D09F76F38ED74">
    <w:name w:val="B87BCD6AFA494B4BB54D09F76F38ED74"/>
  </w:style>
  <w:style w:type="paragraph" w:customStyle="1" w:styleId="D14B54827AC147419CA887EAE93B1796">
    <w:name w:val="D14B54827AC147419CA887EAE93B1796"/>
  </w:style>
  <w:style w:type="paragraph" w:customStyle="1" w:styleId="117BA73BB6944DFABDF1D029201341F0">
    <w:name w:val="117BA73BB6944DFABDF1D029201341F0"/>
    <w:rsid w:val="00EC61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2100-01-01T00:00:00+00:00</AssetExpire>
    <IntlLangReviewDate xmlns="4873beb7-5857-4685-be1f-d57550cc96cc" xsi:nil="true"/>
    <SubmitterId xmlns="4873beb7-5857-4685-be1f-d57550cc96cc" xsi:nil="true"/>
    <IntlLangReview xmlns="4873beb7-5857-4685-be1f-d57550cc96cc" xsi:nil="true"/>
    <EditorialStatus xmlns="4873beb7-5857-4685-be1f-d57550cc96cc" xsi:nil="true"/>
    <OriginAsset xmlns="4873beb7-5857-4685-be1f-d57550cc96cc" xsi:nil="true"/>
    <Markets xmlns="4873beb7-5857-4685-be1f-d57550cc96cc"/>
    <AcquiredFrom xmlns="4873beb7-5857-4685-be1f-d57550cc96cc" xsi:nil="true"/>
    <AssetStart xmlns="4873beb7-5857-4685-be1f-d57550cc96cc">2009-05-30T21:55:59+00:00</AssetStart>
    <PublishStatusLookup xmlns="4873beb7-5857-4685-be1f-d57550cc96cc">
      <Value>273741</Value>
      <Value>1305776</Value>
    </PublishStatusLookup>
    <MarketSpecific xmlns="4873beb7-5857-4685-be1f-d57550cc96cc" xsi:nil="true"/>
    <APAuthor xmlns="4873beb7-5857-4685-be1f-d57550cc96cc">
      <UserInfo>
        <DisplayName/>
        <AccountId>191</AccountId>
        <AccountType/>
      </UserInfo>
    </APAuthor>
    <IntlLangReviewer xmlns="4873beb7-5857-4685-be1f-d57550cc96cc" xsi:nil="true"/>
    <CSXSubmissionDate xmlns="4873beb7-5857-4685-be1f-d57550cc96cc" xsi:nil="true"/>
    <NumericId xmlns="4873beb7-5857-4685-be1f-d57550cc96cc">-1</NumericId>
    <ParentAssetId xmlns="4873beb7-5857-4685-be1f-d57550cc96cc" xsi:nil="true"/>
    <OriginalSourceMarket xmlns="4873beb7-5857-4685-be1f-d57550cc96cc" xsi:nil="true"/>
    <ApprovalStatus xmlns="4873beb7-5857-4685-be1f-d57550cc96cc">InProgress</ApprovalStatus>
    <SourceTitle xmlns="4873beb7-5857-4685-be1f-d57550cc96cc">Newsletter</SourceTitl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TemplateStatus xmlns="4873beb7-5857-4685-be1f-d57550cc96cc">Complete</TemplateStatus>
    <OutputCachingOn xmlns="4873beb7-5857-4685-be1f-d57550cc96cc">false</OutputCachingOn>
    <IsSearchable xmlns="4873beb7-5857-4685-be1f-d57550cc96cc">false</IsSearchable>
    <HandoffToMSDN xmlns="4873beb7-5857-4685-be1f-d57550cc96cc" xsi:nil="true"/>
    <UALocRecommendation xmlns="4873beb7-5857-4685-be1f-d57550cc96cc">Never Localize</UALocRecommendation>
    <UALocComments xmlns="4873beb7-5857-4685-be1f-d57550cc96cc" xsi:nil="true"/>
    <ShowIn xmlns="4873beb7-5857-4685-be1f-d57550cc96cc">Show everywhere</ShowIn>
    <ThumbnailAssetId xmlns="4873beb7-5857-4685-be1f-d57550cc96cc" xsi:nil="true"/>
    <ContentItem xmlns="4873beb7-5857-4685-be1f-d57550cc96cc" xsi:nil="true"/>
    <LastModifiedDateTime xmlns="4873beb7-5857-4685-be1f-d57550cc96cc" xsi:nil="true"/>
    <ClipArtFilename xmlns="4873beb7-5857-4685-be1f-d57550cc96cc" xsi:nil="true"/>
    <CSXHash xmlns="4873beb7-5857-4685-be1f-d57550cc96cc" xsi:nil="true"/>
    <DirectSourceMarket xmlns="4873beb7-5857-4685-be1f-d57550cc96cc" xsi:nil="true"/>
    <PlannedPubDate xmlns="4873beb7-5857-4685-be1f-d57550cc96cc" xsi:nil="true"/>
    <ArtSampleDocs xmlns="4873beb7-5857-4685-be1f-d57550cc96cc" xsi:nil="true"/>
    <TrustLevel xmlns="4873beb7-5857-4685-be1f-d57550cc96cc">1 Microsoft Managed Content</TrustLevel>
    <CSXSubmissionMarket xmlns="4873beb7-5857-4685-be1f-d57550cc96cc" xsi:nil="true"/>
    <VoteCount xmlns="4873beb7-5857-4685-be1f-d57550cc96cc" xsi:nil="true"/>
    <BusinessGroup xmlns="4873beb7-5857-4685-be1f-d57550cc96cc" xsi:nil="true"/>
    <TimesCloned xmlns="4873beb7-5857-4685-be1f-d57550cc96cc" xsi:nil="true"/>
    <AverageRating xmlns="4873beb7-5857-4685-be1f-d57550cc96cc" xsi:nil="true"/>
    <Provider xmlns="4873beb7-5857-4685-be1f-d57550cc96cc">EY006220130</Provider>
    <UACurrentWords xmlns="4873beb7-5857-4685-be1f-d57550cc96cc">0</UACurrentWords>
    <AssetId xmlns="4873beb7-5857-4685-be1f-d57550cc96cc">TP010336027</AssetId>
    <APEditor xmlns="4873beb7-5857-4685-be1f-d57550cc96cc">
      <UserInfo>
        <DisplayName/>
        <AccountId>92</AccountId>
        <AccountType/>
      </UserInfo>
    </APEditor>
    <DSATActionTaken xmlns="4873beb7-5857-4685-be1f-d57550cc96cc" xsi:nil="true"/>
    <IsDeleted xmlns="4873beb7-5857-4685-be1f-d57550cc96cc">false</IsDeleted>
    <PublishTargets xmlns="4873beb7-5857-4685-be1f-d57550cc96cc">OfficeOnline</PublishTargets>
    <ApprovalLog xmlns="4873beb7-5857-4685-be1f-d57550cc96cc" xsi:nil="true"/>
    <BugNumber xmlns="4873beb7-5857-4685-be1f-d57550cc96cc">261</BugNumber>
    <CrawlForDependencies xmlns="4873beb7-5857-4685-be1f-d57550cc96cc">false</CrawlForDependencies>
    <LastHandOff xmlns="4873beb7-5857-4685-be1f-d57550cc96cc" xsi:nil="true"/>
    <Milestone xmlns="4873beb7-5857-4685-be1f-d57550cc96cc" xsi:nil="true"/>
    <UANotes xmlns="4873beb7-5857-4685-be1f-d57550cc96cc" xsi:nil="true"/>
    <PrimaryImageGen xmlns="4873beb7-5857-4685-be1f-d57550cc96cc">true</PrimaryImageGen>
    <TPFriendlyName xmlns="4873beb7-5857-4685-be1f-d57550cc96cc">Newsletter</TPFriendlyName>
    <OpenTemplate xmlns="4873beb7-5857-4685-be1f-d57550cc96cc">true</OpenTemplate>
    <TPInstallLocation xmlns="4873beb7-5857-4685-be1f-d57550cc96cc">{My Templates}</TPInstallLocation>
    <TPCommandLine xmlns="4873beb7-5857-4685-be1f-d57550cc96cc">{WD} /f {FilePath}</TPCommandLine>
    <TPAppVersion xmlns="4873beb7-5857-4685-be1f-d57550cc96cc">12</TPAppVersion>
    <TPLaunchHelpLinkType xmlns="4873beb7-5857-4685-be1f-d57550cc96cc">Template</TPLaunchHelpLinkType>
    <TPLaunchHelpLink xmlns="4873beb7-5857-4685-be1f-d57550cc96cc" xsi:nil="true"/>
    <TPApplication xmlns="4873beb7-5857-4685-be1f-d57550cc96cc">Word</TPApplication>
    <TPNamespace xmlns="4873beb7-5857-4685-be1f-d57550cc96cc">WINWORD</TPNamespace>
    <TPExecutable xmlns="4873beb7-5857-4685-be1f-d57550cc96cc" xsi:nil="true"/>
    <TPComponent xmlns="4873beb7-5857-4685-be1f-d57550cc96cc">WORDFiles</TPComponent>
    <TPClientViewer xmlns="4873beb7-5857-4685-be1f-d57550cc96cc">Microsoft Office Word</TPClientViewer>
    <LastPublishResultLookup xmlns="4873beb7-5857-4685-be1f-d57550cc96cc" xsi:nil="true"/>
    <PolicheckWords xmlns="4873beb7-5857-4685-be1f-d57550cc96cc" xsi:nil="true"/>
    <FriendlyTitle xmlns="4873beb7-5857-4685-be1f-d57550cc96cc" xsi:nil="true"/>
    <Manager xmlns="4873beb7-5857-4685-be1f-d57550cc96cc" xsi:nil="true"/>
    <EditorialTags xmlns="4873beb7-5857-4685-be1f-d57550cc96cc" xsi:nil="true"/>
    <LegacyData xmlns="4873beb7-5857-4685-be1f-d57550cc96cc" xsi:nil="true"/>
    <Downloads xmlns="4873beb7-5857-4685-be1f-d57550cc96cc">0</Downloads>
    <Providers xmlns="4873beb7-5857-4685-be1f-d57550cc96cc" xsi:nil="true"/>
    <TemplateTemplateType xmlns="4873beb7-5857-4685-be1f-d57550cc96cc">Word 2007 Default</TemplateTemplateType>
    <OOCacheId xmlns="4873beb7-5857-4685-be1f-d57550cc96cc" xsi:nil="true"/>
    <BlockPublish xmlns="4873beb7-5857-4685-be1f-d57550cc96cc" xsi:nil="true"/>
    <CampaignTagsTaxHTField0 xmlns="4873beb7-5857-4685-be1f-d57550cc96cc">
      <Terms xmlns="http://schemas.microsoft.com/office/infopath/2007/PartnerControls"/>
    </CampaignTagsTaxHTField0>
    <LocLastLocAttemptVersionLookup xmlns="4873beb7-5857-4685-be1f-d57550cc96cc">144889</LocLastLocAttemptVersionLookup>
    <LocLastLocAttemptVersionTypeLookup xmlns="4873beb7-5857-4685-be1f-d57550cc96cc" xsi:nil="true"/>
    <LocOverallPreviewStatusLookup xmlns="4873beb7-5857-4685-be1f-d57550cc96cc" xsi:nil="true"/>
    <LocOverallPublishStatusLookup xmlns="4873beb7-5857-4685-be1f-d57550cc96cc" xsi:nil="true"/>
    <TaxCatchAll xmlns="4873beb7-5857-4685-be1f-d57550cc96cc"/>
    <LocNewPublishedVersionLookup xmlns="4873beb7-5857-4685-be1f-d57550cc96cc" xsi:nil="true"/>
    <LocPublishedDependentAssetsLookup xmlns="4873beb7-5857-4685-be1f-d57550cc96cc" xsi:nil="true"/>
    <LocComments xmlns="4873beb7-5857-4685-be1f-d57550cc96cc" xsi:nil="true"/>
    <LocProcessedForMarketsLookup xmlns="4873beb7-5857-4685-be1f-d57550cc96cc" xsi:nil="true"/>
    <LocRecommendedHandoff xmlns="4873beb7-5857-4685-be1f-d57550cc96cc" xsi:nil="true"/>
    <LocManualTestRequired xmlns="4873beb7-5857-4685-be1f-d57550cc96cc" xsi:nil="true"/>
    <LocProcessedForHandoffsLookup xmlns="4873beb7-5857-4685-be1f-d57550cc96cc" xsi:nil="true"/>
    <LocOverallHandbackStatusLookup xmlns="4873beb7-5857-4685-be1f-d57550cc96cc" xsi:nil="true"/>
    <LocalizationTagsTaxHTField0 xmlns="4873beb7-5857-4685-be1f-d57550cc96cc">
      <Terms xmlns="http://schemas.microsoft.com/office/infopath/2007/PartnerControls"/>
    </LocalizationTagsTaxHTField0>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InternalTagsTaxHTField0 xmlns="4873beb7-5857-4685-be1f-d57550cc96cc">
      <Terms xmlns="http://schemas.microsoft.com/office/infopath/2007/PartnerControls"/>
    </InternalTagsTaxHTField0>
    <RecommendationsModifier xmlns="4873beb7-5857-4685-be1f-d57550cc96cc" xsi:nil="true"/>
    <ScenarioTagsTaxHTField0 xmlns="4873beb7-5857-4685-be1f-d57550cc96cc">
      <Terms xmlns="http://schemas.microsoft.com/office/infopath/2007/PartnerControls"/>
    </ScenarioTagsTaxHTField0>
    <OriginalRelease xmlns="4873beb7-5857-4685-be1f-d57550cc96cc">14</OriginalRelease>
    <LocMarketGroupTiers2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Nas07</b:Tag>
    <b:SourceType>Book</b:SourceType>
    <b:Guid>{00500A31-1A3F-43A3-A7AC-7CF5B11EB1DD}</b:Guid>
    <b:Title>Black Swan: the impact of Highly Improbable</b:Title>
    <b:Year>2007</b:Year>
    <b:Author>
      <b:Author>
        <b:NameList>
          <b:Person>
            <b:Last>Taleb</b:Last>
            <b:First>Nassim</b:First>
            <b:Middle>Nicholas</b:Middle>
          </b:Person>
        </b:NameList>
      </b:Author>
    </b:Author>
    <b:Publisher>Random House</b:Publisher>
    <b:Edition>1st</b:Edition>
    <b:RefOrder>1</b:RefOrder>
  </b:Source>
  <b:Source>
    <b:Tag>Int20</b:Tag>
    <b:SourceType>Report</b:SourceType>
    <b:Guid>{BAAF44DE-E8A5-4DB7-B8C1-4278F1DBC65B}</b:Guid>
    <b:Title>The Oil and Gas Industry in Energy Transitions</b:Title>
    <b:Year>2020</b:Year>
    <b:Publisher>International Energy Agency</b:Publisher>
    <b:Author>
      <b:Author>
        <b:Corporate>International Energy Agency</b:Corporate>
      </b:Author>
    </b:Author>
    <b:RefOrder>2</b:RefOrder>
  </b:Source>
  <b:Source>
    <b:Tag>BP18</b:Tag>
    <b:SourceType>Report</b:SourceType>
    <b:Guid>{5DD0D66E-BE7A-4D3E-B965-1FB43942F562}</b:Guid>
    <b:Author>
      <b:Author>
        <b:Corporate>BP</b:Corporate>
      </b:Author>
    </b:Author>
    <b:Title>Advancing the Energy Transition</b:Title>
    <b:Year>2018</b:Year>
    <b:Publisher>BP P.L.C</b:Publisher>
    <b:City>London</b:City>
    <b:ThesisType>Corporate Report</b:ThesisType>
    <b:RefOrder>3</b:RefOrder>
  </b:Source>
  <b:Source>
    <b:Tag>She18</b:Tag>
    <b:SourceType>Report</b:SourceType>
    <b:Guid>{E688B830-9A97-414F-BFDA-06CE0C237261}</b:Guid>
    <b:Author>
      <b:Author>
        <b:Corporate>Shell</b:Corporate>
      </b:Author>
    </b:Author>
    <b:Title>Shell Energy Transition Report</b:Title>
    <b:Year>2018</b:Year>
    <b:Publisher>Dutch Shell P.L.C</b:Publisher>
    <b:ThesisType>Corporate Report</b:ThesisType>
    <b:RefOrder>4</b:RefOrder>
  </b:Source>
  <b:Source>
    <b:Tag>Top19</b:Tag>
    <b:SourceType>InternetSite</b:SourceType>
    <b:Guid>{94C065F6-05E9-413A-A6F0-36742AEF3E33}</b:Guid>
    <b:Title>Top ten companies by oil production</b:Title>
    <b:Year>2019</b:Year>
    <b:Month>May</b:Month>
    <b:Day>14</b:Day>
    <b:YearAccessed>2020</b:YearAccessed>
    <b:MonthAccessed>October</b:MonthAccessed>
    <b:DayAccessed>31</b:DayAccessed>
    <b:URL>https://www.offshore-technology.com/features/companies-by-oil-production/</b:URL>
    <b:RefOrder>5</b:RefOrder>
  </b:Source>
  <b:Source>
    <b:Tag>Exx20</b:Tag>
    <b:SourceType>Report</b:SourceType>
    <b:Guid>{F19E445B-149F-48E5-81EB-4CD57A3CE887}</b:Guid>
    <b:Author>
      <b:Author>
        <b:Corporate>Exxon Mobil</b:Corporate>
      </b:Author>
    </b:Author>
    <b:Title>2020 Energy &amp; Carbon Summary</b:Title>
    <b:Year>2020</b:Year>
    <b:Publisher>Exxon Mobil</b:Publisher>
    <b:City>Texas</b:City>
    <b:ThesisType>Corporate Report</b:ThesisType>
    <b:RefOrder>6</b:RefOrder>
  </b:Source>
  <b:Source>
    <b:Tag>DuP06</b:Tag>
    <b:SourceType>JournalArticle</b:SourceType>
    <b:Guid>{6C8E0545-3E62-4BE4-9043-7648C4899A44}</b:Guid>
    <b:Title>Sustainable Development - Historical Roots of the Concept</b:Title>
    <b:Year>2006</b:Year>
    <b:Author>
      <b:Author>
        <b:NameList>
          <b:Person>
            <b:Last>Du Pisani</b:Last>
            <b:First>JA</b:First>
          </b:Person>
        </b:NameList>
      </b:Author>
    </b:Author>
    <b:JournalName>Environ. Sci</b:JournalName>
    <b:Pages>86-96</b:Pages>
    <b:RefOrder>7</b:RefOrder>
  </b:Source>
  <b:Source>
    <b:Tag>Jil20</b:Tag>
    <b:SourceType>InternetSite</b:SourceType>
    <b:Guid>{727725EE-0326-4AF6-93A6-AA7C109BAEDF}</b:Guid>
    <b:Title>The Guardian</b:Title>
    <b:Year>2020</b:Year>
    <b:Author>
      <b:Author>
        <b:NameList>
          <b:Person>
            <b:Last>Ambrose</b:Last>
            <b:First>Jillian</b:First>
          </b:Person>
        </b:NameList>
      </b:Author>
    </b:Author>
    <b:YearAccessed>2020</b:YearAccessed>
    <b:MonthAccessed>October</b:MonthAccessed>
    <b:DayAccessed>31</b:DayAccessed>
    <b:URL>https://www.theguardian.com/business/2020/apr/20/over-a-barrel-how-oil-prices-dropped-below-zero#:%7E:text=US%20oil%20prices%20turned%20negative,the%20fastest%20plunge%20in%20history.</b:URL>
    <b:RefOrder>8</b:RefOrder>
  </b:Source>
  <b:Source>
    <b:Tag>Joh20</b:Tag>
    <b:SourceType>InternetSite</b:SourceType>
    <b:Guid>{F57775C0-5526-414E-8216-06940118055B}</b:Guid>
    <b:Author>
      <b:Author>
        <b:NameList>
          <b:Person>
            <b:Last>Corrigan</b:Last>
            <b:First>John</b:First>
          </b:Person>
        </b:NameList>
      </b:Author>
    </b:Author>
    <b:Title>PWC United States</b:Title>
    <b:Year>2020</b:Year>
    <b:YearAccessed>2020</b:YearAccessed>
    <b:MonthAccessed>October</b:MonthAccessed>
    <b:DayAccessed>31</b:DayAccessed>
    <b:URL>https://www.pwc.com/us/en/industries/energy-utilities-mining/library/covid-19-impact-on-oil-field-services.html</b:URL>
    <b:RefOrder>9</b:RefOrder>
  </b:Source>
  <b:Source>
    <b:Tag>Mik18</b:Tag>
    <b:SourceType>InternetSite</b:SourceType>
    <b:Guid>{83FDB6FC-22D9-4F3F-8207-FF6BC6254418}</b:Guid>
    <b:Author>
      <b:Author>
        <b:NameList>
          <b:Person>
            <b:Last>Hayes</b:Last>
            <b:First>Mike</b:First>
          </b:Person>
        </b:NameList>
      </b:Author>
    </b:Author>
    <b:Title>New drivers of the renewable energy transition</b:Title>
    <b:Year>2018</b:Year>
    <b:YearAccessed>2020</b:YearAccessed>
    <b:MonthAccessed>October</b:MonthAccessed>
    <b:DayAccessed>31</b:DayAccessed>
    <b:URL>https://home.kpmg/xx/en/home/insights/2018/04/new-drivers-of-the-renewable-energy-transition.html</b:URL>
    <b:RefOrder>10</b:RefOrder>
  </b:Source>
  <b:Source>
    <b:Tag>Ars20</b:Tag>
    <b:SourceType>ArticleInAPeriodical</b:SourceType>
    <b:Guid>{9D4791FE-FA53-4378-8EFF-0C4C90FE1B0A}</b:Guid>
    <b:Title>The Covid crisis will delay but not derail the energy transition</b:Title>
    <b:Year>2020</b:Year>
    <b:Author>
      <b:Author>
        <b:NameList>
          <b:Person>
            <b:Last>Farooquee</b:Last>
            <b:First>Arsalan</b:First>
            <b:Middle>Ali</b:Middle>
          </b:Person>
        </b:NameList>
      </b:Author>
    </b:Author>
    <b:PeriodicalTitle>London School of Economics Business Review</b:PeriodicalTitle>
    <b:Month>May</b:Month>
    <b:Day>11</b:Day>
    <b:RefOrder>11</b:RefOrder>
  </b:Source>
  <b:Source>
    <b:Tag>USD18</b:Tag>
    <b:SourceType>Report</b:SourceType>
    <b:Guid>{830748AA-E08F-4B20-867C-09F49F03A1D0}</b:Guid>
    <b:Title>2018 Wind Technologies Market Report</b:Title>
    <b:Year>2018</b:Year>
    <b:Author>
      <b:Author>
        <b:Corporate>U.S Department of Energy</b:Corporate>
      </b:Author>
    </b:Author>
    <b:Publisher>U.S Department of Energy</b:Publisher>
    <b:City>Oak Ridge</b:City>
    <b:RefOrder>12</b:RefOrder>
  </b:Source>
  <b:Source>
    <b:Tag>The19</b:Tag>
    <b:SourceType>Report</b:SourceType>
    <b:Guid>{DBD9A26B-2928-493D-BECB-25814AEC911B}</b:Guid>
    <b:Author>
      <b:Author>
        <b:Corporate>The Oxford Institute for Energy Studies</b:Corporate>
      </b:Author>
    </b:Author>
    <b:Title>The Energy Transition and</b:Title>
    <b:Year>2019</b:Year>
    <b:Publisher>University of Oxford</b:Publisher>
    <b:City>London</b:City>
    <b:RefOrder>13</b:RefOrder>
  </b:Source>
  <b:Source>
    <b:Tag>Sun11</b:Tag>
    <b:SourceType>JournalArticle</b:SourceType>
    <b:Guid>{2FE01DFC-8E83-47D6-8A19-701BDE4C7FD3}</b:Guid>
    <b:Title>Energy Models for demand forecasting - a review</b:Title>
    <b:Year>2011</b:Year>
    <b:Author>
      <b:Author>
        <b:NameList>
          <b:Person>
            <b:Last>Sunganthi</b:Last>
            <b:First>L</b:First>
          </b:Person>
          <b:Person>
            <b:Last>Samual</b:Last>
            <b:First>Anand</b:First>
          </b:Person>
        </b:NameList>
      </b:Author>
    </b:Author>
    <b:JournalName>Renewable and Sustainable Energy Reviews</b:JournalName>
    <b:Pages>1223 - 1240</b:Pages>
    <b:Volume>16</b:Volume>
    <b:RefOrder>14</b:RefOrder>
  </b:Source>
  <b:Source>
    <b:Tag>van19</b:Tag>
    <b:SourceType>JournalArticle</b:SourceType>
    <b:Guid>{1DCB7A01-84CF-4D79-AD2E-3B0E733D02EA}</b:Guid>
    <b:Author>
      <b:Author>
        <b:NameList>
          <b:Person>
            <b:Last>van Ruijven</b:Last>
            <b:First>Bas</b:First>
          </b:Person>
          <b:Person>
            <b:Last>De Cian</b:Last>
            <b:First>Enrica:</b:First>
            <b:Middle>Wing, Ian Sue</b:Middle>
          </b:Person>
        </b:NameList>
      </b:Author>
    </b:Author>
    <b:Title>Amplification of future energy demand growth due to climate change</b:Title>
    <b:JournalName>Nature Communications</b:JournalName>
    <b:Year>2019</b:Year>
    <b:Pages>2762</b:Pages>
    <b:Volume>10</b:Volume>
    <b:RefOrder>15</b:RefOrder>
  </b:Source>
  <b:Source>
    <b:Tag>Uni201</b:Tag>
    <b:SourceType>InternetSite</b:SourceType>
    <b:Guid>{7B5B2341-2030-442F-ADF3-9839A7BC3E32}</b:Guid>
    <b:Author>
      <b:Author>
        <b:Corporate>United Nations</b:Corporate>
      </b:Author>
    </b:Author>
    <b:Title>Ensure access to affordable, reliable, sustainable and modern energy</b:Title>
    <b:YearAccessed>2020</b:YearAccessed>
    <b:MonthAccessed>Nov</b:MonthAccessed>
    <b:DayAccessed>02</b:DayAccessed>
    <b:URL>https://www.un.org/sustainabledevelopment/energy/</b:URL>
    <b:RefOrder>16</b:RefOrder>
  </b:Source>
  <b:Source>
    <b:Tag>HMG11</b:Tag>
    <b:SourceType>Report</b:SourceType>
    <b:Guid>{A1FBEE7B-FDA6-41A3-A973-0E749E44F05B}</b:Guid>
    <b:Title>The Carbon Plan: Delivering our low carbon future</b:Title>
    <b:Year>2011</b:Year>
    <b:Author>
      <b:Author>
        <b:Corporate>HM Government</b:Corporate>
      </b:Author>
    </b:Author>
    <b:Publisher>Office of Publications</b:Publisher>
    <b:City>London</b:City>
    <b:RefOrder>17</b:RefOrder>
  </b:Source>
  <b:Source>
    <b:Tag>WSP15</b:Tag>
    <b:SourceType>Report</b:SourceType>
    <b:Guid>{28B5170F-E5AF-46A5-81AB-95102323D19E}</b:Guid>
    <b:Author>
      <b:Author>
        <b:Corporate>WSP and Parsons Brinckerhoff</b:Corporate>
      </b:Author>
    </b:Author>
    <b:Title>Industrial Decarbonisation &amp; Energy Efficiency Roadmaps to 2050</b:Title>
    <b:Year>2015</b:Year>
    <b:Publisher>Department of Energy and Climate Change and Department for Business, Innovation and Skills</b:Publisher>
    <b:RefOrder>18</b:RefOrder>
  </b:Source>
  <b:Source>
    <b:Tag>Ale19</b:Tag>
    <b:SourceType>InternetSite</b:SourceType>
    <b:Guid>{AD5ACE12-5783-47F4-A496-3D351B9C1CA3}</b:Guid>
    <b:Title>Vast subsidies keeping the fossil fuel industry afloat should be put to better use</b:Title>
    <b:Year>2019</b:Year>
    <b:Author>
      <b:Author>
        <b:NameList>
          <b:Person>
            <b:Last>Lenferna</b:Last>
            <b:First>Alex</b:First>
          </b:Person>
        </b:NameList>
      </b:Author>
    </b:Author>
    <b:YearAccessed>2020</b:YearAccessed>
    <b:MonthAccessed>Nov</b:MonthAccessed>
    <b:DayAccessed>03</b:DayAccessed>
    <b:URL>https://theconversation.com/vast-subsidies-keeping-the-fossil-fuel-industry-afloat-should-be-put-to-better-use-119954</b:URL>
    <b:RefOrder>19</b:RefOrder>
  </b:Source>
  <b:Source>
    <b:Tag>Car18</b:Tag>
    <b:SourceType>JournalArticle</b:SourceType>
    <b:Guid>{B5F74485-04DC-446E-9242-407C9401E18D}</b:Guid>
    <b:Author>
      <b:Author>
        <b:NameList>
          <b:Person>
            <b:Last>Daggett</b:Last>
            <b:First>Cara</b:First>
          </b:Person>
        </b:NameList>
      </b:Author>
    </b:Author>
    <b:Title>Petro-masculinity: Fossil Fuels and Authoritarian Desire</b:Title>
    <b:JournalName>Journal of International Studies</b:JournalName>
    <b:Year>2018</b:Year>
    <b:Pages>25 - 44</b:Pages>
    <b:Volume>1</b:Volume>
    <b:Issue>47</b:Issue>
    <b:RefOrder>20</b:RefOrder>
  </b:Source>
  <b:Source>
    <b:Tag>Kev20</b:Tag>
    <b:SourceType>ElectronicSource</b:SourceType>
    <b:Guid>{BBC99107-2908-47BF-A3B4-5606EB2AA819}</b:Guid>
    <b:Title>Coronavirus: 'Thousands' of North Sea oil and gas jobs under threat</b:Title>
    <b:Year>2020</b:Year>
    <b:Author>
      <b:Author>
        <b:NameList>
          <b:Person>
            <b:Last>Keane</b:Last>
            <b:First>Kevin</b:First>
          </b:Person>
        </b:NameList>
      </b:Author>
    </b:Author>
    <b:Publisher>BBC Scotland</b:Publisher>
    <b:RefOrder>21</b:RefOrder>
  </b:Source>
  <b:Source>
    <b:Tag>Ens19</b:Tag>
    <b:SourceType>JournalArticle</b:SourceType>
    <b:Guid>{D4802138-3F79-4EF0-A13B-00816B67ADDE}</b:Guid>
    <b:Title>Oil and gas company strategies regarding the energy transition</b:Title>
    <b:Year>2019</b:Year>
    <b:Pages>2</b:Pages>
    <b:Author>
      <b:Author>
        <b:NameList>
          <b:Person>
            <b:Last>Shojaeddini</b:Last>
            <b:First>Ensieh:</b:First>
            <b:Middle>Naimoli, Stephen</b:Middle>
          </b:Person>
          <b:Person>
            <b:Last>Ladislaw</b:Last>
            <b:First>Sarah</b:First>
          </b:Person>
        </b:NameList>
      </b:Author>
    </b:Author>
    <b:JournalName>Progress in Energy</b:JournalName>
    <b:Volume>1</b:Volume>
    <b:Issue>1</b:Issue>
    <b:RefOrder>22</b:RefOrder>
  </b:Source>
  <b:Source>
    <b:Tag>BBC20</b:Tag>
    <b:SourceType>InternetSite</b:SourceType>
    <b:Guid>{32489F64-D3E2-4A58-8813-5C411F347680}</b:Guid>
    <b:Title>BP faces hit of up to $17.5bn as it forecasts lower oil prices</b:Title>
    <b:Year>2020</b:Year>
    <b:Author>
      <b:Author>
        <b:Corporate>BBC</b:Corporate>
      </b:Author>
    </b:Author>
    <b:YearAccessed>2020</b:YearAccessed>
    <b:MonthAccessed>November</b:MonthAccessed>
    <b:DayAccessed>03</b:DayAccessed>
    <b:URL>https://www.bbc.co.uk/news/business-53047894</b:URL>
    <b:RefOrder>23</b:RefOrder>
  </b:Source>
  <b:Source>
    <b:Tag>Abr20</b:Tag>
    <b:SourceType>InternetSite</b:SourceType>
    <b:Guid>{B8BCDE11-B529-4C8B-8148-EF05266063BD}</b:Guid>
    <b:Author>
      <b:Author>
        <b:NameList>
          <b:Person>
            <b:Last>Abram</b:Last>
            <b:First>Simone</b:First>
          </b:Person>
          <b:Person>
            <b:Last>Horsfall</b:Last>
            <b:First>Alton</b:First>
          </b:Person>
          <b:Person>
            <b:Last>Crossland</b:Last>
            <b:First>Andrew</b:First>
          </b:Person>
        </b:NameList>
      </b:Author>
    </b:Author>
    <b:Title>‘Decarbonisation’ may be the wrong goal for energy – here’s why</b:Title>
    <b:Year>2020</b:Year>
    <b:YearAccessed>2020</b:YearAccessed>
    <b:MonthAccessed>Nov</b:MonthAccessed>
    <b:DayAccessed>3</b:DayAccessed>
    <b:URL>https://theconversation.com/decarbonisation-may-be-the-wrong-goal-for-energy-heres-why-148388</b:URL>
    <b:RefOrder>24</b:RefOrder>
  </b:Source>
  <b:Source>
    <b:Tag>Alv20</b:Tag>
    <b:SourceType>InternetSite</b:SourceType>
    <b:Guid>{FE5ACB49-436A-46B3-8E75-B288C6B12735}</b:Guid>
    <b:Author>
      <b:Author>
        <b:NameList>
          <b:Person>
            <b:Last>Alvik</b:Last>
            <b:First>Sverre</b:First>
          </b:Person>
          <b:Person>
            <b:Last>Irvine</b:Last>
            <b:First>Mark</b:First>
          </b:Person>
        </b:NameList>
      </b:Author>
    </b:Author>
    <b:Title>THE IMPACT OF COVID-19 ON THE ENERGY TRANSITION</b:Title>
    <b:Year>2020</b:Year>
    <b:YearAccessed>2020</b:YearAccessed>
    <b:MonthAccessed>Nov</b:MonthAccessed>
    <b:DayAccessed>5</b:DayAccessed>
    <b:URL>https://www.dnvgl.com/energy-transition/impact-of-covid19-on-the-energy-transition.html#start</b:URL>
    <b:RefOrder>25</b:RefOrder>
  </b:Source>
  <b:Source>
    <b:Tag>Heu20</b:Tag>
    <b:SourceType>JournalArticle</b:SourceType>
    <b:Guid>{2B0B3036-DEC7-4EC4-9D0E-C668A90C4428}</b:Guid>
    <b:Title>Philosophy of energy and energy transition in the age of the petro-Anthropocene</b:Title>
    <b:Year>2020</b:Year>
    <b:Author>
      <b:Author>
        <b:NameList>
          <b:Person>
            <b:Last>Heurtebise</b:Last>
            <b:First>Jean-Yves</b:First>
          </b:Person>
        </b:NameList>
      </b:Author>
    </b:Author>
    <b:JournalName>The Journal of World Energy Law &amp; Business</b:JournalName>
    <b:Pages>100-113</b:Pages>
    <b:Volume>13</b:Volume>
    <b:Issue>2</b:Issue>
    <b:RefOrder>26</b:RefOrder>
  </b:Source>
  <b:Source>
    <b:Tag>Mic19</b:Tag>
    <b:SourceType>ElectronicSource</b:SourceType>
    <b:Guid>{55348D04-3B13-4C73-8642-8280AE290CC5}</b:Guid>
    <b:Title>Why we ignore obvious problems — and how to act on them</b:Title>
    <b:Year>2019</b:Year>
    <b:Author>
      <b:Author>
        <b:NameList>
          <b:Person>
            <b:Last>Wucker</b:Last>
            <b:First>Michele</b:First>
          </b:Person>
        </b:NameList>
      </b:Author>
    </b:Author>
    <b:Publisher>TED Talk</b:Publisher>
    <b:RefOrder>27</b:RefOrder>
  </b:Source>
</b:Sources>
</file>

<file path=customXml/itemProps1.xml><?xml version="1.0" encoding="utf-8"?>
<ds:datastoreItem xmlns:ds="http://schemas.openxmlformats.org/officeDocument/2006/customXml" ds:itemID="{14B96250-407E-40A4-BA71-9F03B03EA852}">
  <ds:schemaRefs>
    <ds:schemaRef ds:uri="http://purl.org/dc/elements/1.1/"/>
    <ds:schemaRef ds:uri="http://schemas.microsoft.com/office/2006/metadata/propertie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4873beb7-5857-4685-be1f-d57550cc96cc"/>
    <ds:schemaRef ds:uri="http://www.w3.org/XML/1998/namespace"/>
    <ds:schemaRef ds:uri="http://purl.org/dc/dcmitype/"/>
  </ds:schemaRefs>
</ds:datastoreItem>
</file>

<file path=customXml/itemProps2.xml><?xml version="1.0" encoding="utf-8"?>
<ds:datastoreItem xmlns:ds="http://schemas.openxmlformats.org/officeDocument/2006/customXml" ds:itemID="{5F3EF779-630E-41A3-AEF8-C4C8151F2223}">
  <ds:schemaRefs>
    <ds:schemaRef ds:uri="http://schemas.microsoft.com/sharepoint/v3/contenttype/forms"/>
  </ds:schemaRefs>
</ds:datastoreItem>
</file>

<file path=customXml/itemProps3.xml><?xml version="1.0" encoding="utf-8"?>
<ds:datastoreItem xmlns:ds="http://schemas.openxmlformats.org/officeDocument/2006/customXml" ds:itemID="{B2C0EFFE-5BE7-4130-9C53-D29472463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F15F6C-FA9E-48D2-8B5D-2FDA426BD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Weekly newsletter</Template>
  <TotalTime>1</TotalTime>
  <Pages>5</Pages>
  <Words>2296</Words>
  <Characters>13089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Newsletter</vt:lpstr>
    </vt:vector>
  </TitlesOfParts>
  <Company>McCann Erickson</Company>
  <LinksUpToDate>false</LinksUpToDate>
  <CharactersWithSpaces>15355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Newsletter</dc:title>
  <dc:creator>Kai Thompson</dc:creator>
  <cp:lastModifiedBy>Kai Thompson</cp:lastModifiedBy>
  <cp:revision>2</cp:revision>
  <cp:lastPrinted>2008-09-26T23:14:00Z</cp:lastPrinted>
  <dcterms:created xsi:type="dcterms:W3CDTF">2020-11-07T12:16:00Z</dcterms:created>
  <dcterms:modified xsi:type="dcterms:W3CDTF">2020-11-07T12:16:00Z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Counter">
    <vt:lpwstr>0</vt:lpwstr>
  </property>
  <property fmtid="{D5CDD505-2E9C-101B-9397-08002B2CF9AE}" pid="4" name="ViolationReportStatus">
    <vt:lpwstr>None</vt:lpwstr>
  </property>
  <property fmtid="{D5CDD505-2E9C-101B-9397-08002B2CF9AE}" pid="5" name="ImageGenStatus">
    <vt:lpwstr>0</vt:lpwstr>
  </property>
  <property fmtid="{D5CDD505-2E9C-101B-9397-08002B2CF9AE}" pid="6" name="PolicheckStatus">
    <vt:lpwstr>0</vt:lpwstr>
  </property>
  <property fmtid="{D5CDD505-2E9C-101B-9397-08002B2CF9AE}" pid="7" name="Applications">
    <vt:lpwstr>79;#tpl120;#95;#zwd120;#448;#zwd140</vt:lpwstr>
  </property>
  <property fmtid="{D5CDD505-2E9C-101B-9397-08002B2CF9AE}" pid="8" name="PolicheckCounter">
    <vt:lpwstr>0</vt:lpwstr>
  </property>
  <property fmtid="{D5CDD505-2E9C-101B-9397-08002B2CF9AE}" pid="9" name="APTrustLevel">
    <vt:r8>1</vt:r8>
  </property>
</Properties>
</file>