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553849" w:rsidRDefault="00301299" w:rsidP="00301299">
      <w:pPr>
        <w:jc w:val="center"/>
        <w:rPr>
          <w:rFonts w:cstheme="minorHAnsi"/>
          <w:sz w:val="52"/>
          <w:szCs w:val="52"/>
        </w:rPr>
      </w:pPr>
      <w:r w:rsidRPr="00553849">
        <w:rPr>
          <w:rFonts w:cstheme="minorHAnsi"/>
          <w:sz w:val="52"/>
          <w:szCs w:val="52"/>
        </w:rPr>
        <w:t>University of Wales Trinity Saint David</w:t>
      </w:r>
    </w:p>
    <w:p w14:paraId="231E4DCE" w14:textId="1BB95C83" w:rsidR="00301299" w:rsidRPr="00553849" w:rsidRDefault="00301299" w:rsidP="00301299">
      <w:pPr>
        <w:jc w:val="center"/>
        <w:rPr>
          <w:rFonts w:cstheme="minorHAnsi"/>
          <w:sz w:val="28"/>
          <w:szCs w:val="28"/>
        </w:rPr>
      </w:pPr>
      <w:r w:rsidRPr="00553849">
        <w:rPr>
          <w:rFonts w:cstheme="minorHAnsi"/>
          <w:sz w:val="28"/>
          <w:szCs w:val="28"/>
        </w:rPr>
        <w:t>Wales Institute of Science and Art</w:t>
      </w:r>
    </w:p>
    <w:p w14:paraId="311ECA5C" w14:textId="10182656" w:rsidR="00301299" w:rsidRPr="00553849" w:rsidRDefault="00301299" w:rsidP="00301299">
      <w:pPr>
        <w:jc w:val="center"/>
        <w:rPr>
          <w:rFonts w:cstheme="minorHAnsi"/>
        </w:rPr>
      </w:pPr>
      <w:r w:rsidRPr="00553849">
        <w:rPr>
          <w:rFonts w:cstheme="minorHAnsi"/>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Pr="00553849" w:rsidRDefault="00301299" w:rsidP="00301299">
      <w:pPr>
        <w:jc w:val="center"/>
        <w:rPr>
          <w:rFonts w:cstheme="minorHAnsi"/>
        </w:rPr>
      </w:pPr>
    </w:p>
    <w:p w14:paraId="4180CBF7" w14:textId="77777777" w:rsidR="00301299" w:rsidRPr="00553849" w:rsidRDefault="00301299" w:rsidP="00301299">
      <w:pPr>
        <w:jc w:val="center"/>
        <w:rPr>
          <w:rFonts w:cstheme="minorHAnsi"/>
          <w:sz w:val="96"/>
          <w:szCs w:val="96"/>
        </w:rPr>
      </w:pPr>
    </w:p>
    <w:p w14:paraId="4C871724" w14:textId="04B879AC" w:rsidR="00301299" w:rsidRPr="00553849" w:rsidRDefault="003F2B3A" w:rsidP="00301299">
      <w:pPr>
        <w:jc w:val="center"/>
        <w:rPr>
          <w:rFonts w:cstheme="minorHAnsi"/>
          <w:sz w:val="36"/>
          <w:szCs w:val="36"/>
        </w:rPr>
      </w:pPr>
      <w:r w:rsidRPr="00553849">
        <w:rPr>
          <w:rFonts w:cstheme="minorHAnsi"/>
          <w:sz w:val="96"/>
          <w:szCs w:val="96"/>
        </w:rPr>
        <w:t>EIA critique</w:t>
      </w:r>
    </w:p>
    <w:p w14:paraId="34E74634" w14:textId="37AE91CD" w:rsidR="00301299" w:rsidRPr="00553849" w:rsidRDefault="00FE64A6" w:rsidP="00301299">
      <w:pPr>
        <w:jc w:val="center"/>
        <w:rPr>
          <w:rFonts w:cstheme="minorHAnsi"/>
          <w:sz w:val="36"/>
          <w:szCs w:val="36"/>
        </w:rPr>
      </w:pPr>
      <w:r w:rsidRPr="00553849">
        <w:rPr>
          <w:rFonts w:cstheme="minorHAnsi"/>
          <w:sz w:val="36"/>
          <w:szCs w:val="36"/>
        </w:rPr>
        <w:t>Environmental Assessment, Management, and Auditing</w:t>
      </w:r>
      <w:r w:rsidR="00301299" w:rsidRPr="00553849">
        <w:rPr>
          <w:rFonts w:cstheme="minorHAnsi"/>
          <w:sz w:val="36"/>
          <w:szCs w:val="36"/>
        </w:rPr>
        <w:t xml:space="preserve"> AC</w:t>
      </w:r>
      <w:r w:rsidRPr="00553849">
        <w:rPr>
          <w:rFonts w:cstheme="minorHAnsi"/>
          <w:sz w:val="36"/>
          <w:szCs w:val="36"/>
        </w:rPr>
        <w:t>N</w:t>
      </w:r>
      <w:r w:rsidR="00301299" w:rsidRPr="00553849">
        <w:rPr>
          <w:rFonts w:cstheme="minorHAnsi"/>
          <w:sz w:val="36"/>
          <w:szCs w:val="36"/>
        </w:rPr>
        <w:t>A</w:t>
      </w:r>
      <w:r w:rsidRPr="00553849">
        <w:rPr>
          <w:rFonts w:cstheme="minorHAnsi"/>
          <w:sz w:val="36"/>
          <w:szCs w:val="36"/>
        </w:rPr>
        <w:t xml:space="preserve"> 6</w:t>
      </w:r>
      <w:r w:rsidR="00301299" w:rsidRPr="00553849">
        <w:rPr>
          <w:rFonts w:cstheme="minorHAnsi"/>
          <w:sz w:val="36"/>
          <w:szCs w:val="36"/>
        </w:rPr>
        <w:t>00</w:t>
      </w:r>
      <w:r w:rsidRPr="00553849">
        <w:rPr>
          <w:rFonts w:cstheme="minorHAnsi"/>
          <w:sz w:val="36"/>
          <w:szCs w:val="36"/>
        </w:rPr>
        <w:t>2</w:t>
      </w:r>
    </w:p>
    <w:p w14:paraId="75602CC8" w14:textId="77777777" w:rsidR="00301299" w:rsidRPr="00553849" w:rsidRDefault="00301299" w:rsidP="00301299">
      <w:pPr>
        <w:jc w:val="center"/>
        <w:rPr>
          <w:rFonts w:cstheme="minorHAnsi"/>
          <w:sz w:val="32"/>
          <w:szCs w:val="32"/>
        </w:rPr>
      </w:pPr>
    </w:p>
    <w:p w14:paraId="53BFEA00" w14:textId="77777777" w:rsidR="00301299" w:rsidRPr="00553849" w:rsidRDefault="00301299" w:rsidP="00301299">
      <w:pPr>
        <w:jc w:val="center"/>
        <w:rPr>
          <w:rFonts w:cstheme="minorHAnsi"/>
          <w:sz w:val="32"/>
          <w:szCs w:val="32"/>
        </w:rPr>
      </w:pPr>
    </w:p>
    <w:p w14:paraId="5ECC3549" w14:textId="77777777" w:rsidR="00301299" w:rsidRPr="00553849" w:rsidRDefault="00301299" w:rsidP="00301299">
      <w:pPr>
        <w:jc w:val="center"/>
        <w:rPr>
          <w:rFonts w:cstheme="minorHAnsi"/>
          <w:sz w:val="32"/>
          <w:szCs w:val="32"/>
        </w:rPr>
      </w:pPr>
    </w:p>
    <w:p w14:paraId="37B2F446" w14:textId="77777777" w:rsidR="00301299" w:rsidRPr="00553849" w:rsidRDefault="00301299" w:rsidP="00301299">
      <w:pPr>
        <w:jc w:val="center"/>
        <w:rPr>
          <w:rFonts w:cstheme="minorHAnsi"/>
          <w:sz w:val="32"/>
          <w:szCs w:val="32"/>
        </w:rPr>
      </w:pPr>
    </w:p>
    <w:p w14:paraId="50046D85" w14:textId="77777777" w:rsidR="00301299" w:rsidRPr="00553849" w:rsidRDefault="00301299" w:rsidP="00301299">
      <w:pPr>
        <w:jc w:val="center"/>
        <w:rPr>
          <w:rFonts w:cstheme="minorHAnsi"/>
          <w:sz w:val="32"/>
          <w:szCs w:val="32"/>
        </w:rPr>
      </w:pPr>
    </w:p>
    <w:p w14:paraId="5D72AC56" w14:textId="2A455D88" w:rsidR="003F2B3A" w:rsidRPr="00553849" w:rsidRDefault="003F2B3A" w:rsidP="003F2B3A">
      <w:pPr>
        <w:jc w:val="center"/>
        <w:rPr>
          <w:rFonts w:cstheme="minorHAnsi"/>
          <w:sz w:val="32"/>
          <w:szCs w:val="32"/>
        </w:rPr>
      </w:pPr>
      <w:r w:rsidRPr="00553849">
        <w:rPr>
          <w:rFonts w:cstheme="minorHAnsi"/>
          <w:sz w:val="32"/>
          <w:szCs w:val="32"/>
        </w:rPr>
        <w:t>Ysabelle Tuddenham</w:t>
      </w:r>
    </w:p>
    <w:p w14:paraId="6BFE1304" w14:textId="57137368" w:rsidR="00301299" w:rsidRPr="00553849" w:rsidRDefault="003F2B3A" w:rsidP="00301299">
      <w:pPr>
        <w:jc w:val="center"/>
        <w:rPr>
          <w:rFonts w:cstheme="minorHAnsi"/>
        </w:rPr>
      </w:pPr>
      <w:r w:rsidRPr="00553849">
        <w:rPr>
          <w:rFonts w:cstheme="minorHAnsi"/>
          <w:sz w:val="24"/>
          <w:szCs w:val="24"/>
        </w:rPr>
        <w:t>2205445</w:t>
      </w:r>
    </w:p>
    <w:p w14:paraId="5E3CE57E" w14:textId="0BEBA9EC" w:rsidR="00301299" w:rsidRPr="00553849" w:rsidRDefault="003F2B3A" w:rsidP="00301299">
      <w:pPr>
        <w:jc w:val="center"/>
        <w:rPr>
          <w:rFonts w:cstheme="minorHAnsi"/>
        </w:rPr>
        <w:sectPr w:rsidR="00301299" w:rsidRPr="00553849" w:rsidSect="00962E5F">
          <w:headerReference w:type="default" r:id="rId12"/>
          <w:footerReference w:type="default" r:id="rId13"/>
          <w:pgSz w:w="11906" w:h="16838"/>
          <w:pgMar w:top="1440" w:right="1440" w:bottom="1440" w:left="1440" w:header="708" w:footer="708" w:gutter="0"/>
          <w:cols w:space="708"/>
          <w:titlePg/>
          <w:docGrid w:linePitch="360"/>
        </w:sectPr>
      </w:pPr>
      <w:r w:rsidRPr="00553849">
        <w:rPr>
          <w:rFonts w:cstheme="minorHAnsi"/>
        </w:rPr>
        <w:t>January</w:t>
      </w:r>
      <w:r w:rsidR="00301299" w:rsidRPr="00553849">
        <w:rPr>
          <w:rFonts w:cstheme="minorHAnsi"/>
        </w:rPr>
        <w:t xml:space="preserve"> 202</w:t>
      </w:r>
      <w:r w:rsidRPr="00553849">
        <w:rPr>
          <w:rFonts w:cstheme="minorHAnsi"/>
        </w:rPr>
        <w:t>6</w:t>
      </w:r>
    </w:p>
    <w:sdt>
      <w:sdtPr>
        <w:rPr>
          <w:rFonts w:asciiTheme="minorHAnsi" w:eastAsiaTheme="minorHAnsi" w:hAnsiTheme="minorHAnsi" w:cstheme="minorHAnsi"/>
          <w:color w:val="auto"/>
          <w:sz w:val="22"/>
          <w:szCs w:val="22"/>
          <w:lang w:val="en-GB"/>
        </w:rPr>
        <w:id w:val="83198752"/>
        <w:docPartObj>
          <w:docPartGallery w:val="Table of Contents"/>
          <w:docPartUnique/>
        </w:docPartObj>
      </w:sdtPr>
      <w:sdtEndPr>
        <w:rPr>
          <w:b/>
          <w:bCs/>
          <w:noProof/>
        </w:rPr>
      </w:sdtEndPr>
      <w:sdtContent>
        <w:p w14:paraId="50721EAD" w14:textId="26566536" w:rsidR="00B25D24" w:rsidRPr="00553849" w:rsidRDefault="00B25D24">
          <w:pPr>
            <w:pStyle w:val="TOCHeading"/>
            <w:rPr>
              <w:rFonts w:asciiTheme="minorHAnsi" w:hAnsiTheme="minorHAnsi" w:cstheme="minorHAnsi"/>
            </w:rPr>
          </w:pPr>
          <w:r w:rsidRPr="00553849">
            <w:rPr>
              <w:rFonts w:asciiTheme="minorHAnsi" w:hAnsiTheme="minorHAnsi" w:cstheme="minorHAnsi"/>
            </w:rPr>
            <w:t>Contents</w:t>
          </w:r>
        </w:p>
        <w:p w14:paraId="4A571BB6" w14:textId="244A093B" w:rsidR="006545B7" w:rsidRDefault="00B25D24">
          <w:pPr>
            <w:pStyle w:val="TOC1"/>
            <w:tabs>
              <w:tab w:val="left" w:pos="440"/>
              <w:tab w:val="right" w:leader="dot" w:pos="9016"/>
            </w:tabs>
            <w:rPr>
              <w:rFonts w:eastAsiaTheme="minorEastAsia"/>
              <w:noProof/>
              <w:kern w:val="2"/>
              <w:sz w:val="24"/>
              <w:szCs w:val="24"/>
              <w:lang w:eastAsia="en-GB"/>
              <w14:ligatures w14:val="standardContextual"/>
            </w:rPr>
          </w:pPr>
          <w:r w:rsidRPr="00553849">
            <w:rPr>
              <w:rFonts w:cstheme="minorHAnsi"/>
            </w:rPr>
            <w:fldChar w:fldCharType="begin"/>
          </w:r>
          <w:r w:rsidRPr="00553849">
            <w:rPr>
              <w:rFonts w:cstheme="minorHAnsi"/>
            </w:rPr>
            <w:instrText xml:space="preserve"> TOC \o "1-3" \h \z \u </w:instrText>
          </w:r>
          <w:r w:rsidRPr="00553849">
            <w:rPr>
              <w:rFonts w:cstheme="minorHAnsi"/>
            </w:rPr>
            <w:fldChar w:fldCharType="separate"/>
          </w:r>
          <w:hyperlink w:anchor="_Toc219485758" w:history="1">
            <w:r w:rsidR="006545B7" w:rsidRPr="00241FAA">
              <w:rPr>
                <w:rStyle w:val="Hyperlink"/>
                <w:rFonts w:cstheme="minorHAnsi"/>
                <w:noProof/>
              </w:rPr>
              <w:t>1</w:t>
            </w:r>
            <w:r w:rsidR="006545B7">
              <w:rPr>
                <w:rFonts w:eastAsiaTheme="minorEastAsia"/>
                <w:noProof/>
                <w:kern w:val="2"/>
                <w:sz w:val="24"/>
                <w:szCs w:val="24"/>
                <w:lang w:eastAsia="en-GB"/>
                <w14:ligatures w14:val="standardContextual"/>
              </w:rPr>
              <w:tab/>
            </w:r>
            <w:r w:rsidR="006545B7" w:rsidRPr="00241FAA">
              <w:rPr>
                <w:rStyle w:val="Hyperlink"/>
                <w:rFonts w:cstheme="minorHAnsi"/>
                <w:noProof/>
              </w:rPr>
              <w:t>Introduction</w:t>
            </w:r>
            <w:r w:rsidR="006545B7">
              <w:rPr>
                <w:noProof/>
                <w:webHidden/>
              </w:rPr>
              <w:tab/>
            </w:r>
            <w:r w:rsidR="006545B7">
              <w:rPr>
                <w:noProof/>
                <w:webHidden/>
              </w:rPr>
              <w:fldChar w:fldCharType="begin"/>
            </w:r>
            <w:r w:rsidR="006545B7">
              <w:rPr>
                <w:noProof/>
                <w:webHidden/>
              </w:rPr>
              <w:instrText xml:space="preserve"> PAGEREF _Toc219485758 \h </w:instrText>
            </w:r>
            <w:r w:rsidR="006545B7">
              <w:rPr>
                <w:noProof/>
                <w:webHidden/>
              </w:rPr>
            </w:r>
            <w:r w:rsidR="006545B7">
              <w:rPr>
                <w:noProof/>
                <w:webHidden/>
              </w:rPr>
              <w:fldChar w:fldCharType="separate"/>
            </w:r>
            <w:r w:rsidR="006545B7">
              <w:rPr>
                <w:noProof/>
                <w:webHidden/>
              </w:rPr>
              <w:t>1</w:t>
            </w:r>
            <w:r w:rsidR="006545B7">
              <w:rPr>
                <w:noProof/>
                <w:webHidden/>
              </w:rPr>
              <w:fldChar w:fldCharType="end"/>
            </w:r>
          </w:hyperlink>
        </w:p>
        <w:p w14:paraId="0ACF012B" w14:textId="03DD1CF5" w:rsidR="006545B7" w:rsidRDefault="006545B7">
          <w:pPr>
            <w:pStyle w:val="TOC1"/>
            <w:tabs>
              <w:tab w:val="left" w:pos="440"/>
              <w:tab w:val="right" w:leader="dot" w:pos="9016"/>
            </w:tabs>
            <w:rPr>
              <w:rFonts w:eastAsiaTheme="minorEastAsia"/>
              <w:noProof/>
              <w:kern w:val="2"/>
              <w:sz w:val="24"/>
              <w:szCs w:val="24"/>
              <w:lang w:eastAsia="en-GB"/>
              <w14:ligatures w14:val="standardContextual"/>
            </w:rPr>
          </w:pPr>
          <w:hyperlink w:anchor="_Toc219485759" w:history="1">
            <w:r w:rsidRPr="00241FAA">
              <w:rPr>
                <w:rStyle w:val="Hyperlink"/>
                <w:rFonts w:cstheme="minorHAnsi"/>
                <w:noProof/>
              </w:rPr>
              <w:t>2</w:t>
            </w:r>
            <w:r>
              <w:rPr>
                <w:rFonts w:eastAsiaTheme="minorEastAsia"/>
                <w:noProof/>
                <w:kern w:val="2"/>
                <w:sz w:val="24"/>
                <w:szCs w:val="24"/>
                <w:lang w:eastAsia="en-GB"/>
                <w14:ligatures w14:val="standardContextual"/>
              </w:rPr>
              <w:tab/>
            </w:r>
            <w:r w:rsidRPr="00241FAA">
              <w:rPr>
                <w:rStyle w:val="Hyperlink"/>
                <w:rFonts w:cstheme="minorHAnsi"/>
                <w:noProof/>
              </w:rPr>
              <w:t>Methodology</w:t>
            </w:r>
            <w:r>
              <w:rPr>
                <w:noProof/>
                <w:webHidden/>
              </w:rPr>
              <w:tab/>
            </w:r>
            <w:r>
              <w:rPr>
                <w:noProof/>
                <w:webHidden/>
              </w:rPr>
              <w:fldChar w:fldCharType="begin"/>
            </w:r>
            <w:r>
              <w:rPr>
                <w:noProof/>
                <w:webHidden/>
              </w:rPr>
              <w:instrText xml:space="preserve"> PAGEREF _Toc219485759 \h </w:instrText>
            </w:r>
            <w:r>
              <w:rPr>
                <w:noProof/>
                <w:webHidden/>
              </w:rPr>
            </w:r>
            <w:r>
              <w:rPr>
                <w:noProof/>
                <w:webHidden/>
              </w:rPr>
              <w:fldChar w:fldCharType="separate"/>
            </w:r>
            <w:r>
              <w:rPr>
                <w:noProof/>
                <w:webHidden/>
              </w:rPr>
              <w:t>1</w:t>
            </w:r>
            <w:r>
              <w:rPr>
                <w:noProof/>
                <w:webHidden/>
              </w:rPr>
              <w:fldChar w:fldCharType="end"/>
            </w:r>
          </w:hyperlink>
        </w:p>
        <w:p w14:paraId="426C7F40" w14:textId="7A8ECFF1"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60" w:history="1">
            <w:r w:rsidRPr="00241FAA">
              <w:rPr>
                <w:rStyle w:val="Hyperlink"/>
                <w:rFonts w:cstheme="minorHAnsi"/>
                <w:noProof/>
              </w:rPr>
              <w:t>2.1</w:t>
            </w:r>
            <w:r>
              <w:rPr>
                <w:rFonts w:eastAsiaTheme="minorEastAsia"/>
                <w:noProof/>
                <w:kern w:val="2"/>
                <w:sz w:val="24"/>
                <w:szCs w:val="24"/>
                <w:lang w:eastAsia="en-GB"/>
                <w14:ligatures w14:val="standardContextual"/>
              </w:rPr>
              <w:tab/>
            </w:r>
            <w:r w:rsidRPr="00241FAA">
              <w:rPr>
                <w:rStyle w:val="Hyperlink"/>
                <w:rFonts w:cstheme="minorHAnsi"/>
                <w:noProof/>
              </w:rPr>
              <w:t>Review Framework</w:t>
            </w:r>
            <w:r>
              <w:rPr>
                <w:noProof/>
                <w:webHidden/>
              </w:rPr>
              <w:tab/>
            </w:r>
            <w:r>
              <w:rPr>
                <w:noProof/>
                <w:webHidden/>
              </w:rPr>
              <w:fldChar w:fldCharType="begin"/>
            </w:r>
            <w:r>
              <w:rPr>
                <w:noProof/>
                <w:webHidden/>
              </w:rPr>
              <w:instrText xml:space="preserve"> PAGEREF _Toc219485760 \h </w:instrText>
            </w:r>
            <w:r>
              <w:rPr>
                <w:noProof/>
                <w:webHidden/>
              </w:rPr>
            </w:r>
            <w:r>
              <w:rPr>
                <w:noProof/>
                <w:webHidden/>
              </w:rPr>
              <w:fldChar w:fldCharType="separate"/>
            </w:r>
            <w:r>
              <w:rPr>
                <w:noProof/>
                <w:webHidden/>
              </w:rPr>
              <w:t>1</w:t>
            </w:r>
            <w:r>
              <w:rPr>
                <w:noProof/>
                <w:webHidden/>
              </w:rPr>
              <w:fldChar w:fldCharType="end"/>
            </w:r>
          </w:hyperlink>
        </w:p>
        <w:p w14:paraId="575A8FAB" w14:textId="5DF2A880"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61" w:history="1">
            <w:r w:rsidRPr="00241FAA">
              <w:rPr>
                <w:rStyle w:val="Hyperlink"/>
                <w:rFonts w:cstheme="minorHAnsi"/>
                <w:noProof/>
              </w:rPr>
              <w:t>2.2</w:t>
            </w:r>
            <w:r>
              <w:rPr>
                <w:rFonts w:eastAsiaTheme="minorEastAsia"/>
                <w:noProof/>
                <w:kern w:val="2"/>
                <w:sz w:val="24"/>
                <w:szCs w:val="24"/>
                <w:lang w:eastAsia="en-GB"/>
                <w14:ligatures w14:val="standardContextual"/>
              </w:rPr>
              <w:tab/>
            </w:r>
            <w:r w:rsidRPr="00241FAA">
              <w:rPr>
                <w:rStyle w:val="Hyperlink"/>
                <w:rFonts w:cstheme="minorHAnsi"/>
                <w:noProof/>
              </w:rPr>
              <w:t>Consideration of the Environmental Management System</w:t>
            </w:r>
            <w:r>
              <w:rPr>
                <w:noProof/>
                <w:webHidden/>
              </w:rPr>
              <w:tab/>
            </w:r>
            <w:r>
              <w:rPr>
                <w:noProof/>
                <w:webHidden/>
              </w:rPr>
              <w:fldChar w:fldCharType="begin"/>
            </w:r>
            <w:r>
              <w:rPr>
                <w:noProof/>
                <w:webHidden/>
              </w:rPr>
              <w:instrText xml:space="preserve"> PAGEREF _Toc219485761 \h </w:instrText>
            </w:r>
            <w:r>
              <w:rPr>
                <w:noProof/>
                <w:webHidden/>
              </w:rPr>
            </w:r>
            <w:r>
              <w:rPr>
                <w:noProof/>
                <w:webHidden/>
              </w:rPr>
              <w:fldChar w:fldCharType="separate"/>
            </w:r>
            <w:r>
              <w:rPr>
                <w:noProof/>
                <w:webHidden/>
              </w:rPr>
              <w:t>2</w:t>
            </w:r>
            <w:r>
              <w:rPr>
                <w:noProof/>
                <w:webHidden/>
              </w:rPr>
              <w:fldChar w:fldCharType="end"/>
            </w:r>
          </w:hyperlink>
        </w:p>
        <w:p w14:paraId="48466FA8" w14:textId="7A32777D"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62" w:history="1">
            <w:r w:rsidRPr="00241FAA">
              <w:rPr>
                <w:rStyle w:val="Hyperlink"/>
                <w:rFonts w:cstheme="minorHAnsi"/>
                <w:noProof/>
              </w:rPr>
              <w:t>2.3</w:t>
            </w:r>
            <w:r>
              <w:rPr>
                <w:rFonts w:eastAsiaTheme="minorEastAsia"/>
                <w:noProof/>
                <w:kern w:val="2"/>
                <w:sz w:val="24"/>
                <w:szCs w:val="24"/>
                <w:lang w:eastAsia="en-GB"/>
                <w14:ligatures w14:val="standardContextual"/>
              </w:rPr>
              <w:tab/>
            </w:r>
            <w:r w:rsidRPr="00241FAA">
              <w:rPr>
                <w:rStyle w:val="Hyperlink"/>
                <w:rFonts w:cstheme="minorHAnsi"/>
                <w:noProof/>
              </w:rPr>
              <w:t>Justification for Comparator Selection</w:t>
            </w:r>
            <w:r>
              <w:rPr>
                <w:noProof/>
                <w:webHidden/>
              </w:rPr>
              <w:tab/>
            </w:r>
            <w:r>
              <w:rPr>
                <w:noProof/>
                <w:webHidden/>
              </w:rPr>
              <w:fldChar w:fldCharType="begin"/>
            </w:r>
            <w:r>
              <w:rPr>
                <w:noProof/>
                <w:webHidden/>
              </w:rPr>
              <w:instrText xml:space="preserve"> PAGEREF _Toc219485762 \h </w:instrText>
            </w:r>
            <w:r>
              <w:rPr>
                <w:noProof/>
                <w:webHidden/>
              </w:rPr>
            </w:r>
            <w:r>
              <w:rPr>
                <w:noProof/>
                <w:webHidden/>
              </w:rPr>
              <w:fldChar w:fldCharType="separate"/>
            </w:r>
            <w:r>
              <w:rPr>
                <w:noProof/>
                <w:webHidden/>
              </w:rPr>
              <w:t>2</w:t>
            </w:r>
            <w:r>
              <w:rPr>
                <w:noProof/>
                <w:webHidden/>
              </w:rPr>
              <w:fldChar w:fldCharType="end"/>
            </w:r>
          </w:hyperlink>
        </w:p>
        <w:p w14:paraId="51366662" w14:textId="25557479" w:rsidR="006545B7" w:rsidRDefault="006545B7">
          <w:pPr>
            <w:pStyle w:val="TOC1"/>
            <w:tabs>
              <w:tab w:val="left" w:pos="440"/>
              <w:tab w:val="right" w:leader="dot" w:pos="9016"/>
            </w:tabs>
            <w:rPr>
              <w:rFonts w:eastAsiaTheme="minorEastAsia"/>
              <w:noProof/>
              <w:kern w:val="2"/>
              <w:sz w:val="24"/>
              <w:szCs w:val="24"/>
              <w:lang w:eastAsia="en-GB"/>
              <w14:ligatures w14:val="standardContextual"/>
            </w:rPr>
          </w:pPr>
          <w:hyperlink w:anchor="_Toc219485763" w:history="1">
            <w:r w:rsidRPr="00241FAA">
              <w:rPr>
                <w:rStyle w:val="Hyperlink"/>
                <w:rFonts w:cstheme="minorHAnsi"/>
                <w:noProof/>
              </w:rPr>
              <w:t>3</w:t>
            </w:r>
            <w:r>
              <w:rPr>
                <w:rFonts w:eastAsiaTheme="minorEastAsia"/>
                <w:noProof/>
                <w:kern w:val="2"/>
                <w:sz w:val="24"/>
                <w:szCs w:val="24"/>
                <w:lang w:eastAsia="en-GB"/>
                <w14:ligatures w14:val="standardContextual"/>
              </w:rPr>
              <w:tab/>
            </w:r>
            <w:r w:rsidRPr="00241FAA">
              <w:rPr>
                <w:rStyle w:val="Hyperlink"/>
                <w:rFonts w:cstheme="minorHAnsi"/>
                <w:noProof/>
              </w:rPr>
              <w:t>Overview of the Parc Pelenna EIA Process</w:t>
            </w:r>
            <w:r>
              <w:rPr>
                <w:noProof/>
                <w:webHidden/>
              </w:rPr>
              <w:tab/>
            </w:r>
            <w:r>
              <w:rPr>
                <w:noProof/>
                <w:webHidden/>
              </w:rPr>
              <w:fldChar w:fldCharType="begin"/>
            </w:r>
            <w:r>
              <w:rPr>
                <w:noProof/>
                <w:webHidden/>
              </w:rPr>
              <w:instrText xml:space="preserve"> PAGEREF _Toc219485763 \h </w:instrText>
            </w:r>
            <w:r>
              <w:rPr>
                <w:noProof/>
                <w:webHidden/>
              </w:rPr>
            </w:r>
            <w:r>
              <w:rPr>
                <w:noProof/>
                <w:webHidden/>
              </w:rPr>
              <w:fldChar w:fldCharType="separate"/>
            </w:r>
            <w:r>
              <w:rPr>
                <w:noProof/>
                <w:webHidden/>
              </w:rPr>
              <w:t>2</w:t>
            </w:r>
            <w:r>
              <w:rPr>
                <w:noProof/>
                <w:webHidden/>
              </w:rPr>
              <w:fldChar w:fldCharType="end"/>
            </w:r>
          </w:hyperlink>
        </w:p>
        <w:p w14:paraId="2F029C16" w14:textId="0125A9E4"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64" w:history="1">
            <w:r w:rsidRPr="00241FAA">
              <w:rPr>
                <w:rStyle w:val="Hyperlink"/>
                <w:rFonts w:cstheme="minorHAnsi"/>
                <w:noProof/>
              </w:rPr>
              <w:t>3.1</w:t>
            </w:r>
            <w:r>
              <w:rPr>
                <w:rFonts w:eastAsiaTheme="minorEastAsia"/>
                <w:noProof/>
                <w:kern w:val="2"/>
                <w:sz w:val="24"/>
                <w:szCs w:val="24"/>
                <w:lang w:eastAsia="en-GB"/>
                <w14:ligatures w14:val="standardContextual"/>
              </w:rPr>
              <w:tab/>
            </w:r>
            <w:r w:rsidRPr="00241FAA">
              <w:rPr>
                <w:rStyle w:val="Hyperlink"/>
                <w:rFonts w:cstheme="minorHAnsi"/>
                <w:noProof/>
              </w:rPr>
              <w:t>Screening</w:t>
            </w:r>
            <w:r>
              <w:rPr>
                <w:noProof/>
                <w:webHidden/>
              </w:rPr>
              <w:tab/>
            </w:r>
            <w:r>
              <w:rPr>
                <w:noProof/>
                <w:webHidden/>
              </w:rPr>
              <w:fldChar w:fldCharType="begin"/>
            </w:r>
            <w:r>
              <w:rPr>
                <w:noProof/>
                <w:webHidden/>
              </w:rPr>
              <w:instrText xml:space="preserve"> PAGEREF _Toc219485764 \h </w:instrText>
            </w:r>
            <w:r>
              <w:rPr>
                <w:noProof/>
                <w:webHidden/>
              </w:rPr>
            </w:r>
            <w:r>
              <w:rPr>
                <w:noProof/>
                <w:webHidden/>
              </w:rPr>
              <w:fldChar w:fldCharType="separate"/>
            </w:r>
            <w:r>
              <w:rPr>
                <w:noProof/>
                <w:webHidden/>
              </w:rPr>
              <w:t>2</w:t>
            </w:r>
            <w:r>
              <w:rPr>
                <w:noProof/>
                <w:webHidden/>
              </w:rPr>
              <w:fldChar w:fldCharType="end"/>
            </w:r>
          </w:hyperlink>
        </w:p>
        <w:p w14:paraId="122AD3B5" w14:textId="38EBB5B8"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65" w:history="1">
            <w:r w:rsidRPr="00241FAA">
              <w:rPr>
                <w:rStyle w:val="Hyperlink"/>
                <w:rFonts w:cstheme="minorHAnsi"/>
                <w:noProof/>
              </w:rPr>
              <w:t>3.2</w:t>
            </w:r>
            <w:r>
              <w:rPr>
                <w:rFonts w:eastAsiaTheme="minorEastAsia"/>
                <w:noProof/>
                <w:kern w:val="2"/>
                <w:sz w:val="24"/>
                <w:szCs w:val="24"/>
                <w:lang w:eastAsia="en-GB"/>
                <w14:ligatures w14:val="standardContextual"/>
              </w:rPr>
              <w:tab/>
            </w:r>
            <w:r w:rsidRPr="00241FAA">
              <w:rPr>
                <w:rStyle w:val="Hyperlink"/>
                <w:rFonts w:cstheme="minorHAnsi"/>
                <w:noProof/>
              </w:rPr>
              <w:t>Scoping</w:t>
            </w:r>
            <w:r>
              <w:rPr>
                <w:noProof/>
                <w:webHidden/>
              </w:rPr>
              <w:tab/>
            </w:r>
            <w:r>
              <w:rPr>
                <w:noProof/>
                <w:webHidden/>
              </w:rPr>
              <w:fldChar w:fldCharType="begin"/>
            </w:r>
            <w:r>
              <w:rPr>
                <w:noProof/>
                <w:webHidden/>
              </w:rPr>
              <w:instrText xml:space="preserve"> PAGEREF _Toc219485765 \h </w:instrText>
            </w:r>
            <w:r>
              <w:rPr>
                <w:noProof/>
                <w:webHidden/>
              </w:rPr>
            </w:r>
            <w:r>
              <w:rPr>
                <w:noProof/>
                <w:webHidden/>
              </w:rPr>
              <w:fldChar w:fldCharType="separate"/>
            </w:r>
            <w:r>
              <w:rPr>
                <w:noProof/>
                <w:webHidden/>
              </w:rPr>
              <w:t>3</w:t>
            </w:r>
            <w:r>
              <w:rPr>
                <w:noProof/>
                <w:webHidden/>
              </w:rPr>
              <w:fldChar w:fldCharType="end"/>
            </w:r>
          </w:hyperlink>
        </w:p>
        <w:p w14:paraId="100886D2" w14:textId="3A582B4C" w:rsidR="006545B7" w:rsidRDefault="006545B7">
          <w:pPr>
            <w:pStyle w:val="TOC1"/>
            <w:tabs>
              <w:tab w:val="left" w:pos="440"/>
              <w:tab w:val="right" w:leader="dot" w:pos="9016"/>
            </w:tabs>
            <w:rPr>
              <w:rFonts w:eastAsiaTheme="minorEastAsia"/>
              <w:noProof/>
              <w:kern w:val="2"/>
              <w:sz w:val="24"/>
              <w:szCs w:val="24"/>
              <w:lang w:eastAsia="en-GB"/>
              <w14:ligatures w14:val="standardContextual"/>
            </w:rPr>
          </w:pPr>
          <w:hyperlink w:anchor="_Toc219485766" w:history="1">
            <w:r w:rsidRPr="00241FAA">
              <w:rPr>
                <w:rStyle w:val="Hyperlink"/>
                <w:rFonts w:cstheme="minorHAnsi"/>
                <w:noProof/>
              </w:rPr>
              <w:t>4</w:t>
            </w:r>
            <w:r>
              <w:rPr>
                <w:rFonts w:eastAsiaTheme="minorEastAsia"/>
                <w:noProof/>
                <w:kern w:val="2"/>
                <w:sz w:val="24"/>
                <w:szCs w:val="24"/>
                <w:lang w:eastAsia="en-GB"/>
                <w14:ligatures w14:val="standardContextual"/>
              </w:rPr>
              <w:tab/>
            </w:r>
            <w:r w:rsidRPr="00241FAA">
              <w:rPr>
                <w:rStyle w:val="Hyperlink"/>
                <w:rFonts w:cstheme="minorHAnsi"/>
                <w:noProof/>
              </w:rPr>
              <w:t>Critical Evaluation Using the Lee and Colley Review Package</w:t>
            </w:r>
            <w:r>
              <w:rPr>
                <w:noProof/>
                <w:webHidden/>
              </w:rPr>
              <w:tab/>
            </w:r>
            <w:r>
              <w:rPr>
                <w:noProof/>
                <w:webHidden/>
              </w:rPr>
              <w:fldChar w:fldCharType="begin"/>
            </w:r>
            <w:r>
              <w:rPr>
                <w:noProof/>
                <w:webHidden/>
              </w:rPr>
              <w:instrText xml:space="preserve"> PAGEREF _Toc219485766 \h </w:instrText>
            </w:r>
            <w:r>
              <w:rPr>
                <w:noProof/>
                <w:webHidden/>
              </w:rPr>
            </w:r>
            <w:r>
              <w:rPr>
                <w:noProof/>
                <w:webHidden/>
              </w:rPr>
              <w:fldChar w:fldCharType="separate"/>
            </w:r>
            <w:r>
              <w:rPr>
                <w:noProof/>
                <w:webHidden/>
              </w:rPr>
              <w:t>3</w:t>
            </w:r>
            <w:r>
              <w:rPr>
                <w:noProof/>
                <w:webHidden/>
              </w:rPr>
              <w:fldChar w:fldCharType="end"/>
            </w:r>
          </w:hyperlink>
        </w:p>
        <w:p w14:paraId="3228E561" w14:textId="05B9D30F" w:rsidR="006545B7" w:rsidRDefault="006545B7">
          <w:pPr>
            <w:pStyle w:val="TOC2"/>
            <w:tabs>
              <w:tab w:val="right" w:leader="dot" w:pos="9016"/>
            </w:tabs>
            <w:rPr>
              <w:rFonts w:eastAsiaTheme="minorEastAsia"/>
              <w:noProof/>
              <w:kern w:val="2"/>
              <w:sz w:val="24"/>
              <w:szCs w:val="24"/>
              <w:lang w:eastAsia="en-GB"/>
              <w14:ligatures w14:val="standardContextual"/>
            </w:rPr>
          </w:pPr>
          <w:hyperlink w:anchor="_Toc219485767" w:history="1">
            <w:r w:rsidRPr="00241FAA">
              <w:rPr>
                <w:rStyle w:val="Hyperlink"/>
                <w:rFonts w:cstheme="minorHAnsi"/>
                <w:noProof/>
              </w:rPr>
              <w:t>4.1 Description of the Development and Baseline Environment</w:t>
            </w:r>
            <w:r>
              <w:rPr>
                <w:noProof/>
                <w:webHidden/>
              </w:rPr>
              <w:tab/>
            </w:r>
            <w:r>
              <w:rPr>
                <w:noProof/>
                <w:webHidden/>
              </w:rPr>
              <w:fldChar w:fldCharType="begin"/>
            </w:r>
            <w:r>
              <w:rPr>
                <w:noProof/>
                <w:webHidden/>
              </w:rPr>
              <w:instrText xml:space="preserve"> PAGEREF _Toc219485767 \h </w:instrText>
            </w:r>
            <w:r>
              <w:rPr>
                <w:noProof/>
                <w:webHidden/>
              </w:rPr>
            </w:r>
            <w:r>
              <w:rPr>
                <w:noProof/>
                <w:webHidden/>
              </w:rPr>
              <w:fldChar w:fldCharType="separate"/>
            </w:r>
            <w:r>
              <w:rPr>
                <w:noProof/>
                <w:webHidden/>
              </w:rPr>
              <w:t>3</w:t>
            </w:r>
            <w:r>
              <w:rPr>
                <w:noProof/>
                <w:webHidden/>
              </w:rPr>
              <w:fldChar w:fldCharType="end"/>
            </w:r>
          </w:hyperlink>
        </w:p>
        <w:p w14:paraId="65F491D4" w14:textId="45B359B3"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68" w:history="1">
            <w:r w:rsidRPr="00241FAA">
              <w:rPr>
                <w:rStyle w:val="Hyperlink"/>
                <w:rFonts w:cstheme="minorHAnsi"/>
                <w:noProof/>
              </w:rPr>
              <w:t>4.1</w:t>
            </w:r>
            <w:r>
              <w:rPr>
                <w:rFonts w:eastAsiaTheme="minorEastAsia"/>
                <w:noProof/>
                <w:kern w:val="2"/>
                <w:sz w:val="24"/>
                <w:szCs w:val="24"/>
                <w:lang w:eastAsia="en-GB"/>
                <w14:ligatures w14:val="standardContextual"/>
              </w:rPr>
              <w:tab/>
            </w:r>
            <w:r w:rsidRPr="00241FAA">
              <w:rPr>
                <w:rStyle w:val="Hyperlink"/>
                <w:rFonts w:cstheme="minorHAnsi"/>
                <w:noProof/>
              </w:rPr>
              <w:t>Identification and Evaluation of Impacts</w:t>
            </w:r>
            <w:r>
              <w:rPr>
                <w:noProof/>
                <w:webHidden/>
              </w:rPr>
              <w:tab/>
            </w:r>
            <w:r>
              <w:rPr>
                <w:noProof/>
                <w:webHidden/>
              </w:rPr>
              <w:fldChar w:fldCharType="begin"/>
            </w:r>
            <w:r>
              <w:rPr>
                <w:noProof/>
                <w:webHidden/>
              </w:rPr>
              <w:instrText xml:space="preserve"> PAGEREF _Toc219485768 \h </w:instrText>
            </w:r>
            <w:r>
              <w:rPr>
                <w:noProof/>
                <w:webHidden/>
              </w:rPr>
            </w:r>
            <w:r>
              <w:rPr>
                <w:noProof/>
                <w:webHidden/>
              </w:rPr>
              <w:fldChar w:fldCharType="separate"/>
            </w:r>
            <w:r>
              <w:rPr>
                <w:noProof/>
                <w:webHidden/>
              </w:rPr>
              <w:t>3</w:t>
            </w:r>
            <w:r>
              <w:rPr>
                <w:noProof/>
                <w:webHidden/>
              </w:rPr>
              <w:fldChar w:fldCharType="end"/>
            </w:r>
          </w:hyperlink>
        </w:p>
        <w:p w14:paraId="728B58D1" w14:textId="648BBFFE"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69" w:history="1">
            <w:r w:rsidRPr="00241FAA">
              <w:rPr>
                <w:rStyle w:val="Hyperlink"/>
                <w:rFonts w:cstheme="minorHAnsi"/>
                <w:noProof/>
              </w:rPr>
              <w:t>4.2</w:t>
            </w:r>
            <w:r>
              <w:rPr>
                <w:rFonts w:eastAsiaTheme="minorEastAsia"/>
                <w:noProof/>
                <w:kern w:val="2"/>
                <w:sz w:val="24"/>
                <w:szCs w:val="24"/>
                <w:lang w:eastAsia="en-GB"/>
                <w14:ligatures w14:val="standardContextual"/>
              </w:rPr>
              <w:tab/>
            </w:r>
            <w:r w:rsidRPr="00241FAA">
              <w:rPr>
                <w:rStyle w:val="Hyperlink"/>
                <w:rFonts w:cstheme="minorHAnsi"/>
                <w:noProof/>
              </w:rPr>
              <w:t>Alternatives, Mitigation and the EMS</w:t>
            </w:r>
            <w:r>
              <w:rPr>
                <w:noProof/>
                <w:webHidden/>
              </w:rPr>
              <w:tab/>
            </w:r>
            <w:r>
              <w:rPr>
                <w:noProof/>
                <w:webHidden/>
              </w:rPr>
              <w:fldChar w:fldCharType="begin"/>
            </w:r>
            <w:r>
              <w:rPr>
                <w:noProof/>
                <w:webHidden/>
              </w:rPr>
              <w:instrText xml:space="preserve"> PAGEREF _Toc219485769 \h </w:instrText>
            </w:r>
            <w:r>
              <w:rPr>
                <w:noProof/>
                <w:webHidden/>
              </w:rPr>
            </w:r>
            <w:r>
              <w:rPr>
                <w:noProof/>
                <w:webHidden/>
              </w:rPr>
              <w:fldChar w:fldCharType="separate"/>
            </w:r>
            <w:r>
              <w:rPr>
                <w:noProof/>
                <w:webHidden/>
              </w:rPr>
              <w:t>4</w:t>
            </w:r>
            <w:r>
              <w:rPr>
                <w:noProof/>
                <w:webHidden/>
              </w:rPr>
              <w:fldChar w:fldCharType="end"/>
            </w:r>
          </w:hyperlink>
        </w:p>
        <w:p w14:paraId="66DB2BDB" w14:textId="2CFF0111" w:rsidR="006545B7" w:rsidRDefault="006545B7">
          <w:pPr>
            <w:pStyle w:val="TOC2"/>
            <w:tabs>
              <w:tab w:val="left" w:pos="960"/>
              <w:tab w:val="right" w:leader="dot" w:pos="9016"/>
            </w:tabs>
            <w:rPr>
              <w:rFonts w:eastAsiaTheme="minorEastAsia"/>
              <w:noProof/>
              <w:kern w:val="2"/>
              <w:sz w:val="24"/>
              <w:szCs w:val="24"/>
              <w:lang w:eastAsia="en-GB"/>
              <w14:ligatures w14:val="standardContextual"/>
            </w:rPr>
          </w:pPr>
          <w:hyperlink w:anchor="_Toc219485770" w:history="1">
            <w:r w:rsidRPr="00241FAA">
              <w:rPr>
                <w:rStyle w:val="Hyperlink"/>
                <w:rFonts w:cstheme="minorHAnsi"/>
                <w:noProof/>
              </w:rPr>
              <w:t>4.3</w:t>
            </w:r>
            <w:r>
              <w:rPr>
                <w:rFonts w:eastAsiaTheme="minorEastAsia"/>
                <w:noProof/>
                <w:kern w:val="2"/>
                <w:sz w:val="24"/>
                <w:szCs w:val="24"/>
                <w:lang w:eastAsia="en-GB"/>
                <w14:ligatures w14:val="standardContextual"/>
              </w:rPr>
              <w:tab/>
            </w:r>
            <w:r w:rsidRPr="00241FAA">
              <w:rPr>
                <w:rStyle w:val="Hyperlink"/>
                <w:rFonts w:cstheme="minorHAnsi"/>
                <w:noProof/>
              </w:rPr>
              <w:t>Presentation and Commu</w:t>
            </w:r>
            <w:r w:rsidRPr="00241FAA">
              <w:rPr>
                <w:rStyle w:val="Hyperlink"/>
                <w:rFonts w:cstheme="minorHAnsi"/>
                <w:noProof/>
              </w:rPr>
              <w:t>n</w:t>
            </w:r>
            <w:r w:rsidRPr="00241FAA">
              <w:rPr>
                <w:rStyle w:val="Hyperlink"/>
                <w:rFonts w:cstheme="minorHAnsi"/>
                <w:noProof/>
              </w:rPr>
              <w:t>ication</w:t>
            </w:r>
            <w:r>
              <w:rPr>
                <w:noProof/>
                <w:webHidden/>
              </w:rPr>
              <w:tab/>
            </w:r>
            <w:r>
              <w:rPr>
                <w:noProof/>
                <w:webHidden/>
              </w:rPr>
              <w:fldChar w:fldCharType="begin"/>
            </w:r>
            <w:r>
              <w:rPr>
                <w:noProof/>
                <w:webHidden/>
              </w:rPr>
              <w:instrText xml:space="preserve"> PAGEREF _Toc219485770 \h </w:instrText>
            </w:r>
            <w:r>
              <w:rPr>
                <w:noProof/>
                <w:webHidden/>
              </w:rPr>
            </w:r>
            <w:r>
              <w:rPr>
                <w:noProof/>
                <w:webHidden/>
              </w:rPr>
              <w:fldChar w:fldCharType="separate"/>
            </w:r>
            <w:r>
              <w:rPr>
                <w:noProof/>
                <w:webHidden/>
              </w:rPr>
              <w:t>5</w:t>
            </w:r>
            <w:r>
              <w:rPr>
                <w:noProof/>
                <w:webHidden/>
              </w:rPr>
              <w:fldChar w:fldCharType="end"/>
            </w:r>
          </w:hyperlink>
        </w:p>
        <w:p w14:paraId="012E59FD" w14:textId="0D9C1AB3" w:rsidR="006545B7" w:rsidRDefault="006545B7">
          <w:pPr>
            <w:pStyle w:val="TOC1"/>
            <w:tabs>
              <w:tab w:val="left" w:pos="440"/>
              <w:tab w:val="right" w:leader="dot" w:pos="9016"/>
            </w:tabs>
            <w:rPr>
              <w:rFonts w:eastAsiaTheme="minorEastAsia"/>
              <w:noProof/>
              <w:kern w:val="2"/>
              <w:sz w:val="24"/>
              <w:szCs w:val="24"/>
              <w:lang w:eastAsia="en-GB"/>
              <w14:ligatures w14:val="standardContextual"/>
            </w:rPr>
          </w:pPr>
          <w:hyperlink w:anchor="_Toc219485771" w:history="1">
            <w:r w:rsidRPr="00241FAA">
              <w:rPr>
                <w:rStyle w:val="Hyperlink"/>
                <w:rFonts w:cstheme="minorHAnsi"/>
                <w:noProof/>
              </w:rPr>
              <w:t>5</w:t>
            </w:r>
            <w:r>
              <w:rPr>
                <w:rFonts w:eastAsiaTheme="minorEastAsia"/>
                <w:noProof/>
                <w:kern w:val="2"/>
                <w:sz w:val="24"/>
                <w:szCs w:val="24"/>
                <w:lang w:eastAsia="en-GB"/>
                <w14:ligatures w14:val="standardContextual"/>
              </w:rPr>
              <w:tab/>
            </w:r>
            <w:r w:rsidRPr="00241FAA">
              <w:rPr>
                <w:rStyle w:val="Hyperlink"/>
                <w:rFonts w:cstheme="minorHAnsi"/>
                <w:noProof/>
              </w:rPr>
              <w:t>Public Participation</w:t>
            </w:r>
            <w:r>
              <w:rPr>
                <w:noProof/>
                <w:webHidden/>
              </w:rPr>
              <w:tab/>
            </w:r>
            <w:r>
              <w:rPr>
                <w:noProof/>
                <w:webHidden/>
              </w:rPr>
              <w:fldChar w:fldCharType="begin"/>
            </w:r>
            <w:r>
              <w:rPr>
                <w:noProof/>
                <w:webHidden/>
              </w:rPr>
              <w:instrText xml:space="preserve"> PAGEREF _Toc219485771 \h </w:instrText>
            </w:r>
            <w:r>
              <w:rPr>
                <w:noProof/>
                <w:webHidden/>
              </w:rPr>
            </w:r>
            <w:r>
              <w:rPr>
                <w:noProof/>
                <w:webHidden/>
              </w:rPr>
              <w:fldChar w:fldCharType="separate"/>
            </w:r>
            <w:r>
              <w:rPr>
                <w:noProof/>
                <w:webHidden/>
              </w:rPr>
              <w:t>5</w:t>
            </w:r>
            <w:r>
              <w:rPr>
                <w:noProof/>
                <w:webHidden/>
              </w:rPr>
              <w:fldChar w:fldCharType="end"/>
            </w:r>
          </w:hyperlink>
        </w:p>
        <w:p w14:paraId="6A3EE1D3" w14:textId="2D6CA427" w:rsidR="006545B7" w:rsidRDefault="006545B7">
          <w:pPr>
            <w:pStyle w:val="TOC1"/>
            <w:tabs>
              <w:tab w:val="left" w:pos="440"/>
              <w:tab w:val="right" w:leader="dot" w:pos="9016"/>
            </w:tabs>
            <w:rPr>
              <w:rFonts w:eastAsiaTheme="minorEastAsia"/>
              <w:noProof/>
              <w:kern w:val="2"/>
              <w:sz w:val="24"/>
              <w:szCs w:val="24"/>
              <w:lang w:eastAsia="en-GB"/>
              <w14:ligatures w14:val="standardContextual"/>
            </w:rPr>
          </w:pPr>
          <w:hyperlink w:anchor="_Toc219485772" w:history="1">
            <w:r w:rsidRPr="00241FAA">
              <w:rPr>
                <w:rStyle w:val="Hyperlink"/>
                <w:rFonts w:cstheme="minorHAnsi"/>
                <w:noProof/>
              </w:rPr>
              <w:t>6</w:t>
            </w:r>
            <w:r>
              <w:rPr>
                <w:rFonts w:eastAsiaTheme="minorEastAsia"/>
                <w:noProof/>
                <w:kern w:val="2"/>
                <w:sz w:val="24"/>
                <w:szCs w:val="24"/>
                <w:lang w:eastAsia="en-GB"/>
                <w14:ligatures w14:val="standardContextual"/>
              </w:rPr>
              <w:tab/>
            </w:r>
            <w:r w:rsidRPr="00241FAA">
              <w:rPr>
                <w:rStyle w:val="Hyperlink"/>
                <w:rFonts w:cstheme="minorHAnsi"/>
                <w:noProof/>
              </w:rPr>
              <w:t>Comparative Evaluation: Parc Pelenna and Kilvey Hill Skyline</w:t>
            </w:r>
            <w:r>
              <w:rPr>
                <w:noProof/>
                <w:webHidden/>
              </w:rPr>
              <w:tab/>
            </w:r>
            <w:r>
              <w:rPr>
                <w:noProof/>
                <w:webHidden/>
              </w:rPr>
              <w:fldChar w:fldCharType="begin"/>
            </w:r>
            <w:r>
              <w:rPr>
                <w:noProof/>
                <w:webHidden/>
              </w:rPr>
              <w:instrText xml:space="preserve"> PAGEREF _Toc219485772 \h </w:instrText>
            </w:r>
            <w:r>
              <w:rPr>
                <w:noProof/>
                <w:webHidden/>
              </w:rPr>
            </w:r>
            <w:r>
              <w:rPr>
                <w:noProof/>
                <w:webHidden/>
              </w:rPr>
              <w:fldChar w:fldCharType="separate"/>
            </w:r>
            <w:r>
              <w:rPr>
                <w:noProof/>
                <w:webHidden/>
              </w:rPr>
              <w:t>5</w:t>
            </w:r>
            <w:r>
              <w:rPr>
                <w:noProof/>
                <w:webHidden/>
              </w:rPr>
              <w:fldChar w:fldCharType="end"/>
            </w:r>
          </w:hyperlink>
        </w:p>
        <w:p w14:paraId="096A4E39" w14:textId="7311C77B" w:rsidR="006545B7" w:rsidRDefault="006545B7">
          <w:pPr>
            <w:pStyle w:val="TOC1"/>
            <w:tabs>
              <w:tab w:val="left" w:pos="440"/>
              <w:tab w:val="right" w:leader="dot" w:pos="9016"/>
            </w:tabs>
            <w:rPr>
              <w:rFonts w:eastAsiaTheme="minorEastAsia"/>
              <w:noProof/>
              <w:kern w:val="2"/>
              <w:sz w:val="24"/>
              <w:szCs w:val="24"/>
              <w:lang w:eastAsia="en-GB"/>
              <w14:ligatures w14:val="standardContextual"/>
            </w:rPr>
          </w:pPr>
          <w:hyperlink w:anchor="_Toc219485773" w:history="1">
            <w:r w:rsidRPr="00241FAA">
              <w:rPr>
                <w:rStyle w:val="Hyperlink"/>
                <w:rFonts w:cstheme="minorHAnsi"/>
                <w:noProof/>
              </w:rPr>
              <w:t>7</w:t>
            </w:r>
            <w:r>
              <w:rPr>
                <w:rFonts w:eastAsiaTheme="minorEastAsia"/>
                <w:noProof/>
                <w:kern w:val="2"/>
                <w:sz w:val="24"/>
                <w:szCs w:val="24"/>
                <w:lang w:eastAsia="en-GB"/>
                <w14:ligatures w14:val="standardContextual"/>
              </w:rPr>
              <w:tab/>
            </w:r>
            <w:r w:rsidRPr="00241FAA">
              <w:rPr>
                <w:rStyle w:val="Hyperlink"/>
                <w:rFonts w:cstheme="minorHAnsi"/>
                <w:noProof/>
              </w:rPr>
              <w:t>Conclusion</w:t>
            </w:r>
            <w:r>
              <w:rPr>
                <w:noProof/>
                <w:webHidden/>
              </w:rPr>
              <w:tab/>
            </w:r>
            <w:r>
              <w:rPr>
                <w:noProof/>
                <w:webHidden/>
              </w:rPr>
              <w:fldChar w:fldCharType="begin"/>
            </w:r>
            <w:r>
              <w:rPr>
                <w:noProof/>
                <w:webHidden/>
              </w:rPr>
              <w:instrText xml:space="preserve"> PAGEREF _Toc219485773 \h </w:instrText>
            </w:r>
            <w:r>
              <w:rPr>
                <w:noProof/>
                <w:webHidden/>
              </w:rPr>
            </w:r>
            <w:r>
              <w:rPr>
                <w:noProof/>
                <w:webHidden/>
              </w:rPr>
              <w:fldChar w:fldCharType="separate"/>
            </w:r>
            <w:r>
              <w:rPr>
                <w:noProof/>
                <w:webHidden/>
              </w:rPr>
              <w:t>6</w:t>
            </w:r>
            <w:r>
              <w:rPr>
                <w:noProof/>
                <w:webHidden/>
              </w:rPr>
              <w:fldChar w:fldCharType="end"/>
            </w:r>
          </w:hyperlink>
        </w:p>
        <w:p w14:paraId="4E47953B" w14:textId="1144116C" w:rsidR="006545B7" w:rsidRDefault="006545B7">
          <w:pPr>
            <w:pStyle w:val="TOC1"/>
            <w:tabs>
              <w:tab w:val="left" w:pos="440"/>
              <w:tab w:val="right" w:leader="dot" w:pos="9016"/>
            </w:tabs>
            <w:rPr>
              <w:rFonts w:eastAsiaTheme="minorEastAsia"/>
              <w:noProof/>
              <w:kern w:val="2"/>
              <w:sz w:val="24"/>
              <w:szCs w:val="24"/>
              <w:lang w:eastAsia="en-GB"/>
              <w14:ligatures w14:val="standardContextual"/>
            </w:rPr>
          </w:pPr>
          <w:hyperlink w:anchor="_Toc219485774" w:history="1">
            <w:r w:rsidRPr="00241FAA">
              <w:rPr>
                <w:rStyle w:val="Hyperlink"/>
                <w:noProof/>
              </w:rPr>
              <w:t>8</w:t>
            </w:r>
            <w:r>
              <w:rPr>
                <w:rFonts w:eastAsiaTheme="minorEastAsia"/>
                <w:noProof/>
                <w:kern w:val="2"/>
                <w:sz w:val="24"/>
                <w:szCs w:val="24"/>
                <w:lang w:eastAsia="en-GB"/>
                <w14:ligatures w14:val="standardContextual"/>
              </w:rPr>
              <w:tab/>
            </w:r>
            <w:r w:rsidRPr="00241FAA">
              <w:rPr>
                <w:rStyle w:val="Hyperlink"/>
                <w:noProof/>
              </w:rPr>
              <w:t>References</w:t>
            </w:r>
            <w:r>
              <w:rPr>
                <w:noProof/>
                <w:webHidden/>
              </w:rPr>
              <w:tab/>
            </w:r>
            <w:r>
              <w:rPr>
                <w:noProof/>
                <w:webHidden/>
              </w:rPr>
              <w:fldChar w:fldCharType="begin"/>
            </w:r>
            <w:r>
              <w:rPr>
                <w:noProof/>
                <w:webHidden/>
              </w:rPr>
              <w:instrText xml:space="preserve"> PAGEREF _Toc219485774 \h </w:instrText>
            </w:r>
            <w:r>
              <w:rPr>
                <w:noProof/>
                <w:webHidden/>
              </w:rPr>
            </w:r>
            <w:r>
              <w:rPr>
                <w:noProof/>
                <w:webHidden/>
              </w:rPr>
              <w:fldChar w:fldCharType="separate"/>
            </w:r>
            <w:r>
              <w:rPr>
                <w:noProof/>
                <w:webHidden/>
              </w:rPr>
              <w:t>7</w:t>
            </w:r>
            <w:r>
              <w:rPr>
                <w:noProof/>
                <w:webHidden/>
              </w:rPr>
              <w:fldChar w:fldCharType="end"/>
            </w:r>
          </w:hyperlink>
        </w:p>
        <w:p w14:paraId="450FA7E4" w14:textId="2B34DEF0" w:rsidR="00B25D24" w:rsidRPr="00553849" w:rsidRDefault="00B25D24">
          <w:pPr>
            <w:rPr>
              <w:rFonts w:cstheme="minorHAnsi"/>
            </w:rPr>
          </w:pPr>
          <w:r w:rsidRPr="00553849">
            <w:rPr>
              <w:rFonts w:cstheme="minorHAnsi"/>
              <w:b/>
              <w:bCs/>
              <w:noProof/>
            </w:rPr>
            <w:fldChar w:fldCharType="end"/>
          </w:r>
        </w:p>
      </w:sdtContent>
    </w:sdt>
    <w:p w14:paraId="1C2F6BBC" w14:textId="21DC05CD" w:rsidR="00B25D24" w:rsidRPr="00553849" w:rsidRDefault="00B25D24" w:rsidP="00B25D24">
      <w:pPr>
        <w:rPr>
          <w:rFonts w:cstheme="minorHAnsi"/>
        </w:rPr>
        <w:sectPr w:rsidR="00B25D24" w:rsidRPr="00553849" w:rsidSect="00962E5F">
          <w:pgSz w:w="11906" w:h="16838"/>
          <w:pgMar w:top="1440" w:right="1440" w:bottom="1440" w:left="1440" w:header="708" w:footer="708" w:gutter="0"/>
          <w:pgNumType w:fmt="lowerRoman" w:start="1"/>
          <w:cols w:space="708"/>
          <w:docGrid w:linePitch="360"/>
        </w:sectPr>
      </w:pPr>
      <w:r w:rsidRPr="00553849">
        <w:rPr>
          <w:rFonts w:cstheme="minorHAnsi"/>
        </w:rPr>
        <w:fldChar w:fldCharType="begin"/>
      </w:r>
      <w:r w:rsidRPr="00553849">
        <w:rPr>
          <w:rFonts w:cstheme="minorHAnsi"/>
        </w:rPr>
        <w:instrText xml:space="preserve"> TOC \h \z \t "Caption" \c </w:instrText>
      </w:r>
      <w:r w:rsidRPr="00553849">
        <w:rPr>
          <w:rFonts w:cstheme="minorHAnsi"/>
        </w:rPr>
        <w:fldChar w:fldCharType="separate"/>
      </w:r>
      <w:r w:rsidR="006545B7">
        <w:rPr>
          <w:rFonts w:cstheme="minorHAnsi"/>
          <w:b/>
          <w:bCs/>
          <w:noProof/>
        </w:rPr>
        <w:t>No table of figures entries found.</w:t>
      </w:r>
      <w:r w:rsidRPr="00553849">
        <w:rPr>
          <w:rFonts w:cstheme="minorHAnsi"/>
        </w:rPr>
        <w:fldChar w:fldCharType="end"/>
      </w:r>
    </w:p>
    <w:p w14:paraId="09758EED" w14:textId="336A9DAB" w:rsidR="00301299" w:rsidRPr="00553849" w:rsidRDefault="00301299" w:rsidP="00301299">
      <w:pPr>
        <w:pStyle w:val="Heading1"/>
        <w:rPr>
          <w:rFonts w:asciiTheme="minorHAnsi" w:hAnsiTheme="minorHAnsi" w:cstheme="minorHAnsi"/>
        </w:rPr>
      </w:pPr>
      <w:bookmarkStart w:id="0" w:name="_Toc219485758"/>
      <w:r w:rsidRPr="00553849">
        <w:rPr>
          <w:rFonts w:asciiTheme="minorHAnsi" w:hAnsiTheme="minorHAnsi" w:cstheme="minorHAnsi"/>
        </w:rPr>
        <w:lastRenderedPageBreak/>
        <w:t>Introduction</w:t>
      </w:r>
      <w:bookmarkEnd w:id="0"/>
    </w:p>
    <w:p w14:paraId="48EBF561" w14:textId="77777777" w:rsidR="00337A48" w:rsidRPr="00553849" w:rsidRDefault="00337A48" w:rsidP="00337A48">
      <w:pPr>
        <w:rPr>
          <w:rFonts w:cstheme="minorHAnsi"/>
        </w:rPr>
      </w:pPr>
    </w:p>
    <w:p w14:paraId="5804596A" w14:textId="75A5A366" w:rsidR="006E103C" w:rsidRPr="00553849" w:rsidRDefault="006E103C" w:rsidP="006E103C">
      <w:pPr>
        <w:rPr>
          <w:rFonts w:cstheme="minorHAnsi"/>
        </w:rPr>
      </w:pPr>
      <w:r w:rsidRPr="00553849">
        <w:rPr>
          <w:rFonts w:cstheme="minorHAnsi"/>
        </w:rPr>
        <w:t>Environmental Impact Assessment (EIA) occupies a central position within the United Kingdom planning system as a mechanism for ensuring that the potential environmental consequences of development proposals are properly understood before planning decisions are taken</w:t>
      </w:r>
      <w:r w:rsidR="00F66CC5">
        <w:rPr>
          <w:rFonts w:cstheme="minorHAnsi"/>
        </w:rPr>
        <w:t xml:space="preserve"> </w:t>
      </w:r>
      <w:r w:rsidR="00F66CC5" w:rsidRPr="00F66CC5">
        <w:rPr>
          <w:rFonts w:cstheme="minorHAnsi"/>
        </w:rPr>
        <w:t>(Leknes, 2001)</w:t>
      </w:r>
      <w:r w:rsidRPr="00553849">
        <w:rPr>
          <w:rFonts w:cstheme="minorHAnsi"/>
        </w:rPr>
        <w:t xml:space="preserve">. Rather than operating purely as a technical or procedural requirement, EIA is intended to function as a decision-support tool that promotes transparency, accountability and environmentally responsible development (Glasson, </w:t>
      </w:r>
      <w:proofErr w:type="spellStart"/>
      <w:r w:rsidRPr="00553849">
        <w:rPr>
          <w:rFonts w:cstheme="minorHAnsi"/>
        </w:rPr>
        <w:t>Therivel</w:t>
      </w:r>
      <w:proofErr w:type="spellEnd"/>
      <w:r w:rsidRPr="00553849">
        <w:rPr>
          <w:rFonts w:cstheme="minorHAnsi"/>
        </w:rPr>
        <w:t xml:space="preserve"> and Chadwick, 2012). By identifying likely significant effects at an early stage, EIA enables decision-makers to balance social, economic and environmental considerations in a more informed manner.</w:t>
      </w:r>
    </w:p>
    <w:p w14:paraId="39E70B5A" w14:textId="77777777" w:rsidR="006E103C" w:rsidRPr="00553849" w:rsidRDefault="006E103C" w:rsidP="006E103C">
      <w:pPr>
        <w:rPr>
          <w:rFonts w:cstheme="minorHAnsi"/>
        </w:rPr>
      </w:pPr>
      <w:r w:rsidRPr="00553849">
        <w:rPr>
          <w:rFonts w:cstheme="minorHAnsi"/>
        </w:rPr>
        <w:t>Within Wales, EIA is governed by the Town and Country Planning (Environmental Impact Assessment) (Wales) Regulations 2017, which transpose the amended EU EIA Directive (2014/52/EU) into domestic law. These Regulations place greater emphasis on issues such as climate change, biodiversity, human health and the monitoring of significant effects, reflecting the evolving role of EIA as a tool for sustainable development rather than simple impact prediction.</w:t>
      </w:r>
    </w:p>
    <w:p w14:paraId="6FAB5F59" w14:textId="26C75876" w:rsidR="006E103C" w:rsidRPr="00553849" w:rsidRDefault="006E103C" w:rsidP="006E103C">
      <w:pPr>
        <w:rPr>
          <w:rFonts w:cstheme="minorHAnsi"/>
        </w:rPr>
      </w:pPr>
      <w:r w:rsidRPr="00553849">
        <w:rPr>
          <w:rFonts w:cstheme="minorHAnsi"/>
        </w:rPr>
        <w:t>This report provides a critical evaluation of the EIA process undertaken for the proposed Parc Pelenna holiday resort development near Neath</w:t>
      </w:r>
      <w:r w:rsidR="00553849" w:rsidRPr="00553849">
        <w:rPr>
          <w:rFonts w:cstheme="minorHAnsi"/>
        </w:rPr>
        <w:t xml:space="preserve">. </w:t>
      </w:r>
      <w:r w:rsidRPr="00553849">
        <w:rPr>
          <w:rFonts w:cstheme="minorHAnsi"/>
        </w:rPr>
        <w:t>The proposal comprises tourism accommodation, access infrastructure and associated facilities located within a rural woodland environment. Such settings are inherently sensitive, particularly in relation to landscape character, biodiversity, tranquillity and local amenity. As a result, the quality of the EIA process is of particular importance in ensuring that potential adverse effects are appropriately identified, mitigated and managed.</w:t>
      </w:r>
    </w:p>
    <w:p w14:paraId="1C75C981" w14:textId="08F5AF1E" w:rsidR="006E103C" w:rsidRPr="00553849" w:rsidRDefault="006E103C" w:rsidP="006E103C">
      <w:pPr>
        <w:rPr>
          <w:rFonts w:cstheme="minorHAnsi"/>
        </w:rPr>
      </w:pPr>
      <w:r w:rsidRPr="00553849">
        <w:rPr>
          <w:rFonts w:cstheme="minorHAnsi"/>
        </w:rPr>
        <w:t>It is important to emphasise that this report does not seek to determine whether the Parc Pelenna development should or should not proceed. Instead, the analysis focuses on evaluating the effectiveness, robustness and overall quality of the EIA process itself. The assessment considers whether the Environmental Statement (ES) and supporting documentation reflect</w:t>
      </w:r>
      <w:r w:rsidR="00553849" w:rsidRPr="00553849">
        <w:rPr>
          <w:rFonts w:cstheme="minorHAnsi"/>
        </w:rPr>
        <w:t xml:space="preserve"> the</w:t>
      </w:r>
      <w:r w:rsidRPr="00553849">
        <w:rPr>
          <w:rFonts w:cstheme="minorHAnsi"/>
        </w:rPr>
        <w:t xml:space="preserve"> recognised best practice in EIA preparation and delivery, drawing on professional guidance from the Institute of Environmental Management and Assessment (IEMA) and the Chartered Institute of Ecology and Environmental Management (CIEEM), alongside established academic literature.</w:t>
      </w:r>
    </w:p>
    <w:p w14:paraId="6DC00A31" w14:textId="00EFB79F" w:rsidR="006E103C" w:rsidRPr="00553849" w:rsidRDefault="006E103C" w:rsidP="006E103C">
      <w:pPr>
        <w:rPr>
          <w:rFonts w:cstheme="minorHAnsi"/>
        </w:rPr>
      </w:pPr>
      <w:r w:rsidRPr="00553849">
        <w:rPr>
          <w:rFonts w:cstheme="minorHAnsi"/>
        </w:rPr>
        <w:t xml:space="preserve">To contextualise the quality of the Parc Pelenna EIA, the report also incorporates a comparative review of the </w:t>
      </w:r>
      <w:proofErr w:type="spellStart"/>
      <w:r w:rsidRPr="00553849">
        <w:rPr>
          <w:rFonts w:cstheme="minorHAnsi"/>
        </w:rPr>
        <w:t>Kilvey</w:t>
      </w:r>
      <w:proofErr w:type="spellEnd"/>
      <w:r w:rsidRPr="00553849">
        <w:rPr>
          <w:rFonts w:cstheme="minorHAnsi"/>
        </w:rPr>
        <w:t xml:space="preserve"> Hill Skyline development in Swansea</w:t>
      </w:r>
      <w:r w:rsidR="00734FED">
        <w:rPr>
          <w:rFonts w:cstheme="minorHAnsi"/>
        </w:rPr>
        <w:t xml:space="preserve"> </w:t>
      </w:r>
      <w:r w:rsidR="00734FED" w:rsidRPr="00734FED">
        <w:rPr>
          <w:rFonts w:cstheme="minorHAnsi"/>
        </w:rPr>
        <w:t>(ASBRI PLANNING, 2023)</w:t>
      </w:r>
      <w:r w:rsidRPr="00553849">
        <w:rPr>
          <w:rFonts w:cstheme="minorHAnsi"/>
        </w:rPr>
        <w:t>. This scheme represents a broadly comparable tourism and leisure proposal within an environmentally sensitive upland landscape and was subject to the same Welsh EIA regulatory framework. The comparison provides a useful benchmark for examining relative strengths and weaknesses in EIA practice, particularly in relation to the integration of EIA findings with Environmental Management Systems (EMS) and post-consent environmental governance.</w:t>
      </w:r>
    </w:p>
    <w:p w14:paraId="7B53D9B5" w14:textId="35E726B9" w:rsidR="006E103C" w:rsidRPr="00553849" w:rsidRDefault="006E103C" w:rsidP="006E103C">
      <w:pPr>
        <w:pStyle w:val="Heading1"/>
        <w:rPr>
          <w:rFonts w:asciiTheme="minorHAnsi" w:hAnsiTheme="minorHAnsi" w:cstheme="minorHAnsi"/>
        </w:rPr>
      </w:pPr>
      <w:bookmarkStart w:id="1" w:name="_Toc219485759"/>
      <w:r w:rsidRPr="00553849">
        <w:rPr>
          <w:rFonts w:asciiTheme="minorHAnsi" w:hAnsiTheme="minorHAnsi" w:cstheme="minorHAnsi"/>
        </w:rPr>
        <w:t>Methodology</w:t>
      </w:r>
      <w:bookmarkEnd w:id="1"/>
    </w:p>
    <w:p w14:paraId="5AD3E1C6" w14:textId="2F82AA6C" w:rsidR="006E103C" w:rsidRPr="00553849" w:rsidRDefault="006E103C" w:rsidP="006E103C">
      <w:pPr>
        <w:pStyle w:val="Heading2"/>
        <w:rPr>
          <w:rFonts w:asciiTheme="minorHAnsi" w:hAnsiTheme="minorHAnsi" w:cstheme="minorHAnsi"/>
        </w:rPr>
      </w:pPr>
      <w:bookmarkStart w:id="2" w:name="_Toc219485760"/>
      <w:r w:rsidRPr="00553849">
        <w:rPr>
          <w:rStyle w:val="Heading2Char"/>
          <w:rFonts w:asciiTheme="minorHAnsi" w:hAnsiTheme="minorHAnsi" w:cstheme="minorHAnsi"/>
        </w:rPr>
        <w:t>Review Framework</w:t>
      </w:r>
      <w:bookmarkEnd w:id="2"/>
    </w:p>
    <w:p w14:paraId="0D894DDD" w14:textId="115592B6" w:rsidR="006E103C" w:rsidRPr="00553849" w:rsidRDefault="006E103C" w:rsidP="006E103C">
      <w:pPr>
        <w:rPr>
          <w:rFonts w:cstheme="minorHAnsi"/>
        </w:rPr>
      </w:pPr>
      <w:r w:rsidRPr="00553849">
        <w:rPr>
          <w:rFonts w:cstheme="minorHAnsi"/>
        </w:rPr>
        <w:t>The quality of the Parc Pelenna Environmental Statement</w:t>
      </w:r>
      <w:r w:rsidR="00734FED">
        <w:rPr>
          <w:rFonts w:cstheme="minorHAnsi"/>
        </w:rPr>
        <w:t xml:space="preserve"> </w:t>
      </w:r>
      <w:r w:rsidR="00734FED" w:rsidRPr="00734FED">
        <w:rPr>
          <w:rFonts w:cstheme="minorHAnsi"/>
        </w:rPr>
        <w:t>(THE URBANISTS, 2024</w:t>
      </w:r>
      <w:r w:rsidR="00734FED">
        <w:rPr>
          <w:rFonts w:cstheme="minorHAnsi"/>
        </w:rPr>
        <w:t>)</w:t>
      </w:r>
      <w:r w:rsidRPr="00553849">
        <w:rPr>
          <w:rFonts w:cstheme="minorHAnsi"/>
        </w:rPr>
        <w:t xml:space="preserve"> has been assessed using the Lee and Colley Review Package (Lee et al., 1999). This framework is widely recognised in both academic research and professional EIA auditing as a robust and systematic method for evaluating the quality of Environmental Statements beyond simple regulatory compliance (Barker and Wood, 1999). Its continued use reflects its flexibility and ability to accommodate evolving EIA practice while maintaining a clear evaluative structure.</w:t>
      </w:r>
    </w:p>
    <w:p w14:paraId="677CBE19" w14:textId="1661DDCE" w:rsidR="006E103C" w:rsidRPr="00553849" w:rsidRDefault="006E103C" w:rsidP="006E103C">
      <w:pPr>
        <w:rPr>
          <w:rFonts w:cstheme="minorHAnsi"/>
        </w:rPr>
      </w:pPr>
      <w:r w:rsidRPr="00553849">
        <w:rPr>
          <w:rFonts w:cstheme="minorHAnsi"/>
        </w:rPr>
        <w:lastRenderedPageBreak/>
        <w:t xml:space="preserve">The Lee and Colley Review Package </w:t>
      </w:r>
      <w:proofErr w:type="gramStart"/>
      <w:r w:rsidRPr="00553849">
        <w:rPr>
          <w:rFonts w:cstheme="minorHAnsi"/>
        </w:rPr>
        <w:t>assesses</w:t>
      </w:r>
      <w:proofErr w:type="gramEnd"/>
      <w:r w:rsidRPr="00553849">
        <w:rPr>
          <w:rFonts w:cstheme="minorHAnsi"/>
        </w:rPr>
        <w:t xml:space="preserve"> Environmental Statements across four principal review areas: Description of the development and the baseline environment; identification and evaluation of environmental impacts; Consideration of alternatives and mitigation; Presentation and communication of findings.</w:t>
      </w:r>
    </w:p>
    <w:p w14:paraId="3795A25E" w14:textId="77777777" w:rsidR="006E103C" w:rsidRPr="00553849" w:rsidRDefault="006E103C" w:rsidP="006E103C">
      <w:pPr>
        <w:rPr>
          <w:rFonts w:cstheme="minorHAnsi"/>
        </w:rPr>
      </w:pPr>
      <w:r w:rsidRPr="00553849">
        <w:rPr>
          <w:rFonts w:cstheme="minorHAnsi"/>
        </w:rPr>
        <w:t>Each review area is subdivided into more detailed criteria, allowing for nuanced assessment of both strengths and weaknesses. Performance is graded from A (very good) to F (very poor). While the grading system inevitably involves an element of professional judgement, it provides a transparent and repeatable basis for critical evaluation. This is particularly valuable in academic and professional contexts, where consistency and comparability are important.</w:t>
      </w:r>
    </w:p>
    <w:p w14:paraId="0282CF76" w14:textId="252741ED" w:rsidR="006E103C" w:rsidRPr="00553849" w:rsidRDefault="006E103C" w:rsidP="006E103C">
      <w:pPr>
        <w:pStyle w:val="Heading2"/>
        <w:rPr>
          <w:rFonts w:asciiTheme="minorHAnsi" w:hAnsiTheme="minorHAnsi" w:cstheme="minorHAnsi"/>
        </w:rPr>
      </w:pPr>
      <w:bookmarkStart w:id="3" w:name="_Toc219485761"/>
      <w:r w:rsidRPr="00553849">
        <w:rPr>
          <w:rFonts w:asciiTheme="minorHAnsi" w:hAnsiTheme="minorHAnsi" w:cstheme="minorHAnsi"/>
        </w:rPr>
        <w:t>Consideration of the Environmental Management System</w:t>
      </w:r>
      <w:bookmarkEnd w:id="3"/>
    </w:p>
    <w:p w14:paraId="6F5D9723" w14:textId="5061AE56" w:rsidR="006E103C" w:rsidRPr="00553849" w:rsidRDefault="006E103C" w:rsidP="006E103C">
      <w:pPr>
        <w:rPr>
          <w:rFonts w:cstheme="minorHAnsi"/>
        </w:rPr>
      </w:pPr>
      <w:r w:rsidRPr="00553849">
        <w:rPr>
          <w:rFonts w:cstheme="minorHAnsi"/>
        </w:rPr>
        <w:t xml:space="preserve">In addition to the Environmental Statement, this review considers the Environmental Management System (EMS) submitted in support of the Parc Pelenna application </w:t>
      </w:r>
      <w:r w:rsidR="00734FED" w:rsidRPr="00734FED">
        <w:rPr>
          <w:rFonts w:cstheme="minorHAnsi"/>
        </w:rPr>
        <w:t>(THE URBANISTS, 2024)</w:t>
      </w:r>
      <w:r w:rsidRPr="00553849">
        <w:rPr>
          <w:rFonts w:cstheme="minorHAnsi"/>
        </w:rPr>
        <w:t>. The EMS forms an increasingly important component of the wider EIA process, particularly following amendments to the EIA Directive that emphasise monitoring and follow-up of significant effects.</w:t>
      </w:r>
    </w:p>
    <w:p w14:paraId="747C1F89" w14:textId="77777777" w:rsidR="006E103C" w:rsidRPr="00553849" w:rsidRDefault="006E103C" w:rsidP="006E103C">
      <w:pPr>
        <w:rPr>
          <w:rFonts w:cstheme="minorHAnsi"/>
        </w:rPr>
      </w:pPr>
      <w:r w:rsidRPr="00553849">
        <w:rPr>
          <w:rFonts w:cstheme="minorHAnsi"/>
        </w:rPr>
        <w:t>An effective EMS translates the predictions and mitigation measures identified within the EIA into practical actions during construction, operation and, where relevant, decommissioning. It also provides mechanisms for monitoring, reporting and adaptive management. The Parc Pelenna EMS is therefore assessed against IEMA guidance on EIA follow-up and international research highlighting the importance of post-consent monitoring and learning (Morrison-Saunders and Arts, 2012).</w:t>
      </w:r>
    </w:p>
    <w:p w14:paraId="58D2CB6C" w14:textId="69A2D841" w:rsidR="006E103C" w:rsidRPr="00553849" w:rsidRDefault="006E103C" w:rsidP="006E103C">
      <w:pPr>
        <w:pStyle w:val="Heading2"/>
        <w:rPr>
          <w:rFonts w:asciiTheme="minorHAnsi" w:hAnsiTheme="minorHAnsi" w:cstheme="minorHAnsi"/>
        </w:rPr>
      </w:pPr>
      <w:bookmarkStart w:id="4" w:name="_Toc219485762"/>
      <w:r w:rsidRPr="00553849">
        <w:rPr>
          <w:rFonts w:asciiTheme="minorHAnsi" w:hAnsiTheme="minorHAnsi" w:cstheme="minorHAnsi"/>
        </w:rPr>
        <w:t>Justification for Comparator Selection</w:t>
      </w:r>
      <w:bookmarkEnd w:id="4"/>
    </w:p>
    <w:p w14:paraId="29D2C36E" w14:textId="4E6A006B" w:rsidR="006E103C" w:rsidRPr="00553849" w:rsidRDefault="006E103C" w:rsidP="006E103C">
      <w:pPr>
        <w:rPr>
          <w:rFonts w:cstheme="minorHAnsi"/>
        </w:rPr>
      </w:pPr>
      <w:r w:rsidRPr="00553849">
        <w:rPr>
          <w:rFonts w:cstheme="minorHAnsi"/>
        </w:rPr>
        <w:t xml:space="preserve">The </w:t>
      </w:r>
      <w:proofErr w:type="spellStart"/>
      <w:r w:rsidRPr="00553849">
        <w:rPr>
          <w:rFonts w:cstheme="minorHAnsi"/>
        </w:rPr>
        <w:t>Kilvey</w:t>
      </w:r>
      <w:proofErr w:type="spellEnd"/>
      <w:r w:rsidRPr="00553849">
        <w:rPr>
          <w:rFonts w:cstheme="minorHAnsi"/>
        </w:rPr>
        <w:t xml:space="preserve"> Hill Skyline development was selected as a comparator due to </w:t>
      </w:r>
      <w:proofErr w:type="gramStart"/>
      <w:r w:rsidRPr="00553849">
        <w:rPr>
          <w:rFonts w:cstheme="minorHAnsi"/>
        </w:rPr>
        <w:t>a number of</w:t>
      </w:r>
      <w:proofErr w:type="gramEnd"/>
      <w:r w:rsidRPr="00553849">
        <w:rPr>
          <w:rFonts w:cstheme="minorHAnsi"/>
        </w:rPr>
        <w:t xml:space="preserve"> shared characteristics with Parc Pelenna. Both proposals involve large-scale tourism and leisure development within environmentally sensitive upland or wooded landscapes in South Wales. Both were subject to EIA under the Town and Country Planning (EIA) (Wales) Regulations 2017 and were determined by local planning authorities operating within a similar policy context.</w:t>
      </w:r>
    </w:p>
    <w:p w14:paraId="15A01A98" w14:textId="77777777" w:rsidR="006E103C" w:rsidRPr="00553849" w:rsidRDefault="006E103C" w:rsidP="006E103C">
      <w:pPr>
        <w:rPr>
          <w:rFonts w:cstheme="minorHAnsi"/>
        </w:rPr>
      </w:pPr>
      <w:r w:rsidRPr="00553849">
        <w:rPr>
          <w:rFonts w:cstheme="minorHAnsi"/>
        </w:rPr>
        <w:t xml:space="preserve">Importantly, the </w:t>
      </w:r>
      <w:proofErr w:type="spellStart"/>
      <w:r w:rsidRPr="00553849">
        <w:rPr>
          <w:rFonts w:cstheme="minorHAnsi"/>
        </w:rPr>
        <w:t>Kilvey</w:t>
      </w:r>
      <w:proofErr w:type="spellEnd"/>
      <w:r w:rsidRPr="00553849">
        <w:rPr>
          <w:rFonts w:cstheme="minorHAnsi"/>
        </w:rPr>
        <w:t xml:space="preserve"> Hill EIA and its associated EMS have been cited in professional discussions as demonstrating relatively strong integration between impact assessment, mitigation and post-consent environmental management. As such, it provides a useful benchmark against which the Parc Pelenna EIA can be evaluated. Comparative analysis of this nature is widely recognised as a valuable method for assessing EIA effectiveness and identifying opportunities for improved practice (</w:t>
      </w:r>
      <w:proofErr w:type="spellStart"/>
      <w:r w:rsidRPr="00553849">
        <w:rPr>
          <w:rFonts w:cstheme="minorHAnsi"/>
        </w:rPr>
        <w:t>Phylip</w:t>
      </w:r>
      <w:proofErr w:type="spellEnd"/>
      <w:r w:rsidRPr="00553849">
        <w:rPr>
          <w:rFonts w:cstheme="minorHAnsi"/>
        </w:rPr>
        <w:t>-Jones and Fischer, 2013).</w:t>
      </w:r>
    </w:p>
    <w:p w14:paraId="3A290592" w14:textId="5F1F01C2" w:rsidR="006E103C" w:rsidRPr="00553849" w:rsidRDefault="006E103C" w:rsidP="006E103C">
      <w:pPr>
        <w:pStyle w:val="Heading1"/>
        <w:rPr>
          <w:rFonts w:asciiTheme="minorHAnsi" w:hAnsiTheme="minorHAnsi" w:cstheme="minorHAnsi"/>
        </w:rPr>
      </w:pPr>
      <w:bookmarkStart w:id="5" w:name="_Toc219485763"/>
      <w:r w:rsidRPr="00553849">
        <w:rPr>
          <w:rFonts w:asciiTheme="minorHAnsi" w:hAnsiTheme="minorHAnsi" w:cstheme="minorHAnsi"/>
        </w:rPr>
        <w:t>Overview of the Parc Pelenna EIA Process</w:t>
      </w:r>
      <w:bookmarkEnd w:id="5"/>
    </w:p>
    <w:p w14:paraId="52C78F66" w14:textId="516CE118" w:rsidR="006E103C" w:rsidRPr="00553849" w:rsidRDefault="006E103C" w:rsidP="006E103C">
      <w:pPr>
        <w:pStyle w:val="Heading2"/>
        <w:rPr>
          <w:rFonts w:asciiTheme="minorHAnsi" w:hAnsiTheme="minorHAnsi" w:cstheme="minorHAnsi"/>
        </w:rPr>
      </w:pPr>
      <w:bookmarkStart w:id="6" w:name="_Toc219485764"/>
      <w:r w:rsidRPr="00553849">
        <w:rPr>
          <w:rFonts w:asciiTheme="minorHAnsi" w:hAnsiTheme="minorHAnsi" w:cstheme="minorHAnsi"/>
        </w:rPr>
        <w:t>Screening</w:t>
      </w:r>
      <w:bookmarkEnd w:id="6"/>
    </w:p>
    <w:p w14:paraId="4CD52255" w14:textId="58B50D43" w:rsidR="006E103C" w:rsidRPr="00553849" w:rsidRDefault="006E103C" w:rsidP="006E103C">
      <w:pPr>
        <w:rPr>
          <w:rFonts w:cstheme="minorHAnsi"/>
        </w:rPr>
      </w:pPr>
      <w:r w:rsidRPr="00553849">
        <w:rPr>
          <w:rFonts w:cstheme="minorHAnsi"/>
        </w:rPr>
        <w:t>The developer sought a formal screening opinion from the Local Planning Authority (LPA), recognising that the proposal constituted Schedule 2 development under the EIA (Wales) Regulations 2017. Given the scale of the proposed holiday resort, the extent of land take and its location within a rural woodland setting</w:t>
      </w:r>
      <w:r w:rsidR="00E0167B">
        <w:rPr>
          <w:rFonts w:cstheme="minorHAnsi"/>
        </w:rPr>
        <w:t xml:space="preserve"> </w:t>
      </w:r>
      <w:r w:rsidR="00E0167B" w:rsidRPr="00E0167B">
        <w:rPr>
          <w:rFonts w:cstheme="minorHAnsi"/>
        </w:rPr>
        <w:t>(THE URBANISTS, 2024b)</w:t>
      </w:r>
      <w:r w:rsidRPr="00553849">
        <w:rPr>
          <w:rFonts w:cstheme="minorHAnsi"/>
        </w:rPr>
        <w:t>, the LPA concluded that the development was likely to give rise to significant environmental effects, particularly in relation to landscape character and ecological receptors.</w:t>
      </w:r>
    </w:p>
    <w:p w14:paraId="2792EE66" w14:textId="77777777" w:rsidR="006E103C" w:rsidRPr="00553849" w:rsidRDefault="006E103C" w:rsidP="006E103C">
      <w:pPr>
        <w:rPr>
          <w:rFonts w:cstheme="minorHAnsi"/>
        </w:rPr>
      </w:pPr>
      <w:r w:rsidRPr="00553849">
        <w:rPr>
          <w:rFonts w:cstheme="minorHAnsi"/>
        </w:rPr>
        <w:t xml:space="preserve">The screening decision is clearly documented within the planning application file and demonstrates early engagement with the planning authority. This aligns with good practice guidance from IEMA </w:t>
      </w:r>
      <w:r w:rsidRPr="00553849">
        <w:rPr>
          <w:rFonts w:cstheme="minorHAnsi"/>
        </w:rPr>
        <w:lastRenderedPageBreak/>
        <w:t>(2017), which emphasises the importance of early dialogue to clarify EIA requirements and avoid unnecessary delay or uncertainty later in the process.</w:t>
      </w:r>
    </w:p>
    <w:p w14:paraId="4AD07886" w14:textId="1B4D9695" w:rsidR="006E103C" w:rsidRPr="00553849" w:rsidRDefault="006E103C" w:rsidP="006E103C">
      <w:pPr>
        <w:pStyle w:val="Heading2"/>
        <w:rPr>
          <w:rFonts w:asciiTheme="minorHAnsi" w:hAnsiTheme="minorHAnsi" w:cstheme="minorHAnsi"/>
        </w:rPr>
      </w:pPr>
      <w:bookmarkStart w:id="7" w:name="_Toc219485765"/>
      <w:r w:rsidRPr="00553849">
        <w:rPr>
          <w:rFonts w:asciiTheme="minorHAnsi" w:hAnsiTheme="minorHAnsi" w:cstheme="minorHAnsi"/>
        </w:rPr>
        <w:t>Scoping</w:t>
      </w:r>
      <w:bookmarkEnd w:id="7"/>
    </w:p>
    <w:p w14:paraId="3AAC92BC" w14:textId="77777777" w:rsidR="006E103C" w:rsidRPr="00553849" w:rsidRDefault="006E103C" w:rsidP="006E103C">
      <w:pPr>
        <w:rPr>
          <w:rFonts w:cstheme="minorHAnsi"/>
        </w:rPr>
      </w:pPr>
      <w:r w:rsidRPr="00553849">
        <w:rPr>
          <w:rFonts w:cstheme="minorHAnsi"/>
        </w:rPr>
        <w:t>Following the screening decision, a formal scoping request was submitted to the LPA. The scoping opinion identified key topics requiring assessment, including landscape and visual effects, ecology, transport, construction impacts and socio-economic considerations. Certain topics were scoped out on the basis that significant effects were considered unlikely.</w:t>
      </w:r>
    </w:p>
    <w:p w14:paraId="0985F8E9" w14:textId="77777777" w:rsidR="006E103C" w:rsidRPr="00553849" w:rsidRDefault="006E103C" w:rsidP="006E103C">
      <w:pPr>
        <w:rPr>
          <w:rFonts w:cstheme="minorHAnsi"/>
        </w:rPr>
      </w:pPr>
      <w:r w:rsidRPr="00553849">
        <w:rPr>
          <w:rFonts w:cstheme="minorHAnsi"/>
        </w:rPr>
        <w:t xml:space="preserve">While the scoping process meets the procedural requirements of Regulation 17, the justification provided for some scoping-out decisions is relatively brief. </w:t>
      </w:r>
      <w:proofErr w:type="gramStart"/>
      <w:r w:rsidRPr="00553849">
        <w:rPr>
          <w:rFonts w:cstheme="minorHAnsi"/>
        </w:rPr>
        <w:t>In particular, cumulative</w:t>
      </w:r>
      <w:proofErr w:type="gramEnd"/>
      <w:r w:rsidRPr="00553849">
        <w:rPr>
          <w:rFonts w:cstheme="minorHAnsi"/>
        </w:rPr>
        <w:t xml:space="preserve"> effects, long-term operational impacts and potential climate change interactions receive limited attention at this stage. This reflects a commonly identified weakness in EIA practice, whereby scoping is sometimes used to narrow the scope of assessment rather than to explicitly address uncertainty and risk (Wood, 2003).</w:t>
      </w:r>
    </w:p>
    <w:p w14:paraId="73AAC87A" w14:textId="4F32C7D6" w:rsidR="006E103C" w:rsidRPr="00553849" w:rsidRDefault="006E103C" w:rsidP="006E103C">
      <w:pPr>
        <w:pStyle w:val="Heading1"/>
        <w:rPr>
          <w:rFonts w:asciiTheme="minorHAnsi" w:hAnsiTheme="minorHAnsi" w:cstheme="minorHAnsi"/>
        </w:rPr>
      </w:pPr>
      <w:bookmarkStart w:id="8" w:name="_Toc219485766"/>
      <w:r w:rsidRPr="00553849">
        <w:rPr>
          <w:rFonts w:asciiTheme="minorHAnsi" w:hAnsiTheme="minorHAnsi" w:cstheme="minorHAnsi"/>
        </w:rPr>
        <w:t>Critical Evaluation Using the Lee and Colley Review Package</w:t>
      </w:r>
      <w:bookmarkEnd w:id="8"/>
    </w:p>
    <w:p w14:paraId="79D9D53F" w14:textId="77777777" w:rsidR="006E103C" w:rsidRPr="00553849" w:rsidRDefault="006E103C" w:rsidP="006E103C">
      <w:pPr>
        <w:rPr>
          <w:rFonts w:cstheme="minorHAnsi"/>
        </w:rPr>
      </w:pPr>
      <w:bookmarkStart w:id="9" w:name="_Toc219485767"/>
      <w:r w:rsidRPr="00553849">
        <w:rPr>
          <w:rStyle w:val="Heading2Char"/>
          <w:rFonts w:asciiTheme="minorHAnsi" w:hAnsiTheme="minorHAnsi" w:cstheme="minorHAnsi"/>
        </w:rPr>
        <w:t>4.1 Description of the Development and Baseline Environment</w:t>
      </w:r>
      <w:bookmarkEnd w:id="9"/>
    </w:p>
    <w:p w14:paraId="34D6C581" w14:textId="77777777" w:rsidR="006E103C" w:rsidRPr="00553849" w:rsidRDefault="006E103C" w:rsidP="006E103C">
      <w:pPr>
        <w:rPr>
          <w:rFonts w:cstheme="minorHAnsi"/>
        </w:rPr>
      </w:pPr>
      <w:r w:rsidRPr="00553849">
        <w:rPr>
          <w:rFonts w:cstheme="minorHAnsi"/>
        </w:rPr>
        <w:t>The Parc Pelenna Environmental Statement provides a clear and coherent description of the proposed development, including its location, scale, layout and key design components. The site context is well explained through maps, figures and narrative, allowing readers to understand how the proposal relates to the surrounding landscape and settlements.</w:t>
      </w:r>
    </w:p>
    <w:p w14:paraId="2E63A3D5" w14:textId="77777777" w:rsidR="006E103C" w:rsidRPr="00553849" w:rsidRDefault="006E103C" w:rsidP="006E103C">
      <w:pPr>
        <w:rPr>
          <w:rFonts w:cstheme="minorHAnsi"/>
        </w:rPr>
      </w:pPr>
      <w:r w:rsidRPr="00553849">
        <w:rPr>
          <w:rFonts w:cstheme="minorHAnsi"/>
        </w:rPr>
        <w:t>Baseline environmental conditions are described using a combination of desk-based data and site-specific surveys, broadly consistent with CIEEM guidance (2024). Ecological baseline information draws on habitat surveys and species records, while landscape baseline conditions are informed by published character assessments.</w:t>
      </w:r>
    </w:p>
    <w:p w14:paraId="3F90DE2C" w14:textId="77777777" w:rsidR="006E103C" w:rsidRPr="00553849" w:rsidRDefault="006E103C" w:rsidP="006E103C">
      <w:pPr>
        <w:rPr>
          <w:rFonts w:cstheme="minorHAnsi"/>
        </w:rPr>
      </w:pPr>
      <w:r w:rsidRPr="00553849">
        <w:rPr>
          <w:rFonts w:cstheme="minorHAnsi"/>
        </w:rPr>
        <w:t>However, there is relatively limited discussion of uncertainty within the baseline data, particularly in relation to seasonal variation in ecological receptors. Given the woodland setting and the potential presence of protected species, a more explicit acknowledgement of survey limitations and data gaps would have strengthened confidence in subsequent impact predictions.</w:t>
      </w:r>
    </w:p>
    <w:p w14:paraId="33A815E0" w14:textId="2ECC2693" w:rsidR="006E103C" w:rsidRPr="00553849" w:rsidRDefault="006E103C" w:rsidP="006E103C">
      <w:pPr>
        <w:rPr>
          <w:rFonts w:cstheme="minorHAnsi"/>
        </w:rPr>
      </w:pPr>
      <w:r w:rsidRPr="00553849">
        <w:rPr>
          <w:rFonts w:cstheme="minorHAnsi"/>
        </w:rPr>
        <w:t xml:space="preserve">Lee &amp; Colley grade: B </w:t>
      </w:r>
    </w:p>
    <w:p w14:paraId="525C0EB0" w14:textId="6CA626A4" w:rsidR="006E103C" w:rsidRPr="00553849" w:rsidRDefault="006E103C" w:rsidP="006E103C">
      <w:pPr>
        <w:pStyle w:val="Heading2"/>
        <w:rPr>
          <w:rFonts w:asciiTheme="minorHAnsi" w:hAnsiTheme="minorHAnsi" w:cstheme="minorHAnsi"/>
        </w:rPr>
      </w:pPr>
      <w:bookmarkStart w:id="10" w:name="_Toc219485768"/>
      <w:r w:rsidRPr="00553849">
        <w:rPr>
          <w:rFonts w:asciiTheme="minorHAnsi" w:hAnsiTheme="minorHAnsi" w:cstheme="minorHAnsi"/>
        </w:rPr>
        <w:t>Identification and Evaluation of Impacts</w:t>
      </w:r>
      <w:bookmarkEnd w:id="10"/>
    </w:p>
    <w:p w14:paraId="30AC4763" w14:textId="77777777" w:rsidR="006E103C" w:rsidRPr="00553849" w:rsidRDefault="006E103C" w:rsidP="006E103C">
      <w:pPr>
        <w:rPr>
          <w:rFonts w:cstheme="minorHAnsi"/>
        </w:rPr>
      </w:pPr>
      <w:r w:rsidRPr="00553849">
        <w:rPr>
          <w:rFonts w:cstheme="minorHAnsi"/>
        </w:rPr>
        <w:t>The Environmental Statement identifies a wide range of potential environmental effects across both the construction and operational phases of the development. Topic-specific methodologies are applied, and significance is generally derived through an assessment of effect magnitude combined with receptor sensitivity. This reflects standard UK EIA practice and broadly aligns with professional guidance.</w:t>
      </w:r>
    </w:p>
    <w:p w14:paraId="5C3B6573" w14:textId="77777777" w:rsidR="006E103C" w:rsidRPr="00553849" w:rsidRDefault="006E103C" w:rsidP="006E103C">
      <w:pPr>
        <w:rPr>
          <w:rFonts w:cstheme="minorHAnsi"/>
        </w:rPr>
      </w:pPr>
      <w:r w:rsidRPr="00553849">
        <w:rPr>
          <w:rFonts w:cstheme="minorHAnsi"/>
        </w:rPr>
        <w:t>However, closer examination reveals several qualitative weaknesses that limit the effectiveness of the assessment as a decision-support tool. While the ES often states whether impacts are significant or not, the reasoning underpinning these conclusions is not always made explicit. For example, thresholds for significance are sometimes implied rather than clearly defined, and the weighting given to different assessment criteria is rarely explained in detail. This lack of transparency is a long-standing critique of EIA practice and can undermine confidence in the robustness of conclusions reached (Barker and Wood, 1999).</w:t>
      </w:r>
    </w:p>
    <w:p w14:paraId="6DAFC75D" w14:textId="77777777" w:rsidR="006E103C" w:rsidRPr="00553849" w:rsidRDefault="006E103C" w:rsidP="006E103C">
      <w:pPr>
        <w:rPr>
          <w:rFonts w:cstheme="minorHAnsi"/>
        </w:rPr>
      </w:pPr>
      <w:r w:rsidRPr="00553849">
        <w:rPr>
          <w:rFonts w:cstheme="minorHAnsi"/>
        </w:rPr>
        <w:lastRenderedPageBreak/>
        <w:t>The reliance on professional judgement, while inevitable in EIA, is not sufficiently articulated. In several topic chapters, professional judgement appears to substitute for explicit justification, particularly where impacts are concluded to be of minor or negligible significance. Best practice guidance emphasises that professional judgement should be clearly signposted and justified, enabling decision-makers to understand not just what conclusions have been reached, but how and why they have been derived (Glasson et al., 2012).</w:t>
      </w:r>
    </w:p>
    <w:p w14:paraId="0B802BC8" w14:textId="77777777" w:rsidR="006E103C" w:rsidRPr="00553849" w:rsidRDefault="006E103C" w:rsidP="006E103C">
      <w:pPr>
        <w:rPr>
          <w:rFonts w:cstheme="minorHAnsi"/>
        </w:rPr>
      </w:pPr>
      <w:r w:rsidRPr="00553849">
        <w:rPr>
          <w:rFonts w:cstheme="minorHAnsi"/>
        </w:rPr>
        <w:t>Cumulative effects assessment represents another area of weakness. Although cumulative impacts are acknowledged, the analysis is largely descriptive and does not robustly explore how Parc Pelenna might interact with other existing or proposed developments in the wider area. Given the increasing policy emphasis on cumulative and in-combination effects, particularly in rural and semi-natural environments, this represents a missed opportunity to demonstrate a more strategic approach to impact assessment.</w:t>
      </w:r>
    </w:p>
    <w:p w14:paraId="4F1C47D6" w14:textId="55235FE5" w:rsidR="006E103C" w:rsidRPr="00553849" w:rsidRDefault="006E103C" w:rsidP="006E103C">
      <w:pPr>
        <w:rPr>
          <w:rFonts w:cstheme="minorHAnsi"/>
        </w:rPr>
      </w:pPr>
      <w:r w:rsidRPr="00553849">
        <w:rPr>
          <w:rFonts w:cstheme="minorHAnsi"/>
        </w:rPr>
        <w:t>Temporal aspects of impact are also underdeveloped. The ES tends to focus on short-term construction effects and steady-state operational conditions, with limited consideration of how impacts may evolve over time. Issues such as habitat maturation, changes in visitor pressure, and long-term landscape change are not explored in depth, despite their relevance to a tourism development in a woodland setting</w:t>
      </w:r>
      <w:r w:rsidR="00C2666E">
        <w:rPr>
          <w:rFonts w:cstheme="minorHAnsi"/>
        </w:rPr>
        <w:t xml:space="preserve"> </w:t>
      </w:r>
      <w:r w:rsidR="00C2666E" w:rsidRPr="00C2666E">
        <w:rPr>
          <w:rFonts w:cstheme="minorHAnsi"/>
        </w:rPr>
        <w:t xml:space="preserve">(THE URBANISTS, </w:t>
      </w:r>
      <w:r w:rsidR="00C2666E">
        <w:rPr>
          <w:rFonts w:cstheme="minorHAnsi"/>
        </w:rPr>
        <w:t>2024c</w:t>
      </w:r>
      <w:r w:rsidR="00C2666E" w:rsidRPr="00C2666E">
        <w:rPr>
          <w:rFonts w:cstheme="minorHAnsi"/>
        </w:rPr>
        <w:t>)</w:t>
      </w:r>
      <w:r w:rsidRPr="00553849">
        <w:rPr>
          <w:rFonts w:cstheme="minorHAnsi"/>
        </w:rPr>
        <w:t>.</w:t>
      </w:r>
    </w:p>
    <w:p w14:paraId="0AFCAEB8" w14:textId="6AB089E5" w:rsidR="006E103C" w:rsidRPr="00553849" w:rsidRDefault="006E103C" w:rsidP="006E103C">
      <w:pPr>
        <w:rPr>
          <w:rFonts w:cstheme="minorHAnsi"/>
        </w:rPr>
      </w:pPr>
      <w:r w:rsidRPr="00553849">
        <w:rPr>
          <w:rFonts w:cstheme="minorHAnsi"/>
        </w:rPr>
        <w:t>Lee &amp; Colley grade: C</w:t>
      </w:r>
    </w:p>
    <w:p w14:paraId="1AC77162" w14:textId="7C4F1862" w:rsidR="006E103C" w:rsidRPr="00553849" w:rsidRDefault="006E103C" w:rsidP="006E103C">
      <w:pPr>
        <w:pStyle w:val="Heading2"/>
        <w:rPr>
          <w:rFonts w:asciiTheme="minorHAnsi" w:hAnsiTheme="minorHAnsi" w:cstheme="minorHAnsi"/>
        </w:rPr>
      </w:pPr>
      <w:bookmarkStart w:id="11" w:name="_Toc219485769"/>
      <w:r w:rsidRPr="00553849">
        <w:rPr>
          <w:rFonts w:asciiTheme="minorHAnsi" w:hAnsiTheme="minorHAnsi" w:cstheme="minorHAnsi"/>
        </w:rPr>
        <w:t>Alternatives, Mitigation and the EMS</w:t>
      </w:r>
      <w:bookmarkEnd w:id="11"/>
    </w:p>
    <w:p w14:paraId="70557A57" w14:textId="77777777" w:rsidR="006E103C" w:rsidRPr="00553849" w:rsidRDefault="006E103C" w:rsidP="006E103C">
      <w:pPr>
        <w:rPr>
          <w:rFonts w:cstheme="minorHAnsi"/>
        </w:rPr>
      </w:pPr>
      <w:r w:rsidRPr="00553849">
        <w:rPr>
          <w:rFonts w:cstheme="minorHAnsi"/>
        </w:rPr>
        <w:t>The treatment of alternatives within the Parc Pelenna EIA reflects a predominantly project-level and reactive approach. Alternatives are largely confined to variations in layout and design within the site boundary, with little evidence that fundamentally different development options or locations were meaningfully explored. While this satisfies the minimum legal requirement to consider reasonable alternatives, it falls short of best practice, which emphasises the early integration of alternatives analysis as a means of avoiding significant environmental effects altogether (Glasson et al., 2012).</w:t>
      </w:r>
    </w:p>
    <w:p w14:paraId="1A434F39" w14:textId="77777777" w:rsidR="006E103C" w:rsidRPr="00553849" w:rsidRDefault="006E103C" w:rsidP="006E103C">
      <w:pPr>
        <w:rPr>
          <w:rFonts w:cstheme="minorHAnsi"/>
        </w:rPr>
      </w:pPr>
      <w:r w:rsidRPr="00553849">
        <w:rPr>
          <w:rFonts w:cstheme="minorHAnsi"/>
        </w:rPr>
        <w:t>The absence of a clear narrative explaining how environmental constraints influenced the selection of the preferred option is particularly notable. Alternatives appear to have been considered after key development parameters were already fixed, limiting the potential for EIA to shape the proposal in a genuinely proactive manner. This reinforces criticisms that EIA can become a justificatory exercise rather than a tool for shaping more sustainable outcomes (Wood, 2003).</w:t>
      </w:r>
    </w:p>
    <w:p w14:paraId="2342FBAD" w14:textId="77777777" w:rsidR="006E103C" w:rsidRPr="00553849" w:rsidRDefault="006E103C" w:rsidP="006E103C">
      <w:pPr>
        <w:rPr>
          <w:rFonts w:cstheme="minorHAnsi"/>
        </w:rPr>
      </w:pPr>
      <w:r w:rsidRPr="00553849">
        <w:rPr>
          <w:rFonts w:cstheme="minorHAnsi"/>
        </w:rPr>
        <w:t>Mitigation measures are identified for most significant impacts and are generally appropriate in principle. The mitigation hierarchy of avoidance, reduction and compensation is referenced, but its application is inconsistent. In several instances, mitigation focuses on reducing impacts rather than demonstrating that avoidance has been fully explored. This is particularly relevant in relation to ecological impacts, where site layout and design could potentially have been used more effectively to minimise disturbance to sensitive habitats.</w:t>
      </w:r>
    </w:p>
    <w:p w14:paraId="5BBDD7A4" w14:textId="77777777" w:rsidR="006E103C" w:rsidRPr="00553849" w:rsidRDefault="006E103C" w:rsidP="006E103C">
      <w:pPr>
        <w:rPr>
          <w:rFonts w:cstheme="minorHAnsi"/>
        </w:rPr>
      </w:pPr>
      <w:r w:rsidRPr="00553849">
        <w:rPr>
          <w:rFonts w:cstheme="minorHAnsi"/>
        </w:rPr>
        <w:t>The Environmental Management System represents a positive attempt to translate EIA commitments into operational controls. Roles and responsibilities are clearly defined, and a range of standard construction management measures are proposed. However, the EMS is weakly integrated with the impact assessment itself. Monitoring measures are not consistently tied back to specific EIA predictions, making it difficult to determine whether predicted effects will be verified in practice.</w:t>
      </w:r>
    </w:p>
    <w:p w14:paraId="1D068679" w14:textId="77777777" w:rsidR="006E103C" w:rsidRPr="00553849" w:rsidRDefault="006E103C" w:rsidP="006E103C">
      <w:pPr>
        <w:rPr>
          <w:rFonts w:cstheme="minorHAnsi"/>
        </w:rPr>
      </w:pPr>
      <w:r w:rsidRPr="00553849">
        <w:rPr>
          <w:rFonts w:cstheme="minorHAnsi"/>
        </w:rPr>
        <w:t xml:space="preserve">Furthermore, the EMS lacks clearly defined performance indicators and adaptive management triggers. Best practice EIA follow-up emphasises the importance of measurable indicators and clear </w:t>
      </w:r>
      <w:r w:rsidRPr="00553849">
        <w:rPr>
          <w:rFonts w:cstheme="minorHAnsi"/>
        </w:rPr>
        <w:lastRenderedPageBreak/>
        <w:t>thresholds that prompt corrective action where mitigation is not performing as expected (Morrison-Saunders and Arts, 2012). Without these mechanisms, the EMS provides limited assurance that environmental performance will be actively managed rather than passively recorded.</w:t>
      </w:r>
    </w:p>
    <w:p w14:paraId="1E6185E8" w14:textId="77777777" w:rsidR="006E103C" w:rsidRPr="00553849" w:rsidRDefault="006E103C" w:rsidP="006E103C">
      <w:pPr>
        <w:rPr>
          <w:rFonts w:cstheme="minorHAnsi"/>
        </w:rPr>
      </w:pPr>
      <w:r w:rsidRPr="00553849">
        <w:rPr>
          <w:rFonts w:cstheme="minorHAnsi"/>
        </w:rPr>
        <w:t>Lee &amp; Colley grade: C</w:t>
      </w:r>
    </w:p>
    <w:p w14:paraId="1E5AE6BB" w14:textId="2DEF44FA" w:rsidR="006E103C" w:rsidRPr="00553849" w:rsidRDefault="006E103C" w:rsidP="006E103C">
      <w:pPr>
        <w:pStyle w:val="Heading2"/>
        <w:rPr>
          <w:rFonts w:asciiTheme="minorHAnsi" w:hAnsiTheme="minorHAnsi" w:cstheme="minorHAnsi"/>
        </w:rPr>
      </w:pPr>
      <w:bookmarkStart w:id="12" w:name="_Toc219485770"/>
      <w:r w:rsidRPr="00553849">
        <w:rPr>
          <w:rFonts w:asciiTheme="minorHAnsi" w:hAnsiTheme="minorHAnsi" w:cstheme="minorHAnsi"/>
        </w:rPr>
        <w:t>Presentation and Communication</w:t>
      </w:r>
      <w:bookmarkEnd w:id="12"/>
    </w:p>
    <w:p w14:paraId="2052586C" w14:textId="5473EE73" w:rsidR="006E103C" w:rsidRPr="00553849" w:rsidRDefault="006E103C" w:rsidP="006E103C">
      <w:pPr>
        <w:rPr>
          <w:rFonts w:cstheme="minorHAnsi"/>
        </w:rPr>
      </w:pPr>
      <w:r w:rsidRPr="00553849">
        <w:rPr>
          <w:rFonts w:cstheme="minorHAnsi"/>
        </w:rPr>
        <w:t xml:space="preserve">The Environmental Statement is professionally presented, clearly structured and supported by figures and </w:t>
      </w:r>
      <w:proofErr w:type="gramStart"/>
      <w:r w:rsidRPr="00553849">
        <w:rPr>
          <w:rFonts w:cstheme="minorHAnsi"/>
        </w:rPr>
        <w:t>tables</w:t>
      </w:r>
      <w:r w:rsidR="00C2666E" w:rsidRPr="00C2666E">
        <w:rPr>
          <w:rFonts w:cstheme="minorHAnsi"/>
        </w:rPr>
        <w:t>(</w:t>
      </w:r>
      <w:proofErr w:type="gramEnd"/>
      <w:r w:rsidR="00C2666E" w:rsidRPr="00C2666E">
        <w:rPr>
          <w:rFonts w:cstheme="minorHAnsi"/>
        </w:rPr>
        <w:t>THE URBANISTS, 2024a)</w:t>
      </w:r>
      <w:r w:rsidRPr="00553849">
        <w:rPr>
          <w:rFonts w:cstheme="minorHAnsi"/>
        </w:rPr>
        <w:t>. The Non-Technical Summary</w:t>
      </w:r>
      <w:r w:rsidR="00C2666E">
        <w:rPr>
          <w:rFonts w:cstheme="minorHAnsi"/>
        </w:rPr>
        <w:t xml:space="preserve"> </w:t>
      </w:r>
      <w:r w:rsidR="00C2666E" w:rsidRPr="00C2666E">
        <w:rPr>
          <w:rFonts w:cstheme="minorHAnsi"/>
        </w:rPr>
        <w:t>(THE URBANISTS, 2024d)</w:t>
      </w:r>
      <w:r w:rsidRPr="00553849">
        <w:rPr>
          <w:rFonts w:cstheme="minorHAnsi"/>
        </w:rPr>
        <w:t xml:space="preserve"> is written in relatively accessible language and broadly meets the intent of the EIA Regulations and IEMA guidance (IEMA, 2023). However, its length and residual technical content may still present barriers for some non-specialist readers.</w:t>
      </w:r>
    </w:p>
    <w:p w14:paraId="1216DB76" w14:textId="77777777" w:rsidR="006E103C" w:rsidRPr="00553849" w:rsidRDefault="006E103C" w:rsidP="006E103C">
      <w:pPr>
        <w:rPr>
          <w:rFonts w:cstheme="minorHAnsi"/>
        </w:rPr>
      </w:pPr>
      <w:r w:rsidRPr="00553849">
        <w:rPr>
          <w:rFonts w:cstheme="minorHAnsi"/>
        </w:rPr>
        <w:t>Lee &amp; Colley grade: B</w:t>
      </w:r>
    </w:p>
    <w:p w14:paraId="11EE0880" w14:textId="0A774AFC" w:rsidR="006E103C" w:rsidRPr="00553849" w:rsidRDefault="006E103C" w:rsidP="006E103C">
      <w:pPr>
        <w:pStyle w:val="Heading1"/>
        <w:rPr>
          <w:rFonts w:asciiTheme="minorHAnsi" w:hAnsiTheme="minorHAnsi" w:cstheme="minorHAnsi"/>
        </w:rPr>
      </w:pPr>
      <w:bookmarkStart w:id="13" w:name="_Toc219485771"/>
      <w:r w:rsidRPr="00553849">
        <w:rPr>
          <w:rFonts w:asciiTheme="minorHAnsi" w:hAnsiTheme="minorHAnsi" w:cstheme="minorHAnsi"/>
        </w:rPr>
        <w:t>Public Participation</w:t>
      </w:r>
      <w:bookmarkEnd w:id="13"/>
    </w:p>
    <w:p w14:paraId="73C8C6AD" w14:textId="48A8E5F7" w:rsidR="006E103C" w:rsidRPr="00553849" w:rsidRDefault="006E103C" w:rsidP="006E103C">
      <w:pPr>
        <w:rPr>
          <w:rFonts w:cstheme="minorHAnsi"/>
        </w:rPr>
      </w:pPr>
      <w:r w:rsidRPr="00553849">
        <w:rPr>
          <w:rFonts w:cstheme="minorHAnsi"/>
        </w:rPr>
        <w:t xml:space="preserve">The Parc Pelenna EIA demonstrates compliance with statutory consultation requirements, including consultation with statutory consultees and opportunities for public comment during the </w:t>
      </w:r>
      <w:proofErr w:type="gramStart"/>
      <w:r w:rsidRPr="00553849">
        <w:rPr>
          <w:rFonts w:cstheme="minorHAnsi"/>
        </w:rPr>
        <w:t>scoping</w:t>
      </w:r>
      <w:r w:rsidR="00C2666E" w:rsidRPr="00C2666E">
        <w:rPr>
          <w:rFonts w:cstheme="minorHAnsi"/>
        </w:rPr>
        <w:t>(</w:t>
      </w:r>
      <w:proofErr w:type="gramEnd"/>
      <w:r w:rsidR="00C2666E" w:rsidRPr="00C2666E">
        <w:rPr>
          <w:rFonts w:cstheme="minorHAnsi"/>
        </w:rPr>
        <w:t>THE URBANISTS, 2024</w:t>
      </w:r>
      <w:r w:rsidR="00C2666E">
        <w:rPr>
          <w:rFonts w:cstheme="minorHAnsi"/>
        </w:rPr>
        <w:t>e</w:t>
      </w:r>
      <w:r w:rsidR="00C2666E" w:rsidRPr="00C2666E">
        <w:rPr>
          <w:rFonts w:cstheme="minorHAnsi"/>
        </w:rPr>
        <w:t>)</w:t>
      </w:r>
      <w:r w:rsidRPr="00553849">
        <w:rPr>
          <w:rFonts w:cstheme="minorHAnsi"/>
        </w:rPr>
        <w:t xml:space="preserve"> and application stages. However, compliance alone does not equate to effective participation, and deeper critique reveals several limitations in the approach adopted.</w:t>
      </w:r>
    </w:p>
    <w:p w14:paraId="787AD32E" w14:textId="77777777" w:rsidR="006E103C" w:rsidRPr="00553849" w:rsidRDefault="006E103C" w:rsidP="006E103C">
      <w:pPr>
        <w:rPr>
          <w:rFonts w:cstheme="minorHAnsi"/>
        </w:rPr>
      </w:pPr>
      <w:r w:rsidRPr="00553849">
        <w:rPr>
          <w:rFonts w:cstheme="minorHAnsi"/>
        </w:rPr>
        <w:t>Public engagement appears to have been largely linear and reactive, with consultation occurring at defined regulatory stages rather than as an iterative process throughout project development. There is limited evidence that issues raised by the public led to substantive changes in either the development design or the scope and focus of the environmental assessment. This supports critiques that public participation in EIA can become procedural rather than transformative (Arnstein, 1969).</w:t>
      </w:r>
    </w:p>
    <w:p w14:paraId="1B048120" w14:textId="77777777" w:rsidR="006E103C" w:rsidRPr="00553849" w:rsidRDefault="006E103C" w:rsidP="006E103C">
      <w:pPr>
        <w:rPr>
          <w:rFonts w:cstheme="minorHAnsi"/>
        </w:rPr>
      </w:pPr>
      <w:r w:rsidRPr="00553849">
        <w:rPr>
          <w:rFonts w:cstheme="minorHAnsi"/>
        </w:rPr>
        <w:t>The Environmental Statement provides only high-level summaries of consultation responses, with minimal explanation of how specific concerns were addressed or why certain suggestions were not taken forward. Best practice guidance emphasises the importance of feedback loops, where consultees can clearly see how their input has influenced decision-making. The absence of such feedback risks undermining public trust in the EIA process and reinforces perceptions of EIA as a technocratic exercise dominated by expert knowledge.</w:t>
      </w:r>
    </w:p>
    <w:p w14:paraId="16DA7461" w14:textId="628ABEDB" w:rsidR="006E103C" w:rsidRPr="00553849" w:rsidRDefault="006E103C" w:rsidP="006E103C">
      <w:pPr>
        <w:rPr>
          <w:rFonts w:cstheme="minorHAnsi"/>
        </w:rPr>
      </w:pPr>
      <w:r w:rsidRPr="00553849">
        <w:rPr>
          <w:rFonts w:cstheme="minorHAnsi"/>
        </w:rPr>
        <w:t>In comparison to more participatory models of EIA, the Parc Pelenna approach sits relatively low on Arnstein’s ladder of citizen participation, closer to consultation than partnership. While this reflects common practice within UK EIA, it nonetheless represents a missed opportunity to enhance the legitimacy and social robustness of the assessment</w:t>
      </w:r>
      <w:r w:rsidR="00A05214">
        <w:rPr>
          <w:rFonts w:cstheme="minorHAnsi"/>
        </w:rPr>
        <w:t xml:space="preserve"> </w:t>
      </w:r>
      <w:r w:rsidR="00A05214" w:rsidRPr="00A05214">
        <w:rPr>
          <w:rFonts w:cstheme="minorHAnsi"/>
        </w:rPr>
        <w:t>(THE URBANISTS, 2024</w:t>
      </w:r>
      <w:r w:rsidR="00A05214">
        <w:rPr>
          <w:rFonts w:cstheme="minorHAnsi"/>
        </w:rPr>
        <w:t>f</w:t>
      </w:r>
      <w:r w:rsidR="00A05214" w:rsidRPr="00A05214">
        <w:rPr>
          <w:rFonts w:cstheme="minorHAnsi"/>
        </w:rPr>
        <w:t>)</w:t>
      </w:r>
      <w:r w:rsidRPr="00553849">
        <w:rPr>
          <w:rFonts w:cstheme="minorHAnsi"/>
        </w:rPr>
        <w:t>.</w:t>
      </w:r>
    </w:p>
    <w:p w14:paraId="55AF7937" w14:textId="13259AF3" w:rsidR="006E103C" w:rsidRPr="00553849" w:rsidRDefault="006E103C" w:rsidP="006E103C">
      <w:pPr>
        <w:pStyle w:val="Heading1"/>
        <w:rPr>
          <w:rStyle w:val="Heading1Char"/>
          <w:rFonts w:asciiTheme="minorHAnsi" w:hAnsiTheme="minorHAnsi" w:cstheme="minorHAnsi"/>
        </w:rPr>
      </w:pPr>
      <w:bookmarkStart w:id="14" w:name="_Toc219485772"/>
      <w:r w:rsidRPr="00553849">
        <w:rPr>
          <w:rStyle w:val="Heading1Char"/>
          <w:rFonts w:asciiTheme="minorHAnsi" w:hAnsiTheme="minorHAnsi" w:cstheme="minorHAnsi"/>
        </w:rPr>
        <w:t xml:space="preserve">Comparative Evaluation: Parc Pelenna and </w:t>
      </w:r>
      <w:proofErr w:type="spellStart"/>
      <w:r w:rsidRPr="00553849">
        <w:rPr>
          <w:rStyle w:val="Heading1Char"/>
          <w:rFonts w:asciiTheme="minorHAnsi" w:hAnsiTheme="minorHAnsi" w:cstheme="minorHAnsi"/>
        </w:rPr>
        <w:t>Kilvey</w:t>
      </w:r>
      <w:proofErr w:type="spellEnd"/>
      <w:r w:rsidRPr="00553849">
        <w:rPr>
          <w:rStyle w:val="Heading1Char"/>
          <w:rFonts w:asciiTheme="minorHAnsi" w:hAnsiTheme="minorHAnsi" w:cstheme="minorHAnsi"/>
        </w:rPr>
        <w:t xml:space="preserve"> Hill Skyline</w:t>
      </w:r>
      <w:bookmarkEnd w:id="14"/>
    </w:p>
    <w:p w14:paraId="47CA13DD" w14:textId="77777777" w:rsidR="006E103C" w:rsidRPr="00553849" w:rsidRDefault="006E103C" w:rsidP="006E103C">
      <w:pPr>
        <w:rPr>
          <w:rFonts w:cstheme="minorHAnsi"/>
        </w:rPr>
      </w:pPr>
      <w:r w:rsidRPr="00553849">
        <w:rPr>
          <w:rFonts w:cstheme="minorHAnsi"/>
        </w:rPr>
        <w:t xml:space="preserve">Comparison with the </w:t>
      </w:r>
      <w:proofErr w:type="spellStart"/>
      <w:r w:rsidRPr="00553849">
        <w:rPr>
          <w:rFonts w:cstheme="minorHAnsi"/>
        </w:rPr>
        <w:t>Kilvey</w:t>
      </w:r>
      <w:proofErr w:type="spellEnd"/>
      <w:r w:rsidRPr="00553849">
        <w:rPr>
          <w:rFonts w:cstheme="minorHAnsi"/>
        </w:rPr>
        <w:t xml:space="preserve"> Hill Skyline EIA highlights clear differences in the application of EIA best practice. At </w:t>
      </w:r>
      <w:proofErr w:type="spellStart"/>
      <w:r w:rsidRPr="00553849">
        <w:rPr>
          <w:rFonts w:cstheme="minorHAnsi"/>
        </w:rPr>
        <w:t>Kilvey</w:t>
      </w:r>
      <w:proofErr w:type="spellEnd"/>
      <w:r w:rsidRPr="00553849">
        <w:rPr>
          <w:rFonts w:cstheme="minorHAnsi"/>
        </w:rPr>
        <w:t xml:space="preserve"> Hill, environmental constraints are shown to have influenced early design decisions, including layout refinement and mitigation strategy development. The </w:t>
      </w:r>
      <w:proofErr w:type="spellStart"/>
      <w:r w:rsidRPr="00553849">
        <w:rPr>
          <w:rFonts w:cstheme="minorHAnsi"/>
        </w:rPr>
        <w:t>Kilvey</w:t>
      </w:r>
      <w:proofErr w:type="spellEnd"/>
      <w:r w:rsidRPr="00553849">
        <w:rPr>
          <w:rFonts w:cstheme="minorHAnsi"/>
        </w:rPr>
        <w:t xml:space="preserve"> Hill EMS also establishes clear links between predicted impacts, mitigation and monitoring, including defined performance indicators and adaptive management responses.</w:t>
      </w:r>
    </w:p>
    <w:p w14:paraId="2E68D9CE" w14:textId="77777777" w:rsidR="006E103C" w:rsidRPr="00553849" w:rsidRDefault="006E103C" w:rsidP="006E103C">
      <w:pPr>
        <w:rPr>
          <w:rFonts w:cstheme="minorHAnsi"/>
        </w:rPr>
      </w:pPr>
      <w:r w:rsidRPr="00553849">
        <w:rPr>
          <w:rFonts w:cstheme="minorHAnsi"/>
        </w:rPr>
        <w:t xml:space="preserve">By contrast, the Parc Pelenna EIA demonstrates a more reactive approach, with alternatives and mitigation largely addressed after the development concept had been fixed. Public participation at </w:t>
      </w:r>
      <w:proofErr w:type="spellStart"/>
      <w:r w:rsidRPr="00553849">
        <w:rPr>
          <w:rFonts w:cstheme="minorHAnsi"/>
        </w:rPr>
        <w:lastRenderedPageBreak/>
        <w:t>Kilvey</w:t>
      </w:r>
      <w:proofErr w:type="spellEnd"/>
      <w:r w:rsidRPr="00553849">
        <w:rPr>
          <w:rFonts w:cstheme="minorHAnsi"/>
        </w:rPr>
        <w:t xml:space="preserve"> Hill also appears more iterative, with clearer feedback loops between consultation responses and project design.</w:t>
      </w:r>
    </w:p>
    <w:p w14:paraId="05D56D42" w14:textId="77777777" w:rsidR="006E103C" w:rsidRPr="00553849" w:rsidRDefault="006E103C" w:rsidP="006E103C">
      <w:pPr>
        <w:rPr>
          <w:rFonts w:cstheme="minorHAnsi"/>
        </w:rPr>
      </w:pPr>
    </w:p>
    <w:p w14:paraId="29C058D5" w14:textId="0BFDF767" w:rsidR="006E103C" w:rsidRPr="00553849" w:rsidRDefault="006E103C" w:rsidP="006E103C">
      <w:pPr>
        <w:pStyle w:val="Heading1"/>
        <w:rPr>
          <w:rFonts w:asciiTheme="minorHAnsi" w:hAnsiTheme="minorHAnsi" w:cstheme="minorHAnsi"/>
        </w:rPr>
      </w:pPr>
      <w:bookmarkStart w:id="15" w:name="_Toc219485773"/>
      <w:r w:rsidRPr="00553849">
        <w:rPr>
          <w:rFonts w:asciiTheme="minorHAnsi" w:hAnsiTheme="minorHAnsi" w:cstheme="minorHAnsi"/>
        </w:rPr>
        <w:t>Conclusion</w:t>
      </w:r>
      <w:bookmarkEnd w:id="15"/>
    </w:p>
    <w:p w14:paraId="531C9CA0" w14:textId="77777777" w:rsidR="006E103C" w:rsidRPr="00553849" w:rsidRDefault="006E103C" w:rsidP="006E103C">
      <w:pPr>
        <w:rPr>
          <w:rFonts w:cstheme="minorHAnsi"/>
        </w:rPr>
      </w:pPr>
      <w:r w:rsidRPr="00553849">
        <w:rPr>
          <w:rFonts w:cstheme="minorHAnsi"/>
        </w:rPr>
        <w:t>Overall, the Parc Pelenna EIA demonstrates adequate to good practice when assessed using the Lee and Colley Review Package. While procedural compliance with the EIA (Wales) Regulations 2017 is achieved, several qualitative weaknesses limit the effectiveness of the EIA as a decision-support tool.</w:t>
      </w:r>
    </w:p>
    <w:p w14:paraId="0BB17747" w14:textId="77777777" w:rsidR="006E103C" w:rsidRPr="00553849" w:rsidRDefault="006E103C" w:rsidP="006E103C">
      <w:pPr>
        <w:rPr>
          <w:rFonts w:cstheme="minorHAnsi"/>
        </w:rPr>
      </w:pPr>
      <w:r w:rsidRPr="00553849">
        <w:rPr>
          <w:rFonts w:cstheme="minorHAnsi"/>
        </w:rPr>
        <w:t xml:space="preserve">In particular, the assessment would benefit from stronger consideration of strategic alternatives, greater transparency in significance determination and more robust integration between EIA predictions and the EMS. The comparison with the </w:t>
      </w:r>
      <w:proofErr w:type="spellStart"/>
      <w:r w:rsidRPr="00553849">
        <w:rPr>
          <w:rFonts w:cstheme="minorHAnsi"/>
        </w:rPr>
        <w:t>Kilvey</w:t>
      </w:r>
      <w:proofErr w:type="spellEnd"/>
      <w:r w:rsidRPr="00553849">
        <w:rPr>
          <w:rFonts w:cstheme="minorHAnsi"/>
        </w:rPr>
        <w:t xml:space="preserve"> Hill Skyline EIA illustrates that higher standards of EIA practice are achievable within the Welsh planning context and highlights opportunities for improving the role of EIA in promoting sustainable development.</w:t>
      </w:r>
    </w:p>
    <w:p w14:paraId="79083CE6" w14:textId="77777777" w:rsidR="00553849" w:rsidRDefault="00553849" w:rsidP="006E103C"/>
    <w:p w14:paraId="663FC1F2" w14:textId="77777777" w:rsidR="00553849" w:rsidRDefault="00553849" w:rsidP="006E103C"/>
    <w:p w14:paraId="349B076D" w14:textId="77777777" w:rsidR="00553849" w:rsidRDefault="00553849" w:rsidP="006E103C"/>
    <w:p w14:paraId="00FE84F1" w14:textId="77777777" w:rsidR="00553849" w:rsidRDefault="00553849" w:rsidP="006E103C"/>
    <w:p w14:paraId="2B7BCD47" w14:textId="77777777" w:rsidR="00553849" w:rsidRDefault="00553849" w:rsidP="006E103C"/>
    <w:p w14:paraId="50222439" w14:textId="77777777" w:rsidR="00553849" w:rsidRDefault="00553849" w:rsidP="006E103C"/>
    <w:p w14:paraId="6845E767" w14:textId="77777777" w:rsidR="00553849" w:rsidRDefault="00553849" w:rsidP="006E103C"/>
    <w:p w14:paraId="5A349B71" w14:textId="77777777" w:rsidR="00553849" w:rsidRDefault="00553849" w:rsidP="006E103C"/>
    <w:p w14:paraId="7E3BDE5F" w14:textId="77777777" w:rsidR="00553849" w:rsidRDefault="00553849" w:rsidP="006E103C"/>
    <w:p w14:paraId="71FEED52" w14:textId="77777777" w:rsidR="00553849" w:rsidRDefault="00553849" w:rsidP="006E103C"/>
    <w:p w14:paraId="41D264E0" w14:textId="77777777" w:rsidR="00553849" w:rsidRDefault="00553849" w:rsidP="006E103C"/>
    <w:p w14:paraId="757563A3" w14:textId="77777777" w:rsidR="00553849" w:rsidRDefault="00553849" w:rsidP="006E103C"/>
    <w:p w14:paraId="3B81DE1B" w14:textId="77777777" w:rsidR="00553849" w:rsidRDefault="00553849" w:rsidP="006E103C"/>
    <w:p w14:paraId="0F4FC35C" w14:textId="77777777" w:rsidR="00553849" w:rsidRDefault="00553849" w:rsidP="006E103C"/>
    <w:p w14:paraId="2A99F47D" w14:textId="77777777" w:rsidR="00553849" w:rsidRDefault="00553849" w:rsidP="006E103C"/>
    <w:p w14:paraId="03CD8BDD" w14:textId="77777777" w:rsidR="00553849" w:rsidRDefault="00553849" w:rsidP="006E103C"/>
    <w:p w14:paraId="2182168A" w14:textId="77777777" w:rsidR="00553849" w:rsidRDefault="00553849" w:rsidP="006E103C"/>
    <w:p w14:paraId="686111D3" w14:textId="77777777" w:rsidR="00553849" w:rsidRDefault="00553849" w:rsidP="006E103C"/>
    <w:p w14:paraId="49DAF2C0" w14:textId="77777777" w:rsidR="00553849" w:rsidRDefault="00553849" w:rsidP="006E103C"/>
    <w:p w14:paraId="49035AF0" w14:textId="77777777" w:rsidR="00553849" w:rsidRDefault="00553849" w:rsidP="006E103C"/>
    <w:p w14:paraId="70AFF82D" w14:textId="77777777" w:rsidR="00553849" w:rsidRDefault="00553849" w:rsidP="006E103C"/>
    <w:p w14:paraId="140DD78A" w14:textId="77777777" w:rsidR="00553849" w:rsidRDefault="00553849" w:rsidP="006E103C"/>
    <w:p w14:paraId="65446B9B" w14:textId="77777777" w:rsidR="00553849" w:rsidRPr="006E103C" w:rsidRDefault="00553849" w:rsidP="006E103C"/>
    <w:p w14:paraId="622A0EBC" w14:textId="4B22FBE9" w:rsidR="0004542F" w:rsidRDefault="006E103C" w:rsidP="006E103C">
      <w:pPr>
        <w:pStyle w:val="Heading1"/>
      </w:pPr>
      <w:bookmarkStart w:id="16" w:name="_Toc219485774"/>
      <w:r>
        <w:t>References</w:t>
      </w:r>
      <w:bookmarkEnd w:id="16"/>
      <w:r>
        <w:t xml:space="preserve"> </w:t>
      </w:r>
    </w:p>
    <w:p w14:paraId="2909C5AC" w14:textId="77777777" w:rsidR="006E103C" w:rsidRPr="00553849" w:rsidRDefault="006E103C" w:rsidP="006E103C">
      <w:r w:rsidRPr="00553849">
        <w:t>Arnstein, S.R. (1969) A ladder of citizen participation. Journal of the American Institute of Planners, 35(4), pp. 216–224.</w:t>
      </w:r>
    </w:p>
    <w:p w14:paraId="76F10E67" w14:textId="77777777" w:rsidR="006E103C" w:rsidRPr="00553849" w:rsidRDefault="006E103C" w:rsidP="006E103C">
      <w:r w:rsidRPr="00553849">
        <w:t>Barker, A. and Wood, C. (1999) An evaluation of EIA system performance in the European Union. Environmental Impact Assessment Review, 19(4), pp. 387–404.</w:t>
      </w:r>
    </w:p>
    <w:p w14:paraId="18C28B18" w14:textId="77777777" w:rsidR="006E103C" w:rsidRPr="00553849" w:rsidRDefault="006E103C" w:rsidP="006E103C">
      <w:r w:rsidRPr="00553849">
        <w:t>CIEEM (2024) Guidelines for Ecological Impact Assessment in the UK and Ireland. Winchester: Chartered Institute of Ecology and Environmental Management.</w:t>
      </w:r>
    </w:p>
    <w:p w14:paraId="7A5ECCFD" w14:textId="77777777" w:rsidR="006E103C" w:rsidRPr="00553849" w:rsidRDefault="006E103C" w:rsidP="006E103C">
      <w:r w:rsidRPr="00553849">
        <w:t>Environmental Management System (EMS) (2024) Parc Pelenna Development Environmental Management System. Submitted in support of Planning Application P2024/0543. Neath Port Talbot County Borough Council.</w:t>
      </w:r>
    </w:p>
    <w:p w14:paraId="21EB0BBC" w14:textId="77777777" w:rsidR="006E103C" w:rsidRPr="00553849" w:rsidRDefault="006E103C" w:rsidP="006E103C">
      <w:r w:rsidRPr="00553849">
        <w:t>Environmental Statement (2024) Parc Pelenna Holiday Resort, Neath. Environmental Statement submitted in support of Planning Application P2024/0543. Neath Port Talbot County Borough Council.</w:t>
      </w:r>
    </w:p>
    <w:p w14:paraId="512DEEA8" w14:textId="77777777" w:rsidR="006E103C" w:rsidRPr="00553849" w:rsidRDefault="006E103C" w:rsidP="006E103C">
      <w:r w:rsidRPr="00553849">
        <w:t xml:space="preserve">Glasson, J., </w:t>
      </w:r>
      <w:proofErr w:type="spellStart"/>
      <w:r w:rsidRPr="00553849">
        <w:t>Therivel</w:t>
      </w:r>
      <w:proofErr w:type="spellEnd"/>
      <w:r w:rsidRPr="00553849">
        <w:t xml:space="preserve">, R. and Chadwick, A. (2012) Introduction to Environmental Impact Assessment. 4th </w:t>
      </w:r>
      <w:proofErr w:type="spellStart"/>
      <w:r w:rsidRPr="00553849">
        <w:t>edn</w:t>
      </w:r>
      <w:proofErr w:type="spellEnd"/>
      <w:r w:rsidRPr="00553849">
        <w:t>. London: Routledge.</w:t>
      </w:r>
    </w:p>
    <w:p w14:paraId="6A29882F" w14:textId="77777777" w:rsidR="006E103C" w:rsidRPr="00553849" w:rsidRDefault="006E103C" w:rsidP="006E103C">
      <w:r w:rsidRPr="00553849">
        <w:t>IEMA (2017) Environmental Impact Assessment: Guide to Good Practice. Lincoln: Institute of Environmental Management and Assessment.</w:t>
      </w:r>
    </w:p>
    <w:p w14:paraId="565A5528" w14:textId="77777777" w:rsidR="006E103C" w:rsidRPr="00553849" w:rsidRDefault="006E103C" w:rsidP="006E103C">
      <w:r w:rsidRPr="00553849">
        <w:t>IEMA (2020) Climate Change Resilience and Adaptation in Environmental Impact Assessment. Lincoln: Institute of Environmental Management and Assessment.</w:t>
      </w:r>
    </w:p>
    <w:p w14:paraId="6281B074" w14:textId="77777777" w:rsidR="006E103C" w:rsidRPr="00553849" w:rsidRDefault="006E103C" w:rsidP="006E103C">
      <w:r w:rsidRPr="00553849">
        <w:t>IEMA (2023) Effective Non-Technical Summaries. Lincoln: Institute of Environmental Management and Assessment.</w:t>
      </w:r>
    </w:p>
    <w:p w14:paraId="245B3293" w14:textId="77777777" w:rsidR="006E103C" w:rsidRPr="00553849" w:rsidRDefault="006E103C" w:rsidP="006E103C">
      <w:r w:rsidRPr="00553849">
        <w:t>Lee, N., Colley, R., Bonde, J. and Simpson, J. (1999) Reviewing the Quality of Environmental Statements. Manchester: EIA Centre, University of Manchester.</w:t>
      </w:r>
    </w:p>
    <w:p w14:paraId="59B00279" w14:textId="77777777" w:rsidR="006E103C" w:rsidRPr="00553849" w:rsidRDefault="006E103C" w:rsidP="006E103C">
      <w:r w:rsidRPr="00553849">
        <w:t>Morrison-Saunders, A. and Arts, J. (2012) Assessing Impact: Handbook of EIA and SEA Follow-up. London: Earthscan.</w:t>
      </w:r>
    </w:p>
    <w:p w14:paraId="505BCA53" w14:textId="77777777" w:rsidR="006E103C" w:rsidRPr="00553849" w:rsidRDefault="006E103C" w:rsidP="006E103C">
      <w:r w:rsidRPr="00553849">
        <w:t>Phylip-Jones, J. and Fischer, T.B. (2013) EIA effectiveness: A systematic review of the literature. Environmental Impact Assessment Review, 41, pp. 1–10.</w:t>
      </w:r>
    </w:p>
    <w:p w14:paraId="6C6DC158" w14:textId="77777777" w:rsidR="006E103C" w:rsidRPr="00553849" w:rsidRDefault="006E103C" w:rsidP="006E103C">
      <w:r w:rsidRPr="00553849">
        <w:t xml:space="preserve">Wood, C. (2003) Environmental Impact Assessment: A Comparative Review. 2nd </w:t>
      </w:r>
      <w:proofErr w:type="spellStart"/>
      <w:r w:rsidRPr="00553849">
        <w:t>edn</w:t>
      </w:r>
      <w:proofErr w:type="spellEnd"/>
      <w:r w:rsidRPr="00553849">
        <w:t>. Harlow: Pearson Education.</w:t>
      </w:r>
    </w:p>
    <w:p w14:paraId="1E2AF7DA" w14:textId="77777777" w:rsidR="00C2666E" w:rsidRPr="00C2666E" w:rsidRDefault="00C2666E" w:rsidP="00C2666E">
      <w:r w:rsidRPr="00C2666E">
        <w:t>ASBRI PLANNING (2023) ‘Skyline Swansea Environmental Statement’.</w:t>
      </w:r>
    </w:p>
    <w:p w14:paraId="71732B94" w14:textId="77777777" w:rsidR="00C2666E" w:rsidRPr="00C2666E" w:rsidRDefault="00C2666E" w:rsidP="00C2666E">
      <w:r w:rsidRPr="00C2666E">
        <w:t xml:space="preserve">Leknes, E. (2001) ‘The Roles of EIA in the decision-making Process’, </w:t>
      </w:r>
      <w:r w:rsidRPr="00C2666E">
        <w:rPr>
          <w:i/>
          <w:iCs/>
        </w:rPr>
        <w:t>Environmental Impact Assessment Review</w:t>
      </w:r>
      <w:r w:rsidRPr="00C2666E">
        <w:t>, 21(4), pp. 309–334. Available at: https://doi.org/10.1016/s0195-9255(00)00081-0.</w:t>
      </w:r>
    </w:p>
    <w:p w14:paraId="6A5BAE3F" w14:textId="3B152480" w:rsidR="00C2666E" w:rsidRPr="00C2666E" w:rsidRDefault="00C2666E" w:rsidP="00C2666E">
      <w:r w:rsidRPr="00C2666E">
        <w:t>THE URBANISTS (2024</w:t>
      </w:r>
      <w:r>
        <w:t>e</w:t>
      </w:r>
      <w:r w:rsidRPr="00C2666E">
        <w:t xml:space="preserve">) </w:t>
      </w:r>
      <w:r w:rsidRPr="00C2666E">
        <w:rPr>
          <w:i/>
          <w:iCs/>
        </w:rPr>
        <w:t>Parc Pelenna EIA Scoping Statement</w:t>
      </w:r>
      <w:r w:rsidRPr="00C2666E">
        <w:t>.</w:t>
      </w:r>
    </w:p>
    <w:p w14:paraId="5A388CDD" w14:textId="1108F391" w:rsidR="00C2666E" w:rsidRPr="00C2666E" w:rsidRDefault="00C2666E" w:rsidP="00C2666E">
      <w:r w:rsidRPr="00C2666E">
        <w:t>THE URBANISTS (2024</w:t>
      </w:r>
      <w:r>
        <w:t>a</w:t>
      </w:r>
      <w:r w:rsidRPr="00C2666E">
        <w:t xml:space="preserve">) </w:t>
      </w:r>
      <w:r w:rsidRPr="00C2666E">
        <w:rPr>
          <w:i/>
          <w:iCs/>
        </w:rPr>
        <w:t>Parc Pelenna Environmental Statement</w:t>
      </w:r>
      <w:r w:rsidRPr="00C2666E">
        <w:t>.</w:t>
      </w:r>
    </w:p>
    <w:p w14:paraId="4680DC4B" w14:textId="5C72FE09" w:rsidR="00C2666E" w:rsidRPr="00C2666E" w:rsidRDefault="00C2666E" w:rsidP="00C2666E">
      <w:r w:rsidRPr="00C2666E">
        <w:lastRenderedPageBreak/>
        <w:t>THE URBANISTS (2024</w:t>
      </w:r>
      <w:r>
        <w:t>b</w:t>
      </w:r>
      <w:r w:rsidRPr="00C2666E">
        <w:t xml:space="preserve">) </w:t>
      </w:r>
      <w:r w:rsidRPr="00C2666E">
        <w:rPr>
          <w:i/>
          <w:iCs/>
        </w:rPr>
        <w:t>Parc Pelenna Environmental Statement CHAPTER 3 -SITE DESCRIPTION</w:t>
      </w:r>
      <w:r w:rsidRPr="00C2666E">
        <w:t>.</w:t>
      </w:r>
    </w:p>
    <w:p w14:paraId="588FF333" w14:textId="0AA34170" w:rsidR="00C2666E" w:rsidRPr="00C2666E" w:rsidRDefault="00C2666E" w:rsidP="00C2666E">
      <w:r w:rsidRPr="00C2666E">
        <w:t>THE URBANISTS (2024</w:t>
      </w:r>
      <w:r>
        <w:t>c</w:t>
      </w:r>
      <w:r w:rsidRPr="00C2666E">
        <w:t xml:space="preserve">) </w:t>
      </w:r>
      <w:r w:rsidRPr="00C2666E">
        <w:rPr>
          <w:i/>
          <w:iCs/>
        </w:rPr>
        <w:t>Parc Pelenna Holiday Resort Environmental Statement Volume 1 Chapter 6: Landscape and Visual</w:t>
      </w:r>
      <w:r w:rsidRPr="00C2666E">
        <w:t>.</w:t>
      </w:r>
    </w:p>
    <w:p w14:paraId="2571D015" w14:textId="387E2DD9" w:rsidR="00C2666E" w:rsidRPr="00C2666E" w:rsidRDefault="00C2666E" w:rsidP="00C2666E">
      <w:r w:rsidRPr="00C2666E">
        <w:t>THE URBANISTS (2024</w:t>
      </w:r>
      <w:r>
        <w:t>d</w:t>
      </w:r>
      <w:r w:rsidRPr="00C2666E">
        <w:t xml:space="preserve">) </w:t>
      </w:r>
      <w:r w:rsidRPr="00C2666E">
        <w:rPr>
          <w:i/>
          <w:iCs/>
        </w:rPr>
        <w:t xml:space="preserve">PARC PELENNA LEISURE PROPOSALS VOL.3 - </w:t>
      </w:r>
      <w:proofErr w:type="gramStart"/>
      <w:r w:rsidRPr="00C2666E">
        <w:rPr>
          <w:i/>
          <w:iCs/>
        </w:rPr>
        <w:t>NON TECHNICAL</w:t>
      </w:r>
      <w:proofErr w:type="gramEnd"/>
      <w:r w:rsidRPr="00C2666E">
        <w:rPr>
          <w:i/>
          <w:iCs/>
        </w:rPr>
        <w:t xml:space="preserve"> SUMMARY</w:t>
      </w:r>
      <w:r w:rsidRPr="00C2666E">
        <w:t>.</w:t>
      </w:r>
    </w:p>
    <w:p w14:paraId="6D6D8A00" w14:textId="3C517871" w:rsidR="00A05214" w:rsidRPr="00A05214" w:rsidRDefault="00A05214" w:rsidP="00A05214">
      <w:r w:rsidRPr="00A05214">
        <w:t>THE URBANISTS (2024</w:t>
      </w:r>
      <w:r w:rsidRPr="00A05214">
        <w:t>f</w:t>
      </w:r>
      <w:r w:rsidRPr="00A05214">
        <w:t xml:space="preserve">) </w:t>
      </w:r>
      <w:r w:rsidRPr="00A05214">
        <w:rPr>
          <w:i/>
          <w:iCs/>
        </w:rPr>
        <w:t xml:space="preserve">Parc Pelenna Environmental Statement CHAPTER 2 – Legislative </w:t>
      </w:r>
      <w:proofErr w:type="gramStart"/>
      <w:r w:rsidRPr="00A05214">
        <w:rPr>
          <w:i/>
          <w:iCs/>
        </w:rPr>
        <w:t xml:space="preserve">Context </w:t>
      </w:r>
      <w:r w:rsidRPr="00A05214">
        <w:t>.</w:t>
      </w:r>
      <w:proofErr w:type="gramEnd"/>
    </w:p>
    <w:p w14:paraId="28ED5281" w14:textId="77777777" w:rsidR="006E103C" w:rsidRPr="00A05214" w:rsidRDefault="006E103C" w:rsidP="006E103C"/>
    <w:sectPr w:rsidR="006E103C" w:rsidRPr="00A05214" w:rsidSect="00962E5F">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B8F84F" w14:textId="77777777" w:rsidR="009311A2" w:rsidRDefault="009311A2" w:rsidP="00962E5F">
      <w:pPr>
        <w:spacing w:after="0" w:line="240" w:lineRule="auto"/>
      </w:pPr>
      <w:r>
        <w:separator/>
      </w:r>
    </w:p>
  </w:endnote>
  <w:endnote w:type="continuationSeparator" w:id="0">
    <w:p w14:paraId="723E08C4" w14:textId="77777777" w:rsidR="009311A2" w:rsidRDefault="009311A2" w:rsidP="00962E5F">
      <w:pPr>
        <w:spacing w:after="0" w:line="240" w:lineRule="auto"/>
      </w:pPr>
      <w:r>
        <w:continuationSeparator/>
      </w:r>
    </w:p>
  </w:endnote>
  <w:endnote w:type="continuationNotice" w:id="1">
    <w:p w14:paraId="35A82709" w14:textId="77777777" w:rsidR="009311A2" w:rsidRDefault="009311A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24884" w14:textId="77777777" w:rsidR="009311A2" w:rsidRDefault="009311A2" w:rsidP="00962E5F">
      <w:pPr>
        <w:spacing w:after="0" w:line="240" w:lineRule="auto"/>
      </w:pPr>
      <w:r>
        <w:separator/>
      </w:r>
    </w:p>
  </w:footnote>
  <w:footnote w:type="continuationSeparator" w:id="0">
    <w:p w14:paraId="01B76EF7" w14:textId="77777777" w:rsidR="009311A2" w:rsidRDefault="009311A2" w:rsidP="00962E5F">
      <w:pPr>
        <w:spacing w:after="0" w:line="240" w:lineRule="auto"/>
      </w:pPr>
      <w:r>
        <w:continuationSeparator/>
      </w:r>
    </w:p>
  </w:footnote>
  <w:footnote w:type="continuationNotice" w:id="1">
    <w:p w14:paraId="36E260E6" w14:textId="77777777" w:rsidR="009311A2" w:rsidRDefault="009311A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187D30CA" w:rsidR="000D61BC" w:rsidRDefault="00E83AA7">
    <w:pPr>
      <w:pStyle w:val="Header"/>
    </w:pPr>
    <w:r>
      <w:t>Ysabelle Tuddenham</w:t>
    </w:r>
    <w:r w:rsidR="000D61BC">
      <w:ptab w:relativeTo="margin" w:alignment="center" w:leader="none"/>
    </w:r>
    <w:r>
      <w:t>EIA critique</w:t>
    </w:r>
    <w:r w:rsidR="000D61BC">
      <w:ptab w:relativeTo="margin" w:alignment="right" w:leader="none"/>
    </w:r>
    <w:r>
      <w:t>2205445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5A486F"/>
    <w:multiLevelType w:val="multilevel"/>
    <w:tmpl w:val="FB661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1402BF"/>
    <w:multiLevelType w:val="multilevel"/>
    <w:tmpl w:val="F7EEF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C2CB1"/>
    <w:multiLevelType w:val="multilevel"/>
    <w:tmpl w:val="6EF6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E472D9"/>
    <w:multiLevelType w:val="multilevel"/>
    <w:tmpl w:val="6A3ACF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A54BFC"/>
    <w:multiLevelType w:val="multilevel"/>
    <w:tmpl w:val="92625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F419CA"/>
    <w:multiLevelType w:val="multilevel"/>
    <w:tmpl w:val="2BEA3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6C7537"/>
    <w:multiLevelType w:val="multilevel"/>
    <w:tmpl w:val="03B24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F42423"/>
    <w:multiLevelType w:val="multilevel"/>
    <w:tmpl w:val="F9806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F3444F"/>
    <w:multiLevelType w:val="multilevel"/>
    <w:tmpl w:val="A2E24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B43D30"/>
    <w:multiLevelType w:val="multilevel"/>
    <w:tmpl w:val="47B8E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1432DF"/>
    <w:multiLevelType w:val="multilevel"/>
    <w:tmpl w:val="B8FE9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BC1305"/>
    <w:multiLevelType w:val="multilevel"/>
    <w:tmpl w:val="C9C07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7A57D6"/>
    <w:multiLevelType w:val="multilevel"/>
    <w:tmpl w:val="C6E03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2550569">
    <w:abstractNumId w:val="0"/>
  </w:num>
  <w:num w:numId="2" w16cid:durableId="2094860692">
    <w:abstractNumId w:val="13"/>
  </w:num>
  <w:num w:numId="3" w16cid:durableId="1072435891">
    <w:abstractNumId w:val="6"/>
  </w:num>
  <w:num w:numId="4" w16cid:durableId="1437673367">
    <w:abstractNumId w:val="2"/>
  </w:num>
  <w:num w:numId="5" w16cid:durableId="164630899">
    <w:abstractNumId w:val="1"/>
  </w:num>
  <w:num w:numId="6" w16cid:durableId="579676147">
    <w:abstractNumId w:val="3"/>
  </w:num>
  <w:num w:numId="7" w16cid:durableId="2037611629">
    <w:abstractNumId w:val="11"/>
  </w:num>
  <w:num w:numId="8" w16cid:durableId="1828596052">
    <w:abstractNumId w:val="7"/>
  </w:num>
  <w:num w:numId="9" w16cid:durableId="1159537760">
    <w:abstractNumId w:val="9"/>
  </w:num>
  <w:num w:numId="10" w16cid:durableId="209191369">
    <w:abstractNumId w:val="8"/>
  </w:num>
  <w:num w:numId="11" w16cid:durableId="460996472">
    <w:abstractNumId w:val="4"/>
  </w:num>
  <w:num w:numId="12" w16cid:durableId="141897290">
    <w:abstractNumId w:val="5"/>
  </w:num>
  <w:num w:numId="13" w16cid:durableId="503327382">
    <w:abstractNumId w:val="12"/>
  </w:num>
  <w:num w:numId="14" w16cid:durableId="59116060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15F1C"/>
    <w:rsid w:val="0004542F"/>
    <w:rsid w:val="00060EC0"/>
    <w:rsid w:val="000D61BC"/>
    <w:rsid w:val="000F0D22"/>
    <w:rsid w:val="0019332E"/>
    <w:rsid w:val="001A4EB7"/>
    <w:rsid w:val="001B6645"/>
    <w:rsid w:val="001C2FC1"/>
    <w:rsid w:val="00201A61"/>
    <w:rsid w:val="00203670"/>
    <w:rsid w:val="002A400B"/>
    <w:rsid w:val="002C2808"/>
    <w:rsid w:val="00301299"/>
    <w:rsid w:val="00324D41"/>
    <w:rsid w:val="00324EDD"/>
    <w:rsid w:val="00337A48"/>
    <w:rsid w:val="00337E35"/>
    <w:rsid w:val="0037417D"/>
    <w:rsid w:val="00395053"/>
    <w:rsid w:val="003A02C3"/>
    <w:rsid w:val="003A4CEF"/>
    <w:rsid w:val="003F2B3A"/>
    <w:rsid w:val="00400DC7"/>
    <w:rsid w:val="004A761B"/>
    <w:rsid w:val="004C59EB"/>
    <w:rsid w:val="004E2E7C"/>
    <w:rsid w:val="004F6722"/>
    <w:rsid w:val="0050456F"/>
    <w:rsid w:val="005356C3"/>
    <w:rsid w:val="00553849"/>
    <w:rsid w:val="0057519A"/>
    <w:rsid w:val="005D62C6"/>
    <w:rsid w:val="005E4F7B"/>
    <w:rsid w:val="00647B3D"/>
    <w:rsid w:val="006545B7"/>
    <w:rsid w:val="00664834"/>
    <w:rsid w:val="0066554A"/>
    <w:rsid w:val="0069150D"/>
    <w:rsid w:val="006E103C"/>
    <w:rsid w:val="006F0662"/>
    <w:rsid w:val="006F0FD3"/>
    <w:rsid w:val="00734FED"/>
    <w:rsid w:val="00746710"/>
    <w:rsid w:val="0075047F"/>
    <w:rsid w:val="007670A8"/>
    <w:rsid w:val="007861CC"/>
    <w:rsid w:val="00812326"/>
    <w:rsid w:val="00893583"/>
    <w:rsid w:val="009311A2"/>
    <w:rsid w:val="00962E5F"/>
    <w:rsid w:val="00A05214"/>
    <w:rsid w:val="00A07211"/>
    <w:rsid w:val="00A808A9"/>
    <w:rsid w:val="00A87AA6"/>
    <w:rsid w:val="00AE0F5E"/>
    <w:rsid w:val="00B14C99"/>
    <w:rsid w:val="00B25D24"/>
    <w:rsid w:val="00B44170"/>
    <w:rsid w:val="00B868D3"/>
    <w:rsid w:val="00BA4DAA"/>
    <w:rsid w:val="00BA7070"/>
    <w:rsid w:val="00C2666E"/>
    <w:rsid w:val="00C675BB"/>
    <w:rsid w:val="00CA5F1C"/>
    <w:rsid w:val="00CD63BF"/>
    <w:rsid w:val="00CE51D4"/>
    <w:rsid w:val="00D95D78"/>
    <w:rsid w:val="00E0167B"/>
    <w:rsid w:val="00E44D60"/>
    <w:rsid w:val="00E73D12"/>
    <w:rsid w:val="00E83AA7"/>
    <w:rsid w:val="00F24436"/>
    <w:rsid w:val="00F32D0B"/>
    <w:rsid w:val="00F63948"/>
    <w:rsid w:val="00F66CC5"/>
    <w:rsid w:val="00FA11A3"/>
    <w:rsid w:val="00FE64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FCAA7"/>
  <w15:chartTrackingRefBased/>
  <w15:docId w15:val="{ACA4E5CD-B455-4314-A9B4-4EDCC2AD5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character" w:styleId="UnresolvedMention">
    <w:name w:val="Unresolved Mention"/>
    <w:basedOn w:val="DefaultParagraphFont"/>
    <w:uiPriority w:val="99"/>
    <w:semiHidden/>
    <w:unhideWhenUsed/>
    <w:rsid w:val="003F2B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249224504BBF4AADE362CB267FC93F" ma:contentTypeVersion="8" ma:contentTypeDescription="Create a new document." ma:contentTypeScope="" ma:versionID="0ebf9f4aae06073bbf16d2936161b015">
  <xsd:schema xmlns:xsd="http://www.w3.org/2001/XMLSchema" xmlns:xs="http://www.w3.org/2001/XMLSchema" xmlns:p="http://schemas.microsoft.com/office/2006/metadata/properties" xmlns:ns2="745442ed-da55-4337-9919-68a3d2d4cc24" xmlns:ns3="d02ee663-9d75-423d-bf72-2074728981ac" targetNamespace="http://schemas.microsoft.com/office/2006/metadata/properties" ma:root="true" ma:fieldsID="d7c6fc1498dc7a3f4b55449163e8ab00" ns2:_="" ns3:_="">
    <xsd:import namespace="745442ed-da55-4337-9919-68a3d2d4cc24"/>
    <xsd:import namespace="d02ee663-9d75-423d-bf72-2074728981a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5442ed-da55-4337-9919-68a3d2d4cc2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2ee663-9d75-423d-bf72-2074728981a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6df9508-f4d0-48f2-a408-e814f2d9cb18}" ma:internalName="TaxCatchAll" ma:showField="CatchAllData" ma:web="d02ee663-9d75-423d-bf72-2074728981a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02ee663-9d75-423d-bf72-2074728981ac" xsi:nil="true"/>
    <lcf76f155ced4ddcb4097134ff3c332f xmlns="745442ed-da55-4337-9919-68a3d2d4cc24">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4E4364-FEBC-4279-AB7D-1DAD30D18F28}">
  <ds:schemaRefs>
    <ds:schemaRef ds:uri="http://schemas.microsoft.com/sharepoint/v3/contenttype/forms"/>
  </ds:schemaRefs>
</ds:datastoreItem>
</file>

<file path=customXml/itemProps2.xml><?xml version="1.0" encoding="utf-8"?>
<ds:datastoreItem xmlns:ds="http://schemas.openxmlformats.org/officeDocument/2006/customXml" ds:itemID="{F0DAAE3C-B2CA-45FB-AC4D-64D477FB4C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5442ed-da55-4337-9919-68a3d2d4cc24"/>
    <ds:schemaRef ds:uri="d02ee663-9d75-423d-bf72-2074728981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D56C32-4B64-4D6C-A664-C6774133A076}">
  <ds:schemaRefs>
    <ds:schemaRef ds:uri="http://schemas.microsoft.com/office/2006/metadata/properties"/>
    <ds:schemaRef ds:uri="http://schemas.microsoft.com/office/infopath/2007/PartnerControls"/>
    <ds:schemaRef ds:uri="d02ee663-9d75-423d-bf72-2074728981ac"/>
    <ds:schemaRef ds:uri="745442ed-da55-4337-9919-68a3d2d4cc24"/>
  </ds:schemaRefs>
</ds:datastoreItem>
</file>

<file path=customXml/itemProps4.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4258</TotalTime>
  <Pages>1</Pages>
  <Words>3430</Words>
  <Characters>19557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Ysabelle Tuddenham</cp:lastModifiedBy>
  <cp:revision>7</cp:revision>
  <cp:lastPrinted>2021-09-30T19:07:00Z</cp:lastPrinted>
  <dcterms:created xsi:type="dcterms:W3CDTF">2025-11-10T11:06:00Z</dcterms:created>
  <dcterms:modified xsi:type="dcterms:W3CDTF">2026-01-19T16:24:00Z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0x010100BA249224504BBF4AADE362CB267FC93F</vt:lpwstr>
  </property>
  <property fmtid="{D5CDD505-2E9C-101B-9397-08002B2CF9AE}" pid="3" name="MediaServiceImageTags">
    <vt:lpwstr/>
  </property>
</Properties>
</file>