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8C" w:rsidRPr="002F27FF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7FF">
        <w:rPr>
          <w:rFonts w:ascii="Times New Roman" w:hAnsi="Times New Roman" w:cs="Times New Roman"/>
          <w:b/>
          <w:sz w:val="28"/>
          <w:szCs w:val="28"/>
        </w:rPr>
        <w:t>ETHICS – EXAMPLE 2 (ANSWER)</w:t>
      </w:r>
    </w:p>
    <w:p w:rsidR="0012328C" w:rsidRPr="002F27FF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8C" w:rsidRPr="002F27FF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8C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7FF">
        <w:rPr>
          <w:rFonts w:ascii="Times New Roman" w:hAnsi="Times New Roman" w:cs="Times New Roman"/>
          <w:sz w:val="24"/>
          <w:szCs w:val="24"/>
        </w:rPr>
        <w:t>A lease is classified as a finance lease if it transfers substantially all the risks and rewards incident to ownership. All other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leases are classified as operating leases and classification is made at the inception of the lease. Whether a lease is a finance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lease or an operating lease depends on the substance of the transaction rather than the legal form. Thus in many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circumstances, the classification of a lease can be quite subjective. In the case of a lease of land, this is particularly subjective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as the title to the land may not pass to the lessee at the end of the agreement but the lease may still be classed as a finance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lease where the present value of the residual value of the land is negligible and the risks and rewards pass to the lessee.</w:t>
      </w:r>
    </w:p>
    <w:p w:rsidR="002F27FF" w:rsidRPr="002F27FF" w:rsidRDefault="002F27FF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8C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7FF">
        <w:rPr>
          <w:rFonts w:ascii="Times New Roman" w:hAnsi="Times New Roman" w:cs="Times New Roman"/>
          <w:sz w:val="24"/>
          <w:szCs w:val="24"/>
        </w:rPr>
        <w:t>Thus, it appears that at first sight this is a difference in a professional opinion, which can be solved by the financial controller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seeking advice.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 xml:space="preserve">If the features of the lease appear to meet </w:t>
      </w:r>
      <w:r w:rsidR="002F27FF">
        <w:rPr>
          <w:rFonts w:ascii="Times New Roman" w:hAnsi="Times New Roman" w:cs="Times New Roman"/>
          <w:sz w:val="24"/>
          <w:szCs w:val="24"/>
        </w:rPr>
        <w:t>SSAP 21</w:t>
      </w:r>
      <w:r w:rsidRPr="002F27F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criteria for classification as a finance lease and the treatment used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is part of a strategy to understate the liabilities of the entity in order to raise a loan, then an ethical dilemma arises.</w:t>
      </w:r>
    </w:p>
    <w:p w:rsidR="002F27FF" w:rsidRPr="002F27FF" w:rsidRDefault="002F27FF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8C" w:rsidRPr="002F27FF" w:rsidRDefault="0012328C" w:rsidP="001232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7FF">
        <w:rPr>
          <w:rFonts w:ascii="Times New Roman" w:hAnsi="Times New Roman" w:cs="Times New Roman"/>
          <w:sz w:val="24"/>
          <w:szCs w:val="24"/>
        </w:rPr>
        <w:t>Professional accountants are capable of making judgements, applying their skills and reaching informed decisions in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situations where the general public cannot. The judgements made by professional accountants should be independent and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not affected by business pressures. The code of ethics is very important because it sets out boundaries outside which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accountants should not stray. The financial director should not place the financial controller under undue pressure in order to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influence his decisions. If the financial controller is convinced that the lease is a finance lease, then disclosure of this fact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should be made to the internal governance authority. The financial controller will have the knowledge that his actions were</w:t>
      </w:r>
      <w:r w:rsidR="002F27FF">
        <w:rPr>
          <w:rFonts w:ascii="Times New Roman" w:hAnsi="Times New Roman" w:cs="Times New Roman"/>
          <w:sz w:val="24"/>
          <w:szCs w:val="24"/>
        </w:rPr>
        <w:t xml:space="preserve"> </w:t>
      </w:r>
      <w:r w:rsidRPr="002F27FF">
        <w:rPr>
          <w:rFonts w:ascii="Times New Roman" w:hAnsi="Times New Roman" w:cs="Times New Roman"/>
          <w:sz w:val="24"/>
          <w:szCs w:val="24"/>
        </w:rPr>
        <w:t>ethical.</w:t>
      </w:r>
    </w:p>
    <w:p w:rsidR="00AA1BD0" w:rsidRDefault="00AA1BD0" w:rsidP="0012328C"/>
    <w:sectPr w:rsidR="00AA1BD0" w:rsidSect="00AA1B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328C"/>
    <w:rsid w:val="0012328C"/>
    <w:rsid w:val="002F27FF"/>
    <w:rsid w:val="003D7583"/>
    <w:rsid w:val="00AA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B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1642</Characters>
  <Application>Microsoft Office Word</Application>
  <DocSecurity>0</DocSecurity>
  <Lines>13</Lines>
  <Paragraphs>3</Paragraphs>
  <ScaleCrop>false</ScaleCrop>
  <Company>Swansea Metropolitan University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2015-02-25T10:19:00Z</dcterms:created>
  <dcterms:modified xsi:type="dcterms:W3CDTF">2015-03-04T10:42:00Z</dcterms:modified>
</cp:coreProperties>
</file>