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72954D" w14:textId="17A3FD5A" w:rsidR="00A50A5B" w:rsidRDefault="00A50A5B" w:rsidP="00A50A5B">
      <w:pPr>
        <w:jc w:val="both"/>
        <w:rPr>
          <w:rFonts w:ascii="Arial" w:hAnsi="Arial" w:cs="Arial"/>
          <w:b/>
          <w:bCs/>
          <w:sz w:val="36"/>
          <w:szCs w:val="36"/>
        </w:rPr>
      </w:pPr>
      <w:r w:rsidRPr="00A50A5B">
        <w:rPr>
          <w:rFonts w:ascii="Arial" w:hAnsi="Arial" w:cs="Arial"/>
          <w:b/>
          <w:bCs/>
          <w:sz w:val="36"/>
          <w:szCs w:val="36"/>
        </w:rPr>
        <w:t>BSc Health and Social Care</w:t>
      </w:r>
    </w:p>
    <w:p w14:paraId="76C52C75" w14:textId="77777777" w:rsidR="00A50A5B" w:rsidRPr="00A50A5B" w:rsidRDefault="00A50A5B" w:rsidP="00A50A5B">
      <w:pPr>
        <w:jc w:val="both"/>
        <w:rPr>
          <w:rFonts w:ascii="Arial" w:hAnsi="Arial" w:cs="Arial"/>
          <w:b/>
          <w:bCs/>
          <w:sz w:val="36"/>
          <w:szCs w:val="36"/>
        </w:rPr>
      </w:pPr>
    </w:p>
    <w:p w14:paraId="1FA569AF" w14:textId="0E4C6852" w:rsidR="00A50A5B" w:rsidRPr="00A50A5B" w:rsidRDefault="00A50A5B" w:rsidP="00A50A5B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A50A5B">
        <w:rPr>
          <w:rFonts w:ascii="Arial" w:hAnsi="Arial" w:cs="Arial"/>
          <w:b/>
          <w:bCs/>
          <w:sz w:val="24"/>
          <w:szCs w:val="24"/>
        </w:rPr>
        <w:t>Protecting and Supporting Families in Health and Care</w:t>
      </w:r>
    </w:p>
    <w:p w14:paraId="63257762" w14:textId="619C17EC" w:rsidR="00A50A5B" w:rsidRPr="00A50A5B" w:rsidRDefault="00A50A5B" w:rsidP="00A50A5B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A50A5B">
        <w:rPr>
          <w:rFonts w:ascii="Arial" w:hAnsi="Arial" w:cs="Arial"/>
          <w:b/>
          <w:bCs/>
          <w:sz w:val="24"/>
          <w:szCs w:val="24"/>
        </w:rPr>
        <w:t>BMHP5021</w:t>
      </w:r>
    </w:p>
    <w:p w14:paraId="03CE6B13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31B891B5" w14:textId="6360634D" w:rsidR="00A50A5B" w:rsidRDefault="00A50A5B" w:rsidP="00A50A5B">
      <w:pPr>
        <w:jc w:val="both"/>
        <w:rPr>
          <w:rFonts w:ascii="Arial" w:hAnsi="Arial" w:cs="Arial"/>
          <w:b/>
          <w:bCs/>
        </w:rPr>
      </w:pPr>
      <w:r w:rsidRPr="00A50A5B">
        <w:rPr>
          <w:rFonts w:ascii="Arial" w:hAnsi="Arial" w:cs="Arial"/>
          <w:b/>
          <w:bCs/>
        </w:rPr>
        <w:t>Louiza Avraam (2426675)</w:t>
      </w:r>
    </w:p>
    <w:p w14:paraId="22ACB1A9" w14:textId="77777777" w:rsidR="00A50A5B" w:rsidRP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58A9924A" w14:textId="6895B30B" w:rsidR="00A50A5B" w:rsidRPr="00A50A5B" w:rsidRDefault="00A50A5B" w:rsidP="00A50A5B">
      <w:pPr>
        <w:jc w:val="both"/>
        <w:rPr>
          <w:rFonts w:ascii="Arial" w:hAnsi="Arial" w:cs="Arial"/>
          <w:b/>
          <w:bCs/>
        </w:rPr>
      </w:pPr>
      <w:r w:rsidRPr="00A50A5B">
        <w:rPr>
          <w:rFonts w:ascii="Arial" w:hAnsi="Arial" w:cs="Arial"/>
          <w:b/>
          <w:bCs/>
        </w:rPr>
        <w:t>Component 1: Group Presentation</w:t>
      </w:r>
    </w:p>
    <w:p w14:paraId="70209ACB" w14:textId="77777777" w:rsidR="00A50A5B" w:rsidRP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68DA0410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01EAACC2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44E707A6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738AF2C4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1D8DF5D8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77DFC5EB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73665063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6B1968C7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40B823F5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3632A411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0230A4B4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58955FA2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31A8D9A3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08B24763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7806EBA1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292BF138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2C753B5C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5FA4DC20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03F05C3D" w14:textId="77777777" w:rsid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61886007" w14:textId="77777777" w:rsidR="00A50A5B" w:rsidRP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239FAD07" w14:textId="77777777" w:rsidR="00A50A5B" w:rsidRPr="00A50A5B" w:rsidRDefault="00A50A5B" w:rsidP="00A50A5B">
      <w:pPr>
        <w:jc w:val="both"/>
        <w:rPr>
          <w:rFonts w:ascii="Arial" w:hAnsi="Arial" w:cs="Arial"/>
          <w:b/>
          <w:bCs/>
        </w:rPr>
      </w:pPr>
    </w:p>
    <w:p w14:paraId="6A3C3F9D" w14:textId="77777777" w:rsidR="00A50A5B" w:rsidRPr="00A50A5B" w:rsidRDefault="00A50A5B" w:rsidP="00A50A5B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7D97BF8" w14:textId="6C7FA9EE" w:rsidR="00A50A5B" w:rsidRDefault="00A50A5B" w:rsidP="00A50A5B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A50A5B">
        <w:rPr>
          <w:rFonts w:ascii="Arial" w:hAnsi="Arial" w:cs="Arial"/>
          <w:b/>
          <w:bCs/>
          <w:sz w:val="28"/>
          <w:szCs w:val="28"/>
        </w:rPr>
        <w:lastRenderedPageBreak/>
        <w:t>Reference List</w:t>
      </w:r>
    </w:p>
    <w:p w14:paraId="6FF95285" w14:textId="77777777" w:rsidR="00A50A5B" w:rsidRPr="00A50A5B" w:rsidRDefault="00A50A5B" w:rsidP="00A50A5B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06650A5" w14:textId="246167D7" w:rsidR="0052024C" w:rsidRPr="00A50A5B" w:rsidRDefault="0052024C" w:rsidP="00A50A5B">
      <w:pPr>
        <w:jc w:val="both"/>
        <w:rPr>
          <w:rFonts w:ascii="Arial" w:hAnsi="Arial" w:cs="Arial"/>
          <w:b/>
          <w:bCs/>
        </w:rPr>
      </w:pPr>
      <w:r w:rsidRPr="00A50A5B">
        <w:rPr>
          <w:rFonts w:ascii="Arial" w:hAnsi="Arial" w:cs="Arial"/>
          <w:b/>
          <w:bCs/>
        </w:rPr>
        <w:t xml:space="preserve">BASW (2021) </w:t>
      </w:r>
      <w:r w:rsidRPr="00A50A5B">
        <w:rPr>
          <w:rFonts w:ascii="Arial" w:hAnsi="Arial" w:cs="Arial"/>
          <w:b/>
          <w:bCs/>
          <w:i/>
          <w:iCs/>
        </w:rPr>
        <w:t>Code of ethics</w:t>
      </w:r>
      <w:r w:rsidRPr="00A50A5B">
        <w:rPr>
          <w:rFonts w:ascii="Arial" w:hAnsi="Arial" w:cs="Arial"/>
          <w:b/>
          <w:bCs/>
        </w:rPr>
        <w:t xml:space="preserve">. British Association of Social Workers. Available at: </w:t>
      </w:r>
      <w:hyperlink r:id="rId4" w:history="1">
        <w:r w:rsidRPr="00A50A5B">
          <w:rPr>
            <w:rStyle w:val="Hyperlink"/>
            <w:rFonts w:ascii="Arial" w:hAnsi="Arial" w:cs="Arial"/>
            <w:b/>
            <w:bCs/>
          </w:rPr>
          <w:t>https://basw.co.uk/policy-practice/standards/code-ethics</w:t>
        </w:r>
      </w:hyperlink>
      <w:r w:rsidRPr="00A50A5B">
        <w:rPr>
          <w:rFonts w:ascii="Arial" w:hAnsi="Arial" w:cs="Arial"/>
          <w:b/>
          <w:bCs/>
        </w:rPr>
        <w:t xml:space="preserve"> (Accessed: </w:t>
      </w:r>
      <w:r w:rsidRPr="00A50A5B">
        <w:rPr>
          <w:rFonts w:ascii="Arial" w:hAnsi="Arial" w:cs="Arial"/>
          <w:b/>
          <w:bCs/>
        </w:rPr>
        <w:t>18</w:t>
      </w:r>
      <w:r w:rsidRPr="00A50A5B">
        <w:rPr>
          <w:rFonts w:ascii="Arial" w:hAnsi="Arial" w:cs="Arial"/>
          <w:b/>
          <w:bCs/>
        </w:rPr>
        <w:t xml:space="preserve"> June 2026).</w:t>
      </w:r>
    </w:p>
    <w:p w14:paraId="3C45A8D9" w14:textId="62213E77" w:rsidR="00F96B87" w:rsidRPr="00A50A5B" w:rsidRDefault="00F96B87" w:rsidP="00A50A5B">
      <w:pPr>
        <w:jc w:val="both"/>
        <w:rPr>
          <w:rFonts w:ascii="Arial" w:hAnsi="Arial" w:cs="Arial"/>
        </w:rPr>
      </w:pPr>
      <w:r w:rsidRPr="00A50A5B">
        <w:rPr>
          <w:rFonts w:ascii="Arial" w:hAnsi="Arial" w:cs="Arial"/>
          <w:b/>
          <w:bCs/>
        </w:rPr>
        <w:t>Bowlby, J. (1969)</w:t>
      </w:r>
      <w:r w:rsidRPr="00A50A5B">
        <w:rPr>
          <w:rFonts w:ascii="Arial" w:hAnsi="Arial" w:cs="Arial"/>
        </w:rPr>
        <w:t xml:space="preserve"> </w:t>
      </w:r>
      <w:r w:rsidRPr="00A50A5B">
        <w:rPr>
          <w:rFonts w:ascii="Arial" w:hAnsi="Arial" w:cs="Arial"/>
          <w:i/>
          <w:iCs/>
        </w:rPr>
        <w:t>Attachment and loss. Volume 1: Attachment</w:t>
      </w:r>
      <w:r w:rsidRPr="00A50A5B">
        <w:rPr>
          <w:rFonts w:ascii="Arial" w:hAnsi="Arial" w:cs="Arial"/>
        </w:rPr>
        <w:t>. London: Penguin.</w:t>
      </w:r>
    </w:p>
    <w:p w14:paraId="63D31913" w14:textId="18C9769C" w:rsidR="00935066" w:rsidRPr="00A50A5B" w:rsidRDefault="00935066" w:rsidP="00A50A5B">
      <w:pPr>
        <w:jc w:val="both"/>
        <w:rPr>
          <w:rFonts w:ascii="Arial" w:hAnsi="Arial" w:cs="Arial"/>
          <w:b/>
          <w:bCs/>
        </w:rPr>
      </w:pPr>
      <w:r w:rsidRPr="00A50A5B">
        <w:rPr>
          <w:rFonts w:ascii="Arial" w:hAnsi="Arial" w:cs="Arial"/>
          <w:b/>
          <w:bCs/>
        </w:rPr>
        <w:t xml:space="preserve">NSPCC (2023) </w:t>
      </w:r>
      <w:r w:rsidRPr="00A50A5B">
        <w:rPr>
          <w:rFonts w:ascii="Arial" w:hAnsi="Arial" w:cs="Arial"/>
          <w:b/>
          <w:bCs/>
          <w:i/>
          <w:iCs/>
        </w:rPr>
        <w:t>Key provisions introduced in Working together to safeguard children 2023</w:t>
      </w:r>
      <w:r w:rsidRPr="00A50A5B">
        <w:rPr>
          <w:rFonts w:ascii="Arial" w:hAnsi="Arial" w:cs="Arial"/>
          <w:b/>
          <w:bCs/>
        </w:rPr>
        <w:t xml:space="preserve">. Available at: </w:t>
      </w:r>
      <w:hyperlink r:id="rId5" w:history="1">
        <w:r w:rsidRPr="00A50A5B">
          <w:rPr>
            <w:rStyle w:val="Hyperlink"/>
            <w:rFonts w:ascii="Arial" w:hAnsi="Arial" w:cs="Arial"/>
            <w:b/>
            <w:bCs/>
          </w:rPr>
          <w:t>https://learning.nspcc.org.uk/media/r0vgnjlq/key-provisions-working-together-safeguard-children.pdf</w:t>
        </w:r>
      </w:hyperlink>
      <w:r w:rsidRPr="00A50A5B">
        <w:rPr>
          <w:rFonts w:ascii="Arial" w:hAnsi="Arial" w:cs="Arial"/>
          <w:b/>
          <w:bCs/>
        </w:rPr>
        <w:t xml:space="preserve"> (Accessed: </w:t>
      </w:r>
      <w:r w:rsidRPr="00A50A5B">
        <w:rPr>
          <w:rFonts w:ascii="Arial" w:hAnsi="Arial" w:cs="Arial"/>
          <w:b/>
          <w:bCs/>
        </w:rPr>
        <w:t>18</w:t>
      </w:r>
      <w:r w:rsidRPr="00A50A5B">
        <w:rPr>
          <w:rFonts w:ascii="Arial" w:hAnsi="Arial" w:cs="Arial"/>
          <w:b/>
          <w:bCs/>
        </w:rPr>
        <w:t xml:space="preserve"> June 2026).</w:t>
      </w:r>
    </w:p>
    <w:p w14:paraId="61C6B624" w14:textId="1C0B8EBB" w:rsidR="00935066" w:rsidRPr="00A50A5B" w:rsidRDefault="00935066" w:rsidP="00A50A5B">
      <w:pPr>
        <w:jc w:val="both"/>
        <w:rPr>
          <w:rFonts w:ascii="Arial" w:hAnsi="Arial" w:cs="Arial"/>
          <w:b/>
          <w:bCs/>
        </w:rPr>
      </w:pPr>
      <w:r w:rsidRPr="00A50A5B">
        <w:rPr>
          <w:rFonts w:ascii="Arial" w:hAnsi="Arial" w:cs="Arial"/>
          <w:b/>
          <w:bCs/>
        </w:rPr>
        <w:t xml:space="preserve">Department for Education (2025) </w:t>
      </w:r>
      <w:r w:rsidRPr="00A50A5B">
        <w:rPr>
          <w:rFonts w:ascii="Arial" w:hAnsi="Arial" w:cs="Arial"/>
          <w:b/>
          <w:bCs/>
          <w:i/>
          <w:iCs/>
        </w:rPr>
        <w:t>Keeping children safe in education 2025: Statutory guidance for schools and colleges</w:t>
      </w:r>
      <w:r w:rsidRPr="00A50A5B">
        <w:rPr>
          <w:rFonts w:ascii="Arial" w:hAnsi="Arial" w:cs="Arial"/>
          <w:b/>
          <w:bCs/>
        </w:rPr>
        <w:t xml:space="preserve">. London: Department for Education. Available at: </w:t>
      </w:r>
      <w:hyperlink r:id="rId6" w:history="1">
        <w:r w:rsidRPr="00A50A5B">
          <w:rPr>
            <w:rStyle w:val="Hyperlink"/>
            <w:rFonts w:ascii="Arial" w:hAnsi="Arial" w:cs="Arial"/>
            <w:b/>
            <w:bCs/>
          </w:rPr>
          <w:t>https://assets.publishing.service.gov.uk/media/68add931969253904d155860/Keeping_children_safe_in_education_from_1_September_2025.pdf</w:t>
        </w:r>
      </w:hyperlink>
      <w:r w:rsidRPr="00A50A5B">
        <w:rPr>
          <w:rFonts w:ascii="Arial" w:hAnsi="Arial" w:cs="Arial"/>
          <w:b/>
          <w:bCs/>
        </w:rPr>
        <w:t xml:space="preserve"> (Accessed: </w:t>
      </w:r>
      <w:r w:rsidR="00A35659" w:rsidRPr="00A50A5B">
        <w:rPr>
          <w:rFonts w:ascii="Arial" w:hAnsi="Arial" w:cs="Arial"/>
          <w:b/>
          <w:bCs/>
        </w:rPr>
        <w:t xml:space="preserve">19 </w:t>
      </w:r>
      <w:r w:rsidRPr="00A50A5B">
        <w:rPr>
          <w:rFonts w:ascii="Arial" w:hAnsi="Arial" w:cs="Arial"/>
          <w:b/>
          <w:bCs/>
        </w:rPr>
        <w:t>June 2026).</w:t>
      </w:r>
    </w:p>
    <w:p w14:paraId="266508D6" w14:textId="226870C6" w:rsidR="00E239FA" w:rsidRPr="00A50A5B" w:rsidRDefault="00935066" w:rsidP="00A50A5B">
      <w:pPr>
        <w:jc w:val="both"/>
        <w:rPr>
          <w:rFonts w:ascii="Arial" w:hAnsi="Arial" w:cs="Arial"/>
          <w:b/>
          <w:bCs/>
        </w:rPr>
      </w:pPr>
      <w:r w:rsidRPr="00A50A5B">
        <w:rPr>
          <w:rFonts w:ascii="Arial" w:hAnsi="Arial" w:cs="Arial"/>
          <w:b/>
          <w:bCs/>
        </w:rPr>
        <w:t xml:space="preserve">Department of Health, Department for Education and Employment and Home Office (2000) </w:t>
      </w:r>
      <w:r w:rsidRPr="00A50A5B">
        <w:rPr>
          <w:rFonts w:ascii="Arial" w:hAnsi="Arial" w:cs="Arial"/>
          <w:b/>
          <w:bCs/>
          <w:i/>
          <w:iCs/>
        </w:rPr>
        <w:t>Framework for the assessment of children in need and their families</w:t>
      </w:r>
      <w:r w:rsidRPr="00A50A5B">
        <w:rPr>
          <w:rFonts w:ascii="Arial" w:hAnsi="Arial" w:cs="Arial"/>
          <w:b/>
          <w:bCs/>
        </w:rPr>
        <w:t xml:space="preserve">. London: The Stationery Office. Available at: </w:t>
      </w:r>
      <w:hyperlink r:id="rId7" w:history="1">
        <w:r w:rsidRPr="00A50A5B">
          <w:rPr>
            <w:rStyle w:val="Hyperlink"/>
            <w:rFonts w:ascii="Arial" w:hAnsi="Arial" w:cs="Arial"/>
            <w:b/>
            <w:bCs/>
          </w:rPr>
          <w:t>https://www.savethesocialworker.com/wp-content/uploads/2020/05/Framework-for-the-Assessment-of-Children-in-Need-2000.pdf</w:t>
        </w:r>
      </w:hyperlink>
      <w:r w:rsidRPr="00A50A5B">
        <w:rPr>
          <w:rFonts w:ascii="Arial" w:hAnsi="Arial" w:cs="Arial"/>
          <w:b/>
          <w:bCs/>
        </w:rPr>
        <w:t xml:space="preserve"> (Accessed: 20 June 2026).</w:t>
      </w:r>
    </w:p>
    <w:p w14:paraId="0D10BA55" w14:textId="77777777" w:rsidR="00E239FA" w:rsidRPr="00A50A5B" w:rsidRDefault="00E239FA" w:rsidP="00A50A5B">
      <w:pPr>
        <w:jc w:val="both"/>
        <w:rPr>
          <w:rFonts w:ascii="Arial" w:hAnsi="Arial" w:cs="Arial"/>
          <w:b/>
          <w:bCs/>
        </w:rPr>
      </w:pPr>
      <w:r w:rsidRPr="00A50A5B">
        <w:rPr>
          <w:rFonts w:ascii="Arial" w:hAnsi="Arial" w:cs="Arial"/>
          <w:b/>
          <w:bCs/>
        </w:rPr>
        <w:t xml:space="preserve">Children Act 1989 (c. 41) (1989) </w:t>
      </w:r>
      <w:r w:rsidRPr="00A50A5B">
        <w:rPr>
          <w:rFonts w:ascii="Arial" w:hAnsi="Arial" w:cs="Arial"/>
          <w:b/>
          <w:bCs/>
          <w:i/>
          <w:iCs/>
        </w:rPr>
        <w:t>Children Act 1989</w:t>
      </w:r>
      <w:r w:rsidRPr="00A50A5B">
        <w:rPr>
          <w:rFonts w:ascii="Arial" w:hAnsi="Arial" w:cs="Arial"/>
          <w:b/>
          <w:bCs/>
        </w:rPr>
        <w:t xml:space="preserve">. London: The Stationery Office. Available at: </w:t>
      </w:r>
      <w:hyperlink r:id="rId8" w:history="1">
        <w:r w:rsidRPr="00A50A5B">
          <w:rPr>
            <w:rStyle w:val="Hyperlink"/>
            <w:rFonts w:ascii="Arial" w:hAnsi="Arial" w:cs="Arial"/>
            <w:b/>
            <w:bCs/>
          </w:rPr>
          <w:t>https://www.legislation.gov.uk/ukpga/1989/41/contents</w:t>
        </w:r>
      </w:hyperlink>
      <w:r w:rsidRPr="00A50A5B">
        <w:rPr>
          <w:rFonts w:ascii="Arial" w:hAnsi="Arial" w:cs="Arial"/>
          <w:b/>
          <w:bCs/>
        </w:rPr>
        <w:t xml:space="preserve"> (Accessed: 20 June 2026).</w:t>
      </w:r>
    </w:p>
    <w:p w14:paraId="1E781480" w14:textId="3112122A" w:rsidR="00E239FA" w:rsidRPr="00A50A5B" w:rsidRDefault="00E239FA" w:rsidP="00A50A5B">
      <w:pPr>
        <w:jc w:val="both"/>
        <w:rPr>
          <w:rFonts w:ascii="Arial" w:hAnsi="Arial" w:cs="Arial"/>
          <w:b/>
          <w:bCs/>
        </w:rPr>
      </w:pPr>
      <w:r w:rsidRPr="00A50A5B">
        <w:rPr>
          <w:rFonts w:ascii="Arial" w:hAnsi="Arial" w:cs="Arial"/>
          <w:b/>
          <w:bCs/>
        </w:rPr>
        <w:t xml:space="preserve">Children Act 2004 (c. 31) (2004) </w:t>
      </w:r>
      <w:r w:rsidRPr="00A50A5B">
        <w:rPr>
          <w:rFonts w:ascii="Arial" w:hAnsi="Arial" w:cs="Arial"/>
          <w:b/>
          <w:bCs/>
          <w:i/>
          <w:iCs/>
        </w:rPr>
        <w:t>Children Act 2004</w:t>
      </w:r>
      <w:r w:rsidRPr="00A50A5B">
        <w:rPr>
          <w:rFonts w:ascii="Arial" w:hAnsi="Arial" w:cs="Arial"/>
          <w:b/>
          <w:bCs/>
        </w:rPr>
        <w:t xml:space="preserve">. London: The Stationery Office. Available at: </w:t>
      </w:r>
      <w:hyperlink r:id="rId9" w:history="1">
        <w:r w:rsidRPr="00A50A5B">
          <w:rPr>
            <w:rStyle w:val="Hyperlink"/>
            <w:rFonts w:ascii="Arial" w:hAnsi="Arial" w:cs="Arial"/>
            <w:b/>
            <w:bCs/>
          </w:rPr>
          <w:t>https://www.legislation.gov.uk/ukpga/2004/31/contents</w:t>
        </w:r>
      </w:hyperlink>
      <w:r w:rsidRPr="00A50A5B">
        <w:rPr>
          <w:rFonts w:ascii="Arial" w:hAnsi="Arial" w:cs="Arial"/>
          <w:b/>
          <w:bCs/>
        </w:rPr>
        <w:t xml:space="preserve"> (Accessed: </w:t>
      </w:r>
      <w:r w:rsidR="00A35659" w:rsidRPr="00A50A5B">
        <w:rPr>
          <w:rFonts w:ascii="Arial" w:hAnsi="Arial" w:cs="Arial"/>
          <w:b/>
          <w:bCs/>
        </w:rPr>
        <w:t>18</w:t>
      </w:r>
      <w:r w:rsidRPr="00A50A5B">
        <w:rPr>
          <w:rFonts w:ascii="Arial" w:hAnsi="Arial" w:cs="Arial"/>
          <w:b/>
          <w:bCs/>
        </w:rPr>
        <w:t xml:space="preserve"> June 2026).</w:t>
      </w:r>
    </w:p>
    <w:p w14:paraId="5171AA86" w14:textId="1AEE21A8" w:rsidR="00F96B87" w:rsidRPr="00A50A5B" w:rsidRDefault="00E239FA" w:rsidP="00A50A5B">
      <w:pPr>
        <w:jc w:val="both"/>
        <w:rPr>
          <w:rFonts w:ascii="Arial" w:hAnsi="Arial" w:cs="Arial"/>
          <w:b/>
          <w:bCs/>
        </w:rPr>
      </w:pPr>
      <w:r w:rsidRPr="00A50A5B">
        <w:rPr>
          <w:rFonts w:ascii="Arial" w:hAnsi="Arial" w:cs="Arial"/>
          <w:b/>
          <w:bCs/>
        </w:rPr>
        <w:t xml:space="preserve">Children and Social Work Act 2017 (c. 16) (2017) </w:t>
      </w:r>
      <w:r w:rsidRPr="00A50A5B">
        <w:rPr>
          <w:rFonts w:ascii="Arial" w:hAnsi="Arial" w:cs="Arial"/>
          <w:b/>
          <w:bCs/>
          <w:i/>
          <w:iCs/>
        </w:rPr>
        <w:t>Children and Social Work Act 2017</w:t>
      </w:r>
      <w:r w:rsidRPr="00A50A5B">
        <w:rPr>
          <w:rFonts w:ascii="Arial" w:hAnsi="Arial" w:cs="Arial"/>
          <w:b/>
          <w:bCs/>
        </w:rPr>
        <w:t xml:space="preserve">. London: The Stationery Office. Available at: </w:t>
      </w:r>
      <w:hyperlink r:id="rId10" w:history="1">
        <w:r w:rsidRPr="00A50A5B">
          <w:rPr>
            <w:rStyle w:val="Hyperlink"/>
            <w:rFonts w:ascii="Arial" w:hAnsi="Arial" w:cs="Arial"/>
            <w:b/>
            <w:bCs/>
          </w:rPr>
          <w:t>https://www.legislation.gov.uk/ukpga/2017/16/contents</w:t>
        </w:r>
      </w:hyperlink>
      <w:r w:rsidRPr="00A50A5B">
        <w:rPr>
          <w:rFonts w:ascii="Arial" w:hAnsi="Arial" w:cs="Arial"/>
          <w:b/>
          <w:bCs/>
        </w:rPr>
        <w:t xml:space="preserve"> (Accessed: </w:t>
      </w:r>
      <w:r w:rsidR="00A35659" w:rsidRPr="00A50A5B">
        <w:rPr>
          <w:rFonts w:ascii="Arial" w:hAnsi="Arial" w:cs="Arial"/>
          <w:b/>
          <w:bCs/>
        </w:rPr>
        <w:t>19</w:t>
      </w:r>
      <w:r w:rsidRPr="00A50A5B">
        <w:rPr>
          <w:rFonts w:ascii="Arial" w:hAnsi="Arial" w:cs="Arial"/>
          <w:b/>
          <w:bCs/>
        </w:rPr>
        <w:t xml:space="preserve"> June 2026).</w:t>
      </w:r>
    </w:p>
    <w:p w14:paraId="360D2508" w14:textId="7E49CA09" w:rsidR="00A35659" w:rsidRPr="00A50A5B" w:rsidRDefault="00A35659" w:rsidP="00A50A5B">
      <w:pPr>
        <w:jc w:val="both"/>
        <w:rPr>
          <w:rFonts w:ascii="Arial" w:hAnsi="Arial" w:cs="Arial"/>
          <w:b/>
          <w:bCs/>
        </w:rPr>
      </w:pPr>
      <w:r w:rsidRPr="00A50A5B">
        <w:rPr>
          <w:rFonts w:ascii="Arial" w:hAnsi="Arial" w:cs="Arial"/>
          <w:b/>
          <w:bCs/>
        </w:rPr>
        <w:t xml:space="preserve">Home Office (2023) </w:t>
      </w:r>
      <w:r w:rsidRPr="00A50A5B">
        <w:rPr>
          <w:rFonts w:ascii="Arial" w:hAnsi="Arial" w:cs="Arial"/>
          <w:b/>
          <w:bCs/>
          <w:i/>
          <w:iCs/>
        </w:rPr>
        <w:t>Criminal exploitation of children and vulnerable adults: County lines</w:t>
      </w:r>
      <w:r w:rsidRPr="00A50A5B">
        <w:rPr>
          <w:rFonts w:ascii="Arial" w:hAnsi="Arial" w:cs="Arial"/>
          <w:b/>
          <w:bCs/>
        </w:rPr>
        <w:t xml:space="preserve">. GOV.UK. Available at: </w:t>
      </w:r>
      <w:hyperlink r:id="rId11" w:history="1">
        <w:r w:rsidRPr="00A50A5B">
          <w:rPr>
            <w:rStyle w:val="Hyperlink"/>
            <w:rFonts w:ascii="Arial" w:hAnsi="Arial" w:cs="Arial"/>
            <w:b/>
            <w:bCs/>
          </w:rPr>
          <w:t>https://www.gov.uk/government/publications/criminal-exploitation-of-children-and-vulnerable-adults-county-lines/criminal-exploitation-of-children-and-vulnerable-adults-county-lines</w:t>
        </w:r>
      </w:hyperlink>
      <w:r w:rsidRPr="00A50A5B">
        <w:rPr>
          <w:rFonts w:ascii="Arial" w:hAnsi="Arial" w:cs="Arial"/>
          <w:b/>
          <w:bCs/>
        </w:rPr>
        <w:t xml:space="preserve"> (Accessed: </w:t>
      </w:r>
      <w:r w:rsidRPr="00A50A5B">
        <w:rPr>
          <w:rFonts w:ascii="Arial" w:hAnsi="Arial" w:cs="Arial"/>
          <w:b/>
          <w:bCs/>
        </w:rPr>
        <w:t>17</w:t>
      </w:r>
      <w:r w:rsidRPr="00A50A5B">
        <w:rPr>
          <w:rFonts w:ascii="Arial" w:hAnsi="Arial" w:cs="Arial"/>
          <w:b/>
          <w:bCs/>
        </w:rPr>
        <w:t xml:space="preserve"> June 2026).</w:t>
      </w:r>
    </w:p>
    <w:p w14:paraId="2CD8CA9C" w14:textId="77777777" w:rsidR="00F96B87" w:rsidRPr="00A50A5B" w:rsidRDefault="00F96B87" w:rsidP="00A50A5B">
      <w:pPr>
        <w:jc w:val="both"/>
        <w:rPr>
          <w:rFonts w:ascii="Arial" w:hAnsi="Arial" w:cs="Arial"/>
        </w:rPr>
      </w:pPr>
    </w:p>
    <w:sectPr w:rsidR="00F96B87" w:rsidRPr="00A50A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6B87"/>
    <w:rsid w:val="00061F77"/>
    <w:rsid w:val="000839B5"/>
    <w:rsid w:val="001738FF"/>
    <w:rsid w:val="003E37E5"/>
    <w:rsid w:val="0052024C"/>
    <w:rsid w:val="0052233F"/>
    <w:rsid w:val="00792B14"/>
    <w:rsid w:val="008F2719"/>
    <w:rsid w:val="00935066"/>
    <w:rsid w:val="00A35659"/>
    <w:rsid w:val="00A50A5B"/>
    <w:rsid w:val="00E239FA"/>
    <w:rsid w:val="00F96B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5024E"/>
  <w15:chartTrackingRefBased/>
  <w15:docId w15:val="{24DB4036-FEC6-48E0-AC8E-92ED5B6ACE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6B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6B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6B8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6B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6B8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6B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6B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6B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6B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6B8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6B8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6B8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6B8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6B8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6B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6B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6B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6B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6B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6B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6B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6B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6B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6B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6B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6B8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6B8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6B8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6B87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2024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02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contents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savethesocialworker.com/wp-content/uploads/2020/05/Framework-for-the-Assessment-of-Children-in-Need-2000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media/68add931969253904d155860/Keeping_children_safe_in_education_from_1_September_2025.pdf" TargetMode="External"/><Relationship Id="rId11" Type="http://schemas.openxmlformats.org/officeDocument/2006/relationships/hyperlink" Target="https://www.gov.uk/government/publications/criminal-exploitation-of-children-and-vulnerable-adults-county-lines/criminal-exploitation-of-children-and-vulnerable-adults-county-lines" TargetMode="External"/><Relationship Id="rId5" Type="http://schemas.openxmlformats.org/officeDocument/2006/relationships/hyperlink" Target="https://learning.nspcc.org.uk/media/r0vgnjlq/key-provisions-working-together-safeguard-children.pdf" TargetMode="External"/><Relationship Id="rId10" Type="http://schemas.openxmlformats.org/officeDocument/2006/relationships/hyperlink" Target="https://www.legislation.gov.uk/ukpga/2017/16/contents" TargetMode="External"/><Relationship Id="rId4" Type="http://schemas.openxmlformats.org/officeDocument/2006/relationships/hyperlink" Target="https://basw.co.uk/policy-practice/standards/code-ethics" TargetMode="External"/><Relationship Id="rId9" Type="http://schemas.openxmlformats.org/officeDocument/2006/relationships/hyperlink" Target="https://www.legislation.gov.uk/ukpga/2004/31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418</TotalTime>
  <Pages>2</Pages>
  <Words>460</Words>
  <Characters>2625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Louiza Avraam</dc:creator>
  <cp:keywords/>
  <dc:description/>
  <cp:lastModifiedBy>Louiza Avraam</cp:lastModifiedBy>
  <cp:revision>1</cp:revision>
  <dcterms:created xsi:type="dcterms:W3CDTF">2026-06-20T14:49:00Z</dcterms:created>
  <dcterms:modified xsi:type="dcterms:W3CDTF">2026-06-20T21:51:00Z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67a6e98a-fbbd-4338-94af-c49e1c19f7d1</vt:lpwstr>
  </property>
</Properties>
</file>