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0E0A3" w14:textId="363950E3" w:rsidR="00FB52B1" w:rsidRPr="00FB52B1" w:rsidRDefault="00FB52B1" w:rsidP="00FB52B1">
      <w:pPr>
        <w:jc w:val="center"/>
        <w:rPr>
          <w:b/>
          <w:bCs/>
        </w:rPr>
      </w:pPr>
      <w:r w:rsidRPr="00FB52B1">
        <w:rPr>
          <w:b/>
          <w:bCs/>
        </w:rPr>
        <w:t>To what extent did crusaders have a sense of shared identity?</w:t>
      </w:r>
    </w:p>
    <w:p w14:paraId="2F2A1811" w14:textId="77777777" w:rsidR="00FB52B1" w:rsidRDefault="00FB52B1" w:rsidP="00492148"/>
    <w:p w14:paraId="3C8226E0" w14:textId="7F4FB044" w:rsidR="00492148" w:rsidRPr="00A81C1A" w:rsidRDefault="00492148" w:rsidP="00492148">
      <w:r w:rsidRPr="00A81C1A">
        <w:t>The Crusades were a series of religious and military campaigns launched by Christian Europe between the 11th and 15th centuries which are often depicted as a unified, collective effort to reclaim Jerusalem from Muslim rule and defend Christendom. However, the idea of a singular “crusader” identity, one that united participants from a variety of regions, social backgrounds, and political motivations, may not be as linear. Although religious ideology was the central pillar of the Crusading movement, the extent to which crusaders shared a cohesive identity is contested. This essay explores the various factors that shaped crusader identity, while considering religious motivations, social and cultural divisions, the diversity of participants, and the role of leadership. There were certainly elements of a shared religious identity among crusaders, however, the reality was much more fragmented, shaped by individual ambitions, regional interests, and the complexities of medieval European society.</w:t>
      </w:r>
    </w:p>
    <w:p w14:paraId="4DEFC8BC" w14:textId="79CA0BFA" w:rsidR="00492148" w:rsidRPr="00A81C1A" w:rsidRDefault="00492148" w:rsidP="00492148">
      <w:r w:rsidRPr="00A81C1A">
        <w:t xml:space="preserve">Religious ideology was undoubtedly the most powerful unifying force behind the Crusades. The rhetoric of Pope Urban II’s speech at Clermont in 1095, which called for the First Crusade, </w:t>
      </w:r>
      <w:r w:rsidR="00012A32" w:rsidRPr="00A81C1A">
        <w:t>emphasised</w:t>
      </w:r>
      <w:r w:rsidRPr="00A81C1A">
        <w:t xml:space="preserve"> the importance of reclaiming Jerusalem and protecting Christendom from Muslim rule.</w:t>
      </w:r>
      <w:r w:rsidR="00C82BB6" w:rsidRPr="00A81C1A">
        <w:rPr>
          <w:rStyle w:val="FootnoteReference"/>
        </w:rPr>
        <w:footnoteReference w:id="1"/>
      </w:r>
      <w:r w:rsidRPr="00A81C1A">
        <w:t xml:space="preserve"> Urban’s speech, as recorded by chroniclers such as Robert the Monk, promised spiritual rewards, including the remission of sins, to those who joined the holy war.</w:t>
      </w:r>
      <w:r w:rsidR="00C82BB6" w:rsidRPr="00A81C1A">
        <w:rPr>
          <w:rStyle w:val="FootnoteReference"/>
        </w:rPr>
        <w:footnoteReference w:id="2"/>
      </w:r>
      <w:r w:rsidRPr="00A81C1A">
        <w:t xml:space="preserve"> </w:t>
      </w:r>
    </w:p>
    <w:p w14:paraId="68B860DC" w14:textId="34CB18CE" w:rsidR="00421A49" w:rsidRPr="00A81C1A" w:rsidRDefault="004049CE" w:rsidP="00492148">
      <w:r w:rsidRPr="00A81C1A">
        <w:t>T</w:t>
      </w:r>
      <w:r w:rsidR="00B614BB" w:rsidRPr="00A81C1A">
        <w:t xml:space="preserve">aking </w:t>
      </w:r>
      <w:r w:rsidR="00421A49" w:rsidRPr="00A81C1A">
        <w:t>of the cros</w:t>
      </w:r>
      <w:r w:rsidRPr="00A81C1A">
        <w:t>s</w:t>
      </w:r>
      <w:r w:rsidR="00421A49" w:rsidRPr="00A81C1A">
        <w:t xml:space="preserve"> was a significant part of crusader identity. It marked a spiritual and physical transformation</w:t>
      </w:r>
      <w:r w:rsidR="00F25558" w:rsidRPr="00A81C1A">
        <w:t xml:space="preserve"> and symbolised</w:t>
      </w:r>
      <w:r w:rsidR="00421A49" w:rsidRPr="00A81C1A">
        <w:t xml:space="preserve"> an individual's commitment to the crusading cause</w:t>
      </w:r>
      <w:r w:rsidR="00B614BB" w:rsidRPr="00A81C1A">
        <w:t>, whilst unifying</w:t>
      </w:r>
      <w:r w:rsidR="00421A49" w:rsidRPr="00A81C1A">
        <w:t xml:space="preserve"> participants under a shared religious banner. The idea of wearing the cross on their clothing was a powerful visual representation of their collective identity as crusaders, regardless of their regional or social differences. This symbolism helped to reinforce a sense of unity, even if other aspects of their identities diverged.</w:t>
      </w:r>
      <w:r w:rsidR="007005AC">
        <w:rPr>
          <w:rStyle w:val="FootnoteReference"/>
        </w:rPr>
        <w:footnoteReference w:id="3"/>
      </w:r>
    </w:p>
    <w:p w14:paraId="02F4AC91" w14:textId="60A2C09F" w:rsidR="00492148" w:rsidRPr="00A81C1A" w:rsidRDefault="00492148" w:rsidP="00492148">
      <w:r w:rsidRPr="00A81C1A">
        <w:t>The papacy played a key role in framing the Crusades as a divine mission. Papal letters from Urban II and later popes emphasized that the Crusades were not simply military campaigns, but part of a larger Christian duty to reclaim sacred territory.</w:t>
      </w:r>
      <w:r w:rsidR="00C82BB6" w:rsidRPr="00A81C1A">
        <w:rPr>
          <w:rStyle w:val="FootnoteReference"/>
        </w:rPr>
        <w:footnoteReference w:id="4"/>
      </w:r>
      <w:r w:rsidRPr="00A81C1A">
        <w:t xml:space="preserve"> The idea of the </w:t>
      </w:r>
      <w:r w:rsidRPr="00A81C1A">
        <w:lastRenderedPageBreak/>
        <w:t>Crusades as a means of achieving spiritual redemption was central to the recruitment of crusaders, especially for those in the lower social classes. For these individuals, often living under harsh feudal conditions, the promise of indulgences and salvation provided an opportunity for escape from their earthly suffering.</w:t>
      </w:r>
    </w:p>
    <w:p w14:paraId="7F8CE919" w14:textId="7887CE0C" w:rsidR="00492148" w:rsidRPr="00A81C1A" w:rsidRDefault="00492148" w:rsidP="00492148">
      <w:r w:rsidRPr="00A81C1A">
        <w:t xml:space="preserve">As chroniclers like Fulcher of Chartres observed, the battle cry "Deus Vult" ("God wills it") encapsulated the religious </w:t>
      </w:r>
      <w:r w:rsidR="00E43C9D" w:rsidRPr="00A81C1A">
        <w:t>fervour</w:t>
      </w:r>
      <w:r w:rsidRPr="00A81C1A">
        <w:t xml:space="preserve"> that many crusaders felt.</w:t>
      </w:r>
      <w:r w:rsidR="00C82BB6" w:rsidRPr="00A81C1A">
        <w:rPr>
          <w:rStyle w:val="FootnoteReference"/>
        </w:rPr>
        <w:footnoteReference w:id="5"/>
      </w:r>
      <w:r w:rsidRPr="00A81C1A">
        <w:t xml:space="preserve"> It was more than just a slogan; it was a powerful reminder that their mission was divinely sanctioned. The rhetoric surrounding the Crusades thus offered a unifying framework for participants, drawing them together under the banner of Christian duty.</w:t>
      </w:r>
    </w:p>
    <w:p w14:paraId="5BD76DA7" w14:textId="6FE5F419" w:rsidR="00492148" w:rsidRPr="00A81C1A" w:rsidRDefault="00492148" w:rsidP="00492148">
      <w:r w:rsidRPr="00A81C1A">
        <w:t xml:space="preserve">Yet, the extent to which this religious motivation created a cohesive identity is questionable. While the Church promoted the idea of a unified Christian </w:t>
      </w:r>
      <w:r w:rsidR="005F6A81" w:rsidRPr="00A81C1A">
        <w:t>effort</w:t>
      </w:r>
      <w:r w:rsidRPr="00A81C1A">
        <w:t>, different groups of crusaders had varying motivations. The nobility, for instance, often viewed the Crusades not only as a religious obligation but also as an opportunity for territorial expansion and political gain. The First Crusade was led by powerful figures like Godfrey of Bouillon and Raymond of Toulouse, who, while motivated by religious devotion, were also seeking personal advancement. As Guibert of Nogent writes, Raymond, for example, was eager to extend his influence in the Holy Land.</w:t>
      </w:r>
      <w:r w:rsidR="00C82BB6" w:rsidRPr="00A81C1A">
        <w:rPr>
          <w:rStyle w:val="FootnoteReference"/>
        </w:rPr>
        <w:footnoteReference w:id="6"/>
      </w:r>
      <w:r w:rsidRPr="00A81C1A">
        <w:t xml:space="preserve"> This blend of religious and secular motives complicated the notion of a purely unified religious identity.</w:t>
      </w:r>
    </w:p>
    <w:p w14:paraId="72967D1A" w14:textId="539F859F" w:rsidR="00492148" w:rsidRPr="00A81C1A" w:rsidRDefault="00012A32" w:rsidP="00492148">
      <w:r w:rsidRPr="00A81C1A">
        <w:t>Whereas</w:t>
      </w:r>
      <w:r w:rsidR="00492148" w:rsidRPr="00A81C1A">
        <w:t xml:space="preserve">, the People’s Crusade, led by figures like Peter the Hermit, demonstrates how the motivations of the lower classes were often more grounded in religious zeal and the hope of salvation, rather than the desire for land or power. This contrast between the religious </w:t>
      </w:r>
      <w:r w:rsidR="005F6A81" w:rsidRPr="00A81C1A">
        <w:t>fervour</w:t>
      </w:r>
      <w:r w:rsidR="00492148" w:rsidRPr="00A81C1A">
        <w:t xml:space="preserve"> of the common crusader and the political ambitions of the nobility points to a key tension within the Crusading movement</w:t>
      </w:r>
      <w:r w:rsidR="005F6A81" w:rsidRPr="00A81C1A">
        <w:t>. An argument to which can be made for the prevention of</w:t>
      </w:r>
      <w:r w:rsidR="00492148" w:rsidRPr="00A81C1A">
        <w:t xml:space="preserve"> the emergence of a fully unified crusader identity.</w:t>
      </w:r>
      <w:r w:rsidR="00C82BB6" w:rsidRPr="00A81C1A">
        <w:rPr>
          <w:rStyle w:val="FootnoteReference"/>
        </w:rPr>
        <w:footnoteReference w:id="7"/>
      </w:r>
    </w:p>
    <w:p w14:paraId="44E0C8D9" w14:textId="6C880E46" w:rsidR="00492148" w:rsidRPr="00A81C1A" w:rsidRDefault="00492148" w:rsidP="00492148">
      <w:r w:rsidRPr="00A81C1A">
        <w:t xml:space="preserve">While religious </w:t>
      </w:r>
      <w:r w:rsidR="005F6A81" w:rsidRPr="00A81C1A">
        <w:t>commitment</w:t>
      </w:r>
      <w:r w:rsidRPr="00A81C1A">
        <w:t xml:space="preserve"> provided a framework for unity, social and class divisions played a major role in shaping the Crusader experience. The Crusades were composed of individuals from all levels of medieval society</w:t>
      </w:r>
      <w:r w:rsidR="00012A32" w:rsidRPr="00A81C1A">
        <w:t xml:space="preserve"> wh</w:t>
      </w:r>
      <w:r w:rsidR="004049CE" w:rsidRPr="00A81C1A">
        <w:t>o</w:t>
      </w:r>
      <w:r w:rsidR="00012A32" w:rsidRPr="00A81C1A">
        <w:t xml:space="preserve"> </w:t>
      </w:r>
      <w:r w:rsidRPr="00A81C1A">
        <w:t>had different priorities, and their participation in the Crusades w</w:t>
      </w:r>
      <w:r w:rsidR="00A7635C" w:rsidRPr="00A81C1A">
        <w:t>ere</w:t>
      </w:r>
      <w:r w:rsidRPr="00A81C1A">
        <w:t xml:space="preserve"> driven by distinct motivations.</w:t>
      </w:r>
    </w:p>
    <w:p w14:paraId="7E85F49C" w14:textId="4F75A69D" w:rsidR="00492148" w:rsidRPr="00A81C1A" w:rsidRDefault="00492148" w:rsidP="00492148">
      <w:r w:rsidRPr="00A81C1A">
        <w:t xml:space="preserve">The nobility and knights were the primary military leaders of the Crusades. For these figures, the Crusades offered not only a religious duty but a chance to expand their </w:t>
      </w:r>
      <w:r w:rsidRPr="00A81C1A">
        <w:lastRenderedPageBreak/>
        <w:t>territories and increase their status.</w:t>
      </w:r>
      <w:r w:rsidR="00C82BB6" w:rsidRPr="00A81C1A">
        <w:rPr>
          <w:rStyle w:val="FootnoteReference"/>
        </w:rPr>
        <w:footnoteReference w:id="8"/>
      </w:r>
      <w:r w:rsidRPr="00A81C1A">
        <w:t xml:space="preserve"> Godfrey of Bouillon, one of the leaders of the First Crusade, </w:t>
      </w:r>
      <w:r w:rsidR="003E0624" w:rsidRPr="00A81C1A">
        <w:t>became</w:t>
      </w:r>
      <w:r w:rsidRPr="00A81C1A">
        <w:t xml:space="preserve"> ruler of Jerusalem. Similarly, Raymond of Toulouse </w:t>
      </w:r>
      <w:r w:rsidR="003E0624" w:rsidRPr="00A81C1A">
        <w:t>was accused of seeking</w:t>
      </w:r>
      <w:r w:rsidRPr="00A81C1A">
        <w:t xml:space="preserve"> to extend his personal power in the East. This pursuit of political and economic gain was often intertwined with religious motives, as seen in the writings of Fulcher of Chartres and Guibert of Nogent, both of whom noted the nobility’s mixed reasons for participating in the Crusades.</w:t>
      </w:r>
      <w:r w:rsidR="00C82BB6" w:rsidRPr="00A81C1A">
        <w:rPr>
          <w:rStyle w:val="FootnoteReference"/>
        </w:rPr>
        <w:footnoteReference w:id="9"/>
      </w:r>
    </w:p>
    <w:p w14:paraId="74060552" w14:textId="59B465C6" w:rsidR="00492148" w:rsidRPr="00A81C1A" w:rsidRDefault="00492148" w:rsidP="00492148">
      <w:r w:rsidRPr="00A81C1A">
        <w:t>On the other hand, the peasants and lower-ranking soldiers often had more straightforward religious motivations. For many peasants, the Crusades represented an opportunity for spiritual redemption and an escape from the oppressive conditions of feudal life. The People’s Crusade of 1096, was largely composed of peasants and common folk, driven by the promise of indulgences and the hope of achieving salvation through their participation in the holy war.</w:t>
      </w:r>
      <w:r w:rsidR="00C82BB6" w:rsidRPr="00A81C1A">
        <w:rPr>
          <w:rStyle w:val="FootnoteReference"/>
        </w:rPr>
        <w:footnoteReference w:id="10"/>
      </w:r>
      <w:r w:rsidRPr="00A81C1A">
        <w:t xml:space="preserve"> </w:t>
      </w:r>
      <w:r w:rsidR="003F0AA7" w:rsidRPr="00A81C1A">
        <w:t>Many</w:t>
      </w:r>
      <w:r w:rsidRPr="00A81C1A">
        <w:t xml:space="preserve"> peasants were motivated by the spiritual rewards offered by the papacy, despite their lack of military training or resources.</w:t>
      </w:r>
      <w:r w:rsidR="00C82BB6" w:rsidRPr="00A81C1A">
        <w:rPr>
          <w:rStyle w:val="FootnoteReference"/>
        </w:rPr>
        <w:footnoteReference w:id="11"/>
      </w:r>
    </w:p>
    <w:p w14:paraId="6DC480F5" w14:textId="18BFF164" w:rsidR="00433580" w:rsidRPr="00A81C1A" w:rsidRDefault="00433580" w:rsidP="00433580">
      <w:r w:rsidRPr="00A81C1A">
        <w:t xml:space="preserve">This disparity in social status led to internal divisions within crusader armies. The feudal structure of medieval society meant that the nobility held leadership roles, while lower-ranking crusaders given less prestigious positions. This created a hierarchy within the Crusader armies, with knights and lords holding significant power over the common soldiers, as </w:t>
      </w:r>
      <w:r w:rsidR="003F0AA7" w:rsidRPr="00A81C1A">
        <w:t>i</w:t>
      </w:r>
      <w:r w:rsidRPr="00A81C1A">
        <w:t xml:space="preserve">n many cases, common crusaders were </w:t>
      </w:r>
      <w:r w:rsidR="003F0AA7" w:rsidRPr="00A81C1A">
        <w:t>the expendable soldiers</w:t>
      </w:r>
      <w:r w:rsidRPr="00A81C1A">
        <w:t xml:space="preserve"> in sieges or other dangerous operations, and their needs and concerns were subordinat</w:t>
      </w:r>
      <w:r w:rsidR="003F0AA7" w:rsidRPr="00A81C1A">
        <w:t>e</w:t>
      </w:r>
      <w:r w:rsidRPr="00A81C1A">
        <w:t xml:space="preserve"> to the political ambitions of their leaders.</w:t>
      </w:r>
    </w:p>
    <w:p w14:paraId="26941E68" w14:textId="1726EFA8" w:rsidR="00433580" w:rsidRPr="00A81C1A" w:rsidRDefault="00433580" w:rsidP="00433580">
      <w:r w:rsidRPr="00A81C1A">
        <w:t>Some individuals, however, were able to transcend their regional and class constraints uniquely to the Crusades, for example, the Venetian merchants, who played a central role in the Fourth Crusade organised and funded parts of the Crusaders efforts.</w:t>
      </w:r>
      <w:r w:rsidR="00180009">
        <w:rPr>
          <w:rStyle w:val="FootnoteReference"/>
        </w:rPr>
        <w:footnoteReference w:id="12"/>
      </w:r>
      <w:r w:rsidRPr="00A81C1A">
        <w:t xml:space="preserve"> This was partially achieved due to how intertwined trade, politics and religion had been during the war effort.</w:t>
      </w:r>
      <w:r w:rsidR="00C82BB6" w:rsidRPr="00A81C1A">
        <w:rPr>
          <w:rStyle w:val="FootnoteReference"/>
        </w:rPr>
        <w:footnoteReference w:id="13"/>
      </w:r>
    </w:p>
    <w:p w14:paraId="6F18F8B9" w14:textId="3E8909BE" w:rsidR="00433580" w:rsidRPr="00A81C1A" w:rsidRDefault="00433580" w:rsidP="00492148">
      <w:r w:rsidRPr="00A81C1A">
        <w:lastRenderedPageBreak/>
        <w:t>The Venetians had their own economic and political interests, which led to the diversion of the Crusade from its original goal of attacking Jerusalem to the sacking of Constantinople. Doges like Enrico Dandolo pursued Venetian control of Mediterranean trade routes, which led to a political split with the French and Norman crusaders.</w:t>
      </w:r>
      <w:r w:rsidR="00C82BB6" w:rsidRPr="00A81C1A">
        <w:rPr>
          <w:rStyle w:val="FootnoteReference"/>
        </w:rPr>
        <w:footnoteReference w:id="14"/>
      </w:r>
      <w:r w:rsidRPr="00A81C1A">
        <w:t xml:space="preserve"> The fact that these disputes were over secular interests highlights the challenges of achieving a unified identity in a movement driven by both spiritual and political agendas.</w:t>
      </w:r>
    </w:p>
    <w:p w14:paraId="6B5F8042" w14:textId="656CDFBE" w:rsidR="0071749E" w:rsidRPr="00A81C1A" w:rsidRDefault="0071749E" w:rsidP="0071749E">
      <w:r w:rsidRPr="00A81C1A">
        <w:t xml:space="preserve">Women’s roles in the Crusades, though largely overshadowed by the dominant male military narrative, were multifaceted and shaped by both social expectations and religious motivations. Noblewomen like Eleanor of Aquitaine, who accompanied her husband on the Second Crusade, and Queen Melisende of Jerusalem, who governed the Crusader state in her husband’s absence, highlight the active leadership roles some women took on during the </w:t>
      </w:r>
      <w:r w:rsidR="004A4737" w:rsidRPr="00A81C1A">
        <w:t>Crusades.</w:t>
      </w:r>
      <w:r w:rsidRPr="00A81C1A">
        <w:t xml:space="preserve"> </w:t>
      </w:r>
      <w:r w:rsidR="004A4737" w:rsidRPr="00A81C1A">
        <w:t>Their</w:t>
      </w:r>
      <w:r w:rsidRPr="00A81C1A">
        <w:t xml:space="preserve"> role was often complicated by the violent nature of the Crusades. Despite their limited participation in the actual fighting, women were essential in maintaining the Christian identity of the Crusades</w:t>
      </w:r>
      <w:r w:rsidR="004A4737" w:rsidRPr="00A81C1A">
        <w:t>.</w:t>
      </w:r>
      <w:r w:rsidR="00C82BB6" w:rsidRPr="00A81C1A">
        <w:rPr>
          <w:rStyle w:val="FootnoteReference"/>
        </w:rPr>
        <w:footnoteReference w:id="15"/>
      </w:r>
    </w:p>
    <w:p w14:paraId="1F15B164" w14:textId="1BAD4DE5" w:rsidR="00492148" w:rsidRPr="00A81C1A" w:rsidRDefault="00492148" w:rsidP="00492148">
      <w:r w:rsidRPr="00A81C1A">
        <w:t xml:space="preserve">The First Crusade was primarily a French and Norman </w:t>
      </w:r>
      <w:r w:rsidR="00CD4A3B" w:rsidRPr="00A81C1A">
        <w:t>endeavour</w:t>
      </w:r>
      <w:r w:rsidRPr="00A81C1A">
        <w:t>, with French-speaking crusaders</w:t>
      </w:r>
      <w:r w:rsidR="00C82BB6" w:rsidRPr="00A81C1A">
        <w:t>, which may have influenced the Islamic world referring to crusaders as Franks</w:t>
      </w:r>
      <w:r w:rsidRPr="00A81C1A">
        <w:t>.</w:t>
      </w:r>
      <w:r w:rsidR="00657DB9" w:rsidRPr="00A81C1A">
        <w:rPr>
          <w:rStyle w:val="FootnoteReference"/>
        </w:rPr>
        <w:footnoteReference w:id="16"/>
      </w:r>
      <w:r w:rsidRPr="00A81C1A">
        <w:t xml:space="preserve"> However, by the time of the Second Crusade (1147-1149) and the Third Crusade (1189-1192), the movement had attracted participants from across Europe. German crusaders, led by Emperor Conrad III, and English crusaders, under Richard the Lionheart, brought their own political, cultural, and military traditions to the campaigns.</w:t>
      </w:r>
      <w:r w:rsidR="00657DB9" w:rsidRPr="00A81C1A">
        <w:rPr>
          <w:rStyle w:val="FootnoteReference"/>
        </w:rPr>
        <w:footnoteReference w:id="17"/>
      </w:r>
    </w:p>
    <w:p w14:paraId="1E431D53" w14:textId="475F3557" w:rsidR="00492148" w:rsidRPr="00A81C1A" w:rsidRDefault="00492148" w:rsidP="00492148">
      <w:r w:rsidRPr="00A81C1A">
        <w:t>The Third Crusade, in particular, saw tensions between Richard the Lionheart and Philip II of France. Despite both being part of the same effort, the two leaders had distinct goals. Richard was particularly concerned with gaining personal glory and expanding his influence in the East, while Philip sought to maintain a balance of power in France. These differing political interests led to disagreements over military strategy</w:t>
      </w:r>
      <w:r w:rsidR="004A4737" w:rsidRPr="00A81C1A">
        <w:t>.</w:t>
      </w:r>
      <w:r w:rsidR="00657DB9" w:rsidRPr="00A81C1A">
        <w:rPr>
          <w:rStyle w:val="FootnoteReference"/>
        </w:rPr>
        <w:footnoteReference w:id="18"/>
      </w:r>
    </w:p>
    <w:p w14:paraId="6027139F" w14:textId="3992B349" w:rsidR="00492148" w:rsidRPr="00A81C1A" w:rsidRDefault="00492148" w:rsidP="00492148">
      <w:r w:rsidRPr="00A81C1A">
        <w:t xml:space="preserve">Papal efforts to create a unified sense of identity among crusaders were significant, but the effectiveness of these efforts was often undermined by the complex realities on the </w:t>
      </w:r>
      <w:r w:rsidRPr="00A81C1A">
        <w:lastRenderedPageBreak/>
        <w:t>ground. The papacy, particularly under Pope Urban II and Pope Innocent III, sought to frame the Crusades as a religious duty, promising indulgences and spiritual rewards to those who participated. Urban’s speech at Clermont was designed to unite Christian Europe under the banner of a divine mission</w:t>
      </w:r>
      <w:r w:rsidR="001A5AC1" w:rsidRPr="00A81C1A">
        <w:t>.</w:t>
      </w:r>
      <w:r w:rsidR="00657DB9" w:rsidRPr="00A81C1A">
        <w:rPr>
          <w:rStyle w:val="FootnoteReference"/>
        </w:rPr>
        <w:footnoteReference w:id="19"/>
      </w:r>
    </w:p>
    <w:p w14:paraId="6EA840F2" w14:textId="71D26760" w:rsidR="00B717C4" w:rsidRPr="00A81C1A" w:rsidRDefault="00492148" w:rsidP="00B717C4">
      <w:r w:rsidRPr="00A81C1A">
        <w:t>However, the secular leadership of the Crusades often had different priorities. The noble crusaders were not just soldiers in a religious war but also landowners and politicians, often driven by ambitions of territorial expansion and personal gain. As Guibert of Nogent points out, leaders like Raymond of Toulouse and Bohemond of Taranto had their own agendas, which sometimes took precedence over the religious rhetoric espoused by the papacy.</w:t>
      </w:r>
      <w:r w:rsidR="00657DB9" w:rsidRPr="00A81C1A">
        <w:rPr>
          <w:rStyle w:val="FootnoteReference"/>
        </w:rPr>
        <w:footnoteReference w:id="20"/>
      </w:r>
      <w:r w:rsidRPr="00A81C1A">
        <w:t xml:space="preserve"> </w:t>
      </w:r>
      <w:r w:rsidR="00B717C4" w:rsidRPr="00A81C1A">
        <w:t>The military orders formed during the Crusades, such as the Knights Templar, Knights Hospitaller, and Teutonic Knights, developed a shared identity based on religious vows and military duty, but their cohesion was often complicated by political and territorial ambitions. The Knights Templar, founded in 1119 to protect pilgrims, became symbols of devotion with their distinct white mantles and red crosses, but their increasing wealth and influence in the 13th century led to tensions and corruption, ultimately contributing to their disbandment by Pope Clement V</w:t>
      </w:r>
      <w:r w:rsidR="004A4737" w:rsidRPr="00A81C1A">
        <w:t xml:space="preserve">. </w:t>
      </w:r>
      <w:r w:rsidR="00B717C4" w:rsidRPr="00A81C1A">
        <w:t>Similarly, the Knights Hospitaller, initially focused on aiding pilgrims, later became a powerful military force, exemplified by their resistance during the Siege of Rhodes in 1522, highlighting their dual identity as both warriors and religious defenders</w:t>
      </w:r>
      <w:r w:rsidR="004A4737" w:rsidRPr="00A81C1A">
        <w:t>.</w:t>
      </w:r>
      <w:r w:rsidR="00657DB9" w:rsidRPr="00A81C1A">
        <w:rPr>
          <w:rStyle w:val="FootnoteReference"/>
        </w:rPr>
        <w:footnoteReference w:id="21"/>
      </w:r>
    </w:p>
    <w:p w14:paraId="47D076DB" w14:textId="44D94795" w:rsidR="00B717C4" w:rsidRPr="00A81C1A" w:rsidRDefault="00B717C4" w:rsidP="00B717C4">
      <w:r w:rsidRPr="00A81C1A">
        <w:t>The Teutonic Knights shifted their focus from the Holy Land to the Baltic, where they aimed to convert pagan populations, blending religious fervour with territorial expansion. Their role in establishing a Christian state in Prussia reinforced their shared identity as defenders of Christendom.</w:t>
      </w:r>
      <w:r w:rsidR="009131DE">
        <w:rPr>
          <w:rStyle w:val="FootnoteReference"/>
        </w:rPr>
        <w:footnoteReference w:id="22"/>
      </w:r>
      <w:r w:rsidRPr="00A81C1A">
        <w:t xml:space="preserve"> However, rivalries between the orders, such as between the Templars and Hospitallers during the Crusades, often fractured their unity</w:t>
      </w:r>
      <w:r w:rsidR="004A4737" w:rsidRPr="00A81C1A">
        <w:t xml:space="preserve">. </w:t>
      </w:r>
      <w:r w:rsidRPr="00A81C1A">
        <w:t>Despite their shared vows, the military orders' political ambitions and regional priorities occasionally undermined a truly unified sense of purpose.</w:t>
      </w:r>
      <w:r w:rsidR="00657DB9" w:rsidRPr="00A81C1A">
        <w:rPr>
          <w:rStyle w:val="FootnoteReference"/>
        </w:rPr>
        <w:footnoteReference w:id="23"/>
      </w:r>
    </w:p>
    <w:p w14:paraId="0D8F8A97" w14:textId="749E29A4" w:rsidR="00B717C4" w:rsidRPr="00A81C1A" w:rsidRDefault="00B717C4" w:rsidP="00B717C4">
      <w:r w:rsidRPr="00A81C1A">
        <w:t>Muslims did not perceive all crusaders as the same, as their perceptions were shaped by both religious and political considerations, which evolved over time. Initially, during the First Crusade, crusaders were viewed largely as invaders, or "infidels," threatening the Muslim world.</w:t>
      </w:r>
      <w:r w:rsidR="0056418A">
        <w:rPr>
          <w:rStyle w:val="FootnoteReference"/>
        </w:rPr>
        <w:footnoteReference w:id="24"/>
      </w:r>
      <w:r w:rsidRPr="00A81C1A">
        <w:t xml:space="preserve"> Muslim historians like Ibn al-Athir emphasized the brutality of the Crusaders, portraying them as barbaric and driven by religious zeal. This negative perception was intensified by events such as the massacre of Muslims in Jerusalem in </w:t>
      </w:r>
      <w:r w:rsidRPr="00A81C1A">
        <w:lastRenderedPageBreak/>
        <w:t>1099, which reinforced the image of the Crusaders as enemies of Islam</w:t>
      </w:r>
      <w:r w:rsidR="004049CE" w:rsidRPr="00A81C1A">
        <w:t>.</w:t>
      </w:r>
      <w:r w:rsidR="0056418A">
        <w:rPr>
          <w:rStyle w:val="FootnoteReference"/>
        </w:rPr>
        <w:footnoteReference w:id="25"/>
      </w:r>
      <w:r w:rsidR="004049CE" w:rsidRPr="00A81C1A">
        <w:t xml:space="preserve"> </w:t>
      </w:r>
      <w:r w:rsidRPr="00A81C1A">
        <w:t>Imad ad-Din, Saladin’s biographer, offered a more complex view of Richard, admiring his leadership and respect for honour, which contrasted with the earlier perception of the Crusaders as solely violent invaders</w:t>
      </w:r>
      <w:r w:rsidR="004A4737" w:rsidRPr="00A81C1A">
        <w:t>.</w:t>
      </w:r>
    </w:p>
    <w:p w14:paraId="7874C30C" w14:textId="1AE65759" w:rsidR="00B717C4" w:rsidRPr="00A81C1A" w:rsidRDefault="00B717C4" w:rsidP="00492148">
      <w:r w:rsidRPr="00A81C1A">
        <w:t>Muslim leaders like Saladin recognized the diversity within the Crusader ranks, particularly their varied motivations and leadership dynamics. While some Crusaders were seen as noble adversaries, others, especially the later crusading forces, were regarded with suspicion due to their shifting political agendas. For example, the Fourth Crusade and its diversion to Constantinople in 1204, driven by Venetian economic interests, led to a negative perception of the Crusaders as opportunistic and politically motivated rather than purely religiously driven. This divergence in Crusader identity</w:t>
      </w:r>
      <w:r w:rsidR="00F4783B" w:rsidRPr="00A81C1A">
        <w:t xml:space="preserve">, </w:t>
      </w:r>
      <w:r w:rsidRPr="00A81C1A">
        <w:t>whether motivated by religious zeal or political gain</w:t>
      </w:r>
      <w:r w:rsidR="00F4783B" w:rsidRPr="00A81C1A">
        <w:t xml:space="preserve">, </w:t>
      </w:r>
      <w:r w:rsidRPr="00A81C1A">
        <w:t xml:space="preserve">was acknowledged by Muslim chroniclers, who adapted their views of the Crusaders based on the specific context of the </w:t>
      </w:r>
      <w:r w:rsidR="004A4737" w:rsidRPr="00A81C1A">
        <w:t>encounter.</w:t>
      </w:r>
      <w:r w:rsidRPr="00A81C1A">
        <w:t xml:space="preserve"> Thus, while the initial view of Crusaders was monolithic and hostile, over time, the Muslim perception became more differentiated, acknowledging the diverse motivations and actions of the Crusaders.</w:t>
      </w:r>
      <w:r w:rsidR="00C73112">
        <w:rPr>
          <w:rStyle w:val="FootnoteReference"/>
        </w:rPr>
        <w:footnoteReference w:id="26"/>
      </w:r>
    </w:p>
    <w:p w14:paraId="6DBC3E13" w14:textId="7EFFE7E4" w:rsidR="00421A49" w:rsidRPr="00A81C1A" w:rsidRDefault="00421A49">
      <w:r w:rsidRPr="00A81C1A">
        <w:t>In conclusion, while the Crusades were framed as a collective Christian effort to reclaim Jerusalem and defend Christendom, the concept of a singular, unified "crusader" identity is a complex and contested issue. Religious ideology undoubtedly provided a common framework that united participants under the banner of divine mission and salvation. However, the diverse motivations of crusaders</w:t>
      </w:r>
      <w:r w:rsidR="00F4783B" w:rsidRPr="00A81C1A">
        <w:t xml:space="preserve">, </w:t>
      </w:r>
      <w:r w:rsidRPr="00A81C1A">
        <w:t>from the political ambitions of the nobility to the religious zeal of the commoners</w:t>
      </w:r>
      <w:r w:rsidR="00F4783B" w:rsidRPr="00A81C1A">
        <w:t xml:space="preserve">, </w:t>
      </w:r>
      <w:r w:rsidRPr="00A81C1A">
        <w:t xml:space="preserve">revealed a fragmented collective identity. Social hierarchies, regional differences, and competing secular interests often complicated the notion of unity, as seen in the internal divisions between different classes and the rivalries among crusading factions. The role of leadership, both papal and secular, further emphasized the tensions between religious goals and political ambitions, while the involvement of women, though overshadowed by the military narrative, also contributed to the multi-layered nature of crusader identity. Ultimately, while the Crusades were deeply imbued with religious fervour, the reality of a cohesive, singular identity was far more elusive, shaped instead by a mosaic of personal, regional, and political agendas. The Crusades were less an embodiment of a unified Christian identity and more a reflection of the diverse, and often conflicting, forces that defined medieval European society. </w:t>
      </w:r>
      <w:r w:rsidR="00B717C4" w:rsidRPr="00A81C1A">
        <w:t>While the Crusades were presented as a unified religious mission, the reality was far more fragmented due to varying religious, social, and political motivations.</w:t>
      </w:r>
    </w:p>
    <w:p w14:paraId="0F63AAD4" w14:textId="77777777" w:rsidR="00421A49" w:rsidRPr="00A81C1A" w:rsidRDefault="00421A49"/>
    <w:p w14:paraId="144140CB" w14:textId="77777777" w:rsidR="00421A49" w:rsidRPr="00A81C1A" w:rsidRDefault="00421A49"/>
    <w:p w14:paraId="488A8FC7" w14:textId="2F1A9FB1" w:rsidR="0038356D" w:rsidRPr="0038356D" w:rsidRDefault="0038356D" w:rsidP="0038356D">
      <w:pPr>
        <w:ind w:left="720" w:hanging="720"/>
        <w:rPr>
          <w:b/>
          <w:bCs/>
          <w:i/>
          <w:iCs/>
          <w:sz w:val="32"/>
          <w:szCs w:val="32"/>
        </w:rPr>
      </w:pPr>
      <w:r w:rsidRPr="0038356D">
        <w:rPr>
          <w:b/>
          <w:bCs/>
          <w:i/>
          <w:iCs/>
          <w:sz w:val="32"/>
          <w:szCs w:val="32"/>
        </w:rPr>
        <w:t>Bibliography</w:t>
      </w:r>
    </w:p>
    <w:p w14:paraId="467870FD" w14:textId="6906E4F6" w:rsidR="0038356D" w:rsidRPr="00C94CF4" w:rsidRDefault="0038356D" w:rsidP="0038356D">
      <w:pPr>
        <w:ind w:left="720" w:hanging="720"/>
      </w:pPr>
      <w:r w:rsidRPr="00C94CF4">
        <w:t xml:space="preserve">Abbot of Nogent-sous-Coucy Guibert, </w:t>
      </w:r>
      <w:r w:rsidRPr="00C94CF4">
        <w:rPr>
          <w:i/>
          <w:iCs/>
        </w:rPr>
        <w:t>The Deeds of God Through the Franks</w:t>
      </w:r>
      <w:r w:rsidRPr="00C94CF4">
        <w:t>, trans. by Robert Levine (Project Gutenberg, 2003) &lt;https://www.gutenberg.org/cache/epub/4370/pg4370-images.html&gt; [Accessed 16</w:t>
      </w:r>
      <w:r w:rsidRPr="00C94CF4">
        <w:rPr>
          <w:vertAlign w:val="superscript"/>
        </w:rPr>
        <w:t>th</w:t>
      </w:r>
      <w:r w:rsidRPr="00C94CF4">
        <w:t xml:space="preserve"> March 2025]</w:t>
      </w:r>
    </w:p>
    <w:p w14:paraId="1593667D" w14:textId="77777777" w:rsidR="0038356D" w:rsidRDefault="0038356D" w:rsidP="0038356D">
      <w:pPr>
        <w:ind w:left="720" w:hanging="720"/>
        <w:rPr>
          <w:vertAlign w:val="superscript"/>
        </w:rPr>
      </w:pPr>
      <w:r>
        <w:t>A</w:t>
      </w:r>
      <w:r w:rsidRPr="00C94CF4">
        <w:t>l-Qalānisī</w:t>
      </w:r>
      <w:r>
        <w:t>,</w:t>
      </w:r>
      <w:r w:rsidRPr="00C94CF4">
        <w:t xml:space="preserve"> Ibn, </w:t>
      </w:r>
      <w:r w:rsidRPr="00C94CF4">
        <w:rPr>
          <w:i/>
          <w:iCs/>
        </w:rPr>
        <w:t>The Damascus Chronicle of the Crusades</w:t>
      </w:r>
      <w:r w:rsidRPr="00C94CF4">
        <w:t>, trans. by H. A. R. Gibb (London: Luzac, 1932), &lt;https://archive.org/details/dli.csl.7233/page/n25/mode/2up?q=franks&gt; [Accessed 16</w:t>
      </w:r>
      <w:r w:rsidRPr="00C94CF4">
        <w:rPr>
          <w:vertAlign w:val="superscript"/>
        </w:rPr>
        <w:t>th</w:t>
      </w:r>
      <w:r w:rsidRPr="00C94CF4">
        <w:t xml:space="preserve"> March 2025]</w:t>
      </w:r>
    </w:p>
    <w:p w14:paraId="52CF9550" w14:textId="77777777" w:rsidR="0038356D" w:rsidRDefault="0038356D" w:rsidP="0038356D">
      <w:pPr>
        <w:ind w:left="720" w:hanging="720"/>
      </w:pPr>
      <w:r>
        <w:t>D</w:t>
      </w:r>
      <w:r w:rsidRPr="00C94CF4">
        <w:t>e Villehardouin</w:t>
      </w:r>
      <w:r>
        <w:t>,</w:t>
      </w:r>
      <w:r w:rsidRPr="00C94CF4">
        <w:t xml:space="preserve"> Geoffrey, </w:t>
      </w:r>
      <w:r w:rsidRPr="00C94CF4">
        <w:rPr>
          <w:i/>
          <w:iCs/>
        </w:rPr>
        <w:t>Memoirs</w:t>
      </w:r>
      <w:r w:rsidRPr="00C94CF4">
        <w:t> or</w:t>
      </w:r>
      <w:r w:rsidRPr="00C94CF4">
        <w:rPr>
          <w:i/>
          <w:iCs/>
        </w:rPr>
        <w:t> Chronicle of The Fourth Crusade and The Conquest of Constantinople, </w:t>
      </w:r>
      <w:r w:rsidRPr="00C94CF4">
        <w:t>trans. by Frank T. Marzials (London: J.M. Dent, 1908) pp.13-16 &lt;https://origin-rh.web.fordham.edu/halsall/basis/villehardouin.asp&gt; [Accessed 16</w:t>
      </w:r>
      <w:r w:rsidRPr="00C94CF4">
        <w:rPr>
          <w:vertAlign w:val="superscript"/>
        </w:rPr>
        <w:t>th</w:t>
      </w:r>
      <w:r w:rsidRPr="00C94CF4">
        <w:t xml:space="preserve"> March 2025]</w:t>
      </w:r>
    </w:p>
    <w:p w14:paraId="009FF7FB" w14:textId="77777777" w:rsidR="0038356D" w:rsidRPr="00C94CF4" w:rsidRDefault="0038356D" w:rsidP="0038356D">
      <w:pPr>
        <w:ind w:left="720" w:hanging="720"/>
      </w:pPr>
      <w:r w:rsidRPr="00C94CF4">
        <w:t>Fulcher of Chartres, </w:t>
      </w:r>
      <w:r w:rsidRPr="00C94CF4">
        <w:rPr>
          <w:i/>
          <w:iCs/>
        </w:rPr>
        <w:t xml:space="preserve"> Medieval Sourcebook: Urban II (1088-1099): Speech at Council of Clermont, 1095 Six Versions of the Speech</w:t>
      </w:r>
      <w:r w:rsidRPr="00C94CF4">
        <w:t>, trans. by Paul Halsall (New York: Fordham University, 1996)</w:t>
      </w:r>
      <w:r w:rsidRPr="00C94CF4">
        <w:rPr>
          <w:i/>
          <w:iCs/>
        </w:rPr>
        <w:t xml:space="preserve"> </w:t>
      </w:r>
      <w:r w:rsidRPr="00C94CF4">
        <w:t>&lt;https://origin-rh.web.fordham.edu/halsall/source/urban2-5vers.asp&gt; [Accessed 16</w:t>
      </w:r>
      <w:r w:rsidRPr="00C94CF4">
        <w:rPr>
          <w:vertAlign w:val="superscript"/>
        </w:rPr>
        <w:t>th</w:t>
      </w:r>
      <w:r w:rsidRPr="00C94CF4">
        <w:t xml:space="preserve"> March 2025]</w:t>
      </w:r>
    </w:p>
    <w:p w14:paraId="13F90A77" w14:textId="77777777" w:rsidR="0038356D" w:rsidRPr="00C94CF4" w:rsidRDefault="0038356D" w:rsidP="0038356D">
      <w:pPr>
        <w:ind w:left="720" w:hanging="720"/>
        <w:rPr>
          <w:b/>
          <w:bCs/>
        </w:rPr>
      </w:pPr>
      <w:r w:rsidRPr="00C94CF4">
        <w:t xml:space="preserve">Guibert of Nogent, </w:t>
      </w:r>
      <w:r w:rsidRPr="00C94CF4">
        <w:rPr>
          <w:i/>
          <w:iCs/>
        </w:rPr>
        <w:t>The Deeds of God through the Franks by Guibert of Nogent</w:t>
      </w:r>
      <w:r w:rsidRPr="00C94CF4">
        <w:t>, trans. by Robert Levine (Project Gutenberg, 1997), &lt;https://www.gutenberg.org/cache/epub/4370/pg4370-images.html&gt; [Accessed 16</w:t>
      </w:r>
      <w:r w:rsidRPr="00C94CF4">
        <w:rPr>
          <w:vertAlign w:val="superscript"/>
        </w:rPr>
        <w:t>th</w:t>
      </w:r>
      <w:r w:rsidRPr="00C94CF4">
        <w:t xml:space="preserve"> March 2025].</w:t>
      </w:r>
    </w:p>
    <w:p w14:paraId="54132623" w14:textId="77777777" w:rsidR="0038356D" w:rsidRPr="00C94CF4" w:rsidRDefault="0038356D" w:rsidP="0038356D">
      <w:pPr>
        <w:ind w:left="720" w:hanging="720"/>
      </w:pPr>
      <w:r w:rsidRPr="00C94CF4">
        <w:t>Hillenbrand</w:t>
      </w:r>
      <w:r>
        <w:t>,</w:t>
      </w:r>
      <w:r w:rsidRPr="00C94CF4">
        <w:t xml:space="preserve"> Carole, </w:t>
      </w:r>
      <w:r w:rsidRPr="00C94CF4">
        <w:rPr>
          <w:i/>
          <w:iCs/>
        </w:rPr>
        <w:t>The Crusades: Islamic Perspectives</w:t>
      </w:r>
      <w:r w:rsidRPr="00C94CF4">
        <w:t xml:space="preserve"> (Edinburgh: Edinburgh University Press, 1999) pp. 31–88 &lt;http://www.jstor.org/stable/10.3366/j.ctvxcrfgd.22&gt; [Accessed 16 March 2025].</w:t>
      </w:r>
    </w:p>
    <w:p w14:paraId="7DAAE6D0" w14:textId="77777777" w:rsidR="0038356D" w:rsidRPr="00C94CF4" w:rsidRDefault="0038356D" w:rsidP="0038356D">
      <w:pPr>
        <w:ind w:left="720" w:hanging="720"/>
      </w:pPr>
      <w:r w:rsidRPr="00C94CF4">
        <w:t>Holt</w:t>
      </w:r>
      <w:r>
        <w:t>,</w:t>
      </w:r>
      <w:r w:rsidRPr="00C94CF4">
        <w:t xml:space="preserve"> Andrew, </w:t>
      </w:r>
      <w:r w:rsidRPr="00C94CF4">
        <w:rPr>
          <w:i/>
          <w:iCs/>
        </w:rPr>
        <w:t>The Modern Muslim Memory of the Crusades</w:t>
      </w:r>
      <w:r w:rsidRPr="00C94CF4">
        <w:t xml:space="preserve"> &lt;https://apholt.com/2017/03/02/the-modern-muslim-memory-of-the-crusades/&gt; [Accessed 16</w:t>
      </w:r>
      <w:r w:rsidRPr="00C94CF4">
        <w:rPr>
          <w:vertAlign w:val="superscript"/>
        </w:rPr>
        <w:t>th</w:t>
      </w:r>
      <w:r w:rsidRPr="00C94CF4">
        <w:t xml:space="preserve"> March 2025].</w:t>
      </w:r>
    </w:p>
    <w:p w14:paraId="2065B6D8" w14:textId="77777777" w:rsidR="0038356D" w:rsidRPr="00EF2B4F" w:rsidRDefault="0038356D" w:rsidP="0038356D">
      <w:pPr>
        <w:ind w:left="720" w:hanging="720"/>
      </w:pPr>
      <w:r>
        <w:t xml:space="preserve">Kostick, Conor, </w:t>
      </w:r>
      <w:r>
        <w:rPr>
          <w:i/>
          <w:iCs/>
        </w:rPr>
        <w:t>The Social Structure of the First Crusade</w:t>
      </w:r>
      <w:r>
        <w:t xml:space="preserve"> (Leiden: Brill, 2008), &lt;</w:t>
      </w:r>
      <w:r w:rsidRPr="00EF2B4F">
        <w:t>https://www-jstor-org.ezproxy.uwtsd.ac.uk/stable/10.1163/j.ctt1w8h1gw.13?searchText=&amp;searchUri=&amp;ab_segments=&amp;searchKey=&amp;refreqid=fastly-default%3A9b3f1e84e0dad08289a7991749ae0c84&amp;initiator=recommender&amp;seq=8</w:t>
      </w:r>
      <w:r>
        <w:t>&gt; [Accessed 16</w:t>
      </w:r>
      <w:r w:rsidRPr="00EF2B4F">
        <w:rPr>
          <w:vertAlign w:val="superscript"/>
        </w:rPr>
        <w:t>th</w:t>
      </w:r>
      <w:r>
        <w:t xml:space="preserve"> March 2025]</w:t>
      </w:r>
    </w:p>
    <w:p w14:paraId="79244AEA" w14:textId="77777777" w:rsidR="0038356D" w:rsidRPr="00C94CF4" w:rsidRDefault="0038356D" w:rsidP="0038356D">
      <w:pPr>
        <w:ind w:left="720" w:hanging="720"/>
        <w:rPr>
          <w:i/>
          <w:iCs/>
        </w:rPr>
      </w:pPr>
      <w:r w:rsidRPr="00C94CF4">
        <w:lastRenderedPageBreak/>
        <w:t xml:space="preserve">Lumen Learning, </w:t>
      </w:r>
      <w:r w:rsidRPr="00C94CF4">
        <w:rPr>
          <w:i/>
          <w:iCs/>
        </w:rPr>
        <w:t>The Second Crusade &lt;</w:t>
      </w:r>
      <w:r w:rsidRPr="00C94CF4">
        <w:t>https://courses.lumenlearning.com/atd-herkimer-westerncivilization/chapter/the-second-crusade/&gt; [Accessed 16</w:t>
      </w:r>
      <w:r w:rsidRPr="00C94CF4">
        <w:rPr>
          <w:vertAlign w:val="superscript"/>
        </w:rPr>
        <w:t>th</w:t>
      </w:r>
      <w:r w:rsidRPr="00C94CF4">
        <w:t xml:space="preserve"> March 2025]</w:t>
      </w:r>
    </w:p>
    <w:p w14:paraId="005AFA08" w14:textId="77777777" w:rsidR="0038356D" w:rsidRDefault="0038356D" w:rsidP="0038356D">
      <w:pPr>
        <w:ind w:left="720" w:hanging="720"/>
      </w:pPr>
      <w:r w:rsidRPr="00C94CF4">
        <w:t>Mathews</w:t>
      </w:r>
      <w:r>
        <w:t>,</w:t>
      </w:r>
      <w:r w:rsidRPr="00C94CF4">
        <w:t xml:space="preserve"> Justin Lee, </w:t>
      </w:r>
      <w:r w:rsidRPr="00C94CF4">
        <w:rPr>
          <w:i/>
          <w:iCs/>
        </w:rPr>
        <w:t xml:space="preserve">The Great Men of Christendom: The Failure of the Third Crusade </w:t>
      </w:r>
      <w:r w:rsidRPr="00C94CF4">
        <w:t>(Unpublished Master’s Thesis, Western Kentucky University, 2011) &lt;https://digitalcommons.wku.edu/cgi/viewcontent.cgi?article=2117&amp;context=theses&gt; [Accessed 16</w:t>
      </w:r>
      <w:r w:rsidRPr="00C94CF4">
        <w:rPr>
          <w:vertAlign w:val="superscript"/>
        </w:rPr>
        <w:t>th</w:t>
      </w:r>
      <w:r w:rsidRPr="00C94CF4">
        <w:t xml:space="preserve"> March 2025]</w:t>
      </w:r>
    </w:p>
    <w:p w14:paraId="3D36C4AC" w14:textId="0AA855EF" w:rsidR="0038356D" w:rsidRPr="00C94CF4" w:rsidRDefault="0038356D" w:rsidP="0038356D">
      <w:pPr>
        <w:ind w:left="720" w:hanging="720"/>
      </w:pPr>
      <w:r w:rsidRPr="00C94CF4">
        <w:t>Mcginty</w:t>
      </w:r>
      <w:r>
        <w:t>, M</w:t>
      </w:r>
      <w:r w:rsidRPr="00C94CF4">
        <w:t xml:space="preserve">artha Evelyn, </w:t>
      </w:r>
      <w:r w:rsidRPr="00C94CF4">
        <w:rPr>
          <w:i/>
          <w:iCs/>
        </w:rPr>
        <w:t>Fulcher of Chartres Chronicle of the First Crusade</w:t>
      </w:r>
      <w:r w:rsidRPr="00C94CF4">
        <w:t xml:space="preserve"> (Oxford: Humphrey Milford Oxford Library Press:1941), p. 2 &lt;https://archive.org/details/fulcherofchartre0001mart/page/2/mode/2up?q=motivated&gt; [Accessed 16</w:t>
      </w:r>
      <w:r w:rsidRPr="00C94CF4">
        <w:rPr>
          <w:vertAlign w:val="superscript"/>
        </w:rPr>
        <w:t>th</w:t>
      </w:r>
      <w:r w:rsidRPr="00C94CF4">
        <w:t xml:space="preserve"> March 2025]</w:t>
      </w:r>
    </w:p>
    <w:p w14:paraId="7923C410" w14:textId="77777777" w:rsidR="0038356D" w:rsidRPr="00C94CF4" w:rsidRDefault="0038356D" w:rsidP="0038356D">
      <w:pPr>
        <w:ind w:left="720" w:hanging="720"/>
      </w:pPr>
      <w:r w:rsidRPr="00C94CF4">
        <w:t>Morton</w:t>
      </w:r>
      <w:r>
        <w:t>,</w:t>
      </w:r>
      <w:r w:rsidRPr="00C94CF4">
        <w:t xml:space="preserve"> Nicholas, ‘Review of The Crusade Indulgence: Spiritual Rewards and the Theology of the Crusades, c. 1095-1216, </w:t>
      </w:r>
      <w:r w:rsidRPr="00C94CF4">
        <w:rPr>
          <w:i/>
          <w:iCs/>
        </w:rPr>
        <w:t>History</w:t>
      </w:r>
      <w:r w:rsidRPr="00C94CF4">
        <w:t>, 101.1(344) (2016), 114-116 p. 114 &lt;https://www.jstor.org/stable/24809620&gt; [Accessed 16</w:t>
      </w:r>
      <w:r w:rsidRPr="00C94CF4">
        <w:rPr>
          <w:vertAlign w:val="superscript"/>
        </w:rPr>
        <w:t>th</w:t>
      </w:r>
      <w:r w:rsidRPr="00C94CF4">
        <w:t xml:space="preserve"> March 2025]</w:t>
      </w:r>
    </w:p>
    <w:p w14:paraId="6C259046" w14:textId="77777777" w:rsidR="0038356D" w:rsidRDefault="0038356D" w:rsidP="0038356D">
      <w:pPr>
        <w:ind w:left="720" w:hanging="720"/>
      </w:pPr>
      <w:r w:rsidRPr="00C94CF4">
        <w:t>O. Chappell</w:t>
      </w:r>
      <w:r>
        <w:t>,</w:t>
      </w:r>
      <w:r w:rsidRPr="00C94CF4">
        <w:t xml:space="preserve"> Douglas, </w:t>
      </w:r>
      <w:r w:rsidRPr="00C94CF4">
        <w:rPr>
          <w:i/>
          <w:iCs/>
        </w:rPr>
        <w:t>The “People’s Crusade” As a Separate and Integral Element of the First Crusade</w:t>
      </w:r>
      <w:r w:rsidRPr="00C94CF4">
        <w:t xml:space="preserve"> (Unpublished Master’s thesis, American Public University System, 2015) pp. 42-43 &lt;https://www.academia.edu/33061877/The_Peoples_Crusade_as_a_Separate_and_Integral_Element_of_the_First_Crusade&gt; [Accessed 16</w:t>
      </w:r>
      <w:r w:rsidRPr="00C94CF4">
        <w:rPr>
          <w:vertAlign w:val="superscript"/>
        </w:rPr>
        <w:t>th</w:t>
      </w:r>
      <w:r w:rsidRPr="00C94CF4">
        <w:t xml:space="preserve"> March 2025]</w:t>
      </w:r>
    </w:p>
    <w:p w14:paraId="781CAE02" w14:textId="77777777" w:rsidR="0038356D" w:rsidRPr="00C94CF4" w:rsidRDefault="0038356D" w:rsidP="0038356D">
      <w:pPr>
        <w:ind w:left="720" w:hanging="720"/>
      </w:pPr>
      <w:r w:rsidRPr="00C94CF4">
        <w:t>Robert the Monk,</w:t>
      </w:r>
      <w:r w:rsidRPr="00C94CF4">
        <w:rPr>
          <w:i/>
          <w:iCs/>
        </w:rPr>
        <w:t xml:space="preserve"> Medieval Sourcebook: Urban II (1088-1099): Speech at Council of Clermont, 1095</w:t>
      </w:r>
    </w:p>
    <w:p w14:paraId="7F4C882C" w14:textId="77777777" w:rsidR="0038356D" w:rsidRPr="00C94CF4" w:rsidRDefault="0038356D" w:rsidP="0038356D">
      <w:pPr>
        <w:ind w:left="720" w:hanging="720"/>
      </w:pPr>
      <w:r w:rsidRPr="00C94CF4">
        <w:t>Simon</w:t>
      </w:r>
      <w:r>
        <w:t>,</w:t>
      </w:r>
      <w:r w:rsidRPr="00C94CF4">
        <w:t xml:space="preserve"> Jonathan and Christopher Riley-Smith, </w:t>
      </w:r>
      <w:r w:rsidRPr="00C94CF4">
        <w:rPr>
          <w:i/>
          <w:iCs/>
        </w:rPr>
        <w:t>The Crusades: A History</w:t>
      </w:r>
      <w:r w:rsidRPr="00C94CF4">
        <w:t>,</w:t>
      </w:r>
      <w:r w:rsidRPr="00C94CF4">
        <w:rPr>
          <w:i/>
          <w:iCs/>
        </w:rPr>
        <w:t xml:space="preserve"> </w:t>
      </w:r>
      <w:r w:rsidRPr="00C94CF4">
        <w:t>3</w:t>
      </w:r>
      <w:r w:rsidRPr="00C94CF4">
        <w:rPr>
          <w:vertAlign w:val="superscript"/>
        </w:rPr>
        <w:t>rd</w:t>
      </w:r>
      <w:r w:rsidRPr="00C94CF4">
        <w:t xml:space="preserve"> edn</w:t>
      </w:r>
      <w:r w:rsidRPr="00C94CF4">
        <w:rPr>
          <w:i/>
          <w:iCs/>
        </w:rPr>
        <w:t xml:space="preserve">. </w:t>
      </w:r>
      <w:r w:rsidRPr="00C94CF4">
        <w:t>(London: Bloomsbury, 2014)</w:t>
      </w:r>
      <w:r w:rsidRPr="00C94CF4">
        <w:rPr>
          <w:i/>
          <w:iCs/>
        </w:rPr>
        <w:t xml:space="preserve"> </w:t>
      </w:r>
      <w:r w:rsidRPr="00C94CF4">
        <w:t>p.289</w:t>
      </w:r>
      <w:r w:rsidRPr="00C94CF4">
        <w:rPr>
          <w:i/>
          <w:iCs/>
        </w:rPr>
        <w:t xml:space="preserve"> &lt;</w:t>
      </w:r>
      <w:r w:rsidRPr="00C94CF4">
        <w:t>https://archive.org/details/riley-smith-the-crusades-a-history-3rd-ed/page/288/mode/2up?q=venetian&gt; [Accessed 16</w:t>
      </w:r>
      <w:r w:rsidRPr="00C94CF4">
        <w:rPr>
          <w:vertAlign w:val="superscript"/>
        </w:rPr>
        <w:t>th</w:t>
      </w:r>
      <w:r w:rsidRPr="00C94CF4">
        <w:t xml:space="preserve"> March 2025]</w:t>
      </w:r>
    </w:p>
    <w:p w14:paraId="3610ED28" w14:textId="77777777" w:rsidR="0038356D" w:rsidRPr="00C94CF4" w:rsidRDefault="0038356D" w:rsidP="0038356D">
      <w:pPr>
        <w:ind w:left="720" w:hanging="720"/>
      </w:pPr>
      <w:r w:rsidRPr="00C94CF4">
        <w:rPr>
          <w:i/>
          <w:iCs/>
        </w:rPr>
        <w:t>Six Versions of the Speech</w:t>
      </w:r>
      <w:r w:rsidRPr="00C94CF4">
        <w:t>, trans. by Paul Halsall (New York: Fordham University, 1996)</w:t>
      </w:r>
      <w:r w:rsidRPr="00C94CF4">
        <w:rPr>
          <w:i/>
          <w:iCs/>
        </w:rPr>
        <w:t xml:space="preserve"> </w:t>
      </w:r>
      <w:r w:rsidRPr="00C94CF4">
        <w:t>&lt;https://origin-rh.web.fordham.edu/halsall/source/urban2-5vers.asp&gt; [Accessed 16</w:t>
      </w:r>
      <w:r w:rsidRPr="00C94CF4">
        <w:rPr>
          <w:vertAlign w:val="superscript"/>
        </w:rPr>
        <w:t>th</w:t>
      </w:r>
      <w:r w:rsidRPr="00C94CF4">
        <w:t xml:space="preserve"> March 2025]</w:t>
      </w:r>
    </w:p>
    <w:p w14:paraId="4266E409" w14:textId="77777777" w:rsidR="0038356D" w:rsidRPr="00C94CF4" w:rsidRDefault="0038356D" w:rsidP="0038356D">
      <w:pPr>
        <w:ind w:left="720" w:hanging="720"/>
      </w:pPr>
      <w:r w:rsidRPr="00C94CF4">
        <w:t>Smith</w:t>
      </w:r>
      <w:r>
        <w:t>,</w:t>
      </w:r>
      <w:r w:rsidRPr="00C94CF4">
        <w:t xml:space="preserve"> Thomas W., </w:t>
      </w:r>
      <w:r w:rsidRPr="00C94CF4">
        <w:rPr>
          <w:i/>
          <w:iCs/>
        </w:rPr>
        <w:t xml:space="preserve">Rewriting the First Crusade: Epistolary Culture in the Middle Ages </w:t>
      </w:r>
      <w:r w:rsidRPr="00C94CF4">
        <w:t>(Cambridge: Cambridge University Press, 2024) DOI:</w:t>
      </w:r>
      <w:r w:rsidRPr="00C94CF4">
        <w:rPr>
          <w:i/>
          <w:iCs/>
        </w:rPr>
        <w:t> </w:t>
      </w:r>
      <w:r w:rsidRPr="00C94CF4">
        <w:t>10.1017/9781805432739.003</w:t>
      </w:r>
    </w:p>
    <w:p w14:paraId="0046F235" w14:textId="77777777" w:rsidR="0038356D" w:rsidRPr="00C94CF4" w:rsidRDefault="0038356D" w:rsidP="0038356D">
      <w:pPr>
        <w:ind w:left="720" w:hanging="720"/>
        <w:rPr>
          <w:i/>
          <w:iCs/>
        </w:rPr>
      </w:pPr>
      <w:r w:rsidRPr="00C94CF4">
        <w:t xml:space="preserve">Tyerman Christopher, </w:t>
      </w:r>
      <w:r w:rsidRPr="00C94CF4">
        <w:rPr>
          <w:i/>
          <w:iCs/>
        </w:rPr>
        <w:t xml:space="preserve">God’s War: A New History of the Crusades </w:t>
      </w:r>
      <w:r w:rsidRPr="00C94CF4">
        <w:t>(London: Penguin Books, 2007)</w:t>
      </w:r>
    </w:p>
    <w:p w14:paraId="25E49EB4" w14:textId="3F1984D1" w:rsidR="00C4562E" w:rsidRDefault="00C4562E" w:rsidP="00C4562E"/>
    <w:sectPr w:rsidR="00C4562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B253C" w14:textId="77777777" w:rsidR="00DA40A2" w:rsidRDefault="00DA40A2" w:rsidP="00290880">
      <w:pPr>
        <w:spacing w:after="0" w:line="240" w:lineRule="auto"/>
      </w:pPr>
      <w:r>
        <w:separator/>
      </w:r>
    </w:p>
  </w:endnote>
  <w:endnote w:type="continuationSeparator" w:id="0">
    <w:p w14:paraId="66A36506" w14:textId="77777777" w:rsidR="00DA40A2" w:rsidRDefault="00DA40A2" w:rsidP="00290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E5043" w14:textId="77777777" w:rsidR="00DA40A2" w:rsidRDefault="00DA40A2" w:rsidP="00290880">
      <w:pPr>
        <w:spacing w:after="0" w:line="240" w:lineRule="auto"/>
      </w:pPr>
      <w:r>
        <w:separator/>
      </w:r>
    </w:p>
  </w:footnote>
  <w:footnote w:type="continuationSeparator" w:id="0">
    <w:p w14:paraId="1BC7CE8B" w14:textId="77777777" w:rsidR="00DA40A2" w:rsidRDefault="00DA40A2" w:rsidP="00290880">
      <w:pPr>
        <w:spacing w:after="0" w:line="240" w:lineRule="auto"/>
      </w:pPr>
      <w:r>
        <w:continuationSeparator/>
      </w:r>
    </w:p>
  </w:footnote>
  <w:footnote w:id="1">
    <w:p w14:paraId="573A5FEB" w14:textId="3D461A8D" w:rsidR="00C82BB6" w:rsidRDefault="00C82BB6">
      <w:pPr>
        <w:pStyle w:val="FootnoteText"/>
      </w:pPr>
      <w:bookmarkStart w:id="0" w:name="_Hlk193050214"/>
      <w:r>
        <w:rPr>
          <w:rStyle w:val="FootnoteReference"/>
        </w:rPr>
        <w:footnoteRef/>
      </w:r>
      <w:r>
        <w:t xml:space="preserve"> </w:t>
      </w:r>
      <w:r w:rsidR="00657DB9" w:rsidRPr="00C73112">
        <w:t>Fulcher</w:t>
      </w:r>
      <w:r w:rsidR="00657DB9">
        <w:t xml:space="preserve"> of Chartres,</w:t>
      </w:r>
      <w:r w:rsidR="00657DB9" w:rsidRPr="00657DB9">
        <w:t> </w:t>
      </w:r>
      <w:r w:rsidR="00657DB9" w:rsidRPr="00657DB9">
        <w:rPr>
          <w:i/>
          <w:iCs/>
        </w:rPr>
        <w:t xml:space="preserve"> </w:t>
      </w:r>
      <w:r w:rsidR="00657DB9" w:rsidRPr="00657DB9">
        <w:rPr>
          <w:i/>
          <w:iCs/>
        </w:rPr>
        <w:t>Medieval Sourcebook:</w:t>
      </w:r>
      <w:r w:rsidR="00703BAB">
        <w:rPr>
          <w:i/>
          <w:iCs/>
        </w:rPr>
        <w:t xml:space="preserve"> </w:t>
      </w:r>
      <w:r w:rsidR="00657DB9" w:rsidRPr="00657DB9">
        <w:rPr>
          <w:i/>
          <w:iCs/>
        </w:rPr>
        <w:t>Urban II (1088-1099):</w:t>
      </w:r>
      <w:r w:rsidR="00703BAB">
        <w:rPr>
          <w:i/>
          <w:iCs/>
        </w:rPr>
        <w:t xml:space="preserve"> </w:t>
      </w:r>
      <w:r w:rsidR="00657DB9" w:rsidRPr="00657DB9">
        <w:rPr>
          <w:i/>
          <w:iCs/>
        </w:rPr>
        <w:t>Speech at Council of Clermont, 1095</w:t>
      </w:r>
      <w:r w:rsidR="00703BAB">
        <w:rPr>
          <w:i/>
          <w:iCs/>
        </w:rPr>
        <w:t xml:space="preserve"> </w:t>
      </w:r>
      <w:r w:rsidR="00657DB9" w:rsidRPr="00657DB9">
        <w:rPr>
          <w:i/>
          <w:iCs/>
        </w:rPr>
        <w:t>Six Versions of the Speech</w:t>
      </w:r>
      <w:r w:rsidR="00CF751F">
        <w:t xml:space="preserve">, trans. by Paul Halsall (New York: </w:t>
      </w:r>
      <w:r w:rsidR="00657DB9">
        <w:t>Fordham University</w:t>
      </w:r>
      <w:r w:rsidR="00FB52B1">
        <w:t>,</w:t>
      </w:r>
      <w:r w:rsidR="00657DB9" w:rsidRPr="00657DB9">
        <w:t xml:space="preserve"> 1996</w:t>
      </w:r>
      <w:r w:rsidR="00CF751F">
        <w:t>)</w:t>
      </w:r>
      <w:r w:rsidR="00657DB9" w:rsidRPr="00657DB9">
        <w:rPr>
          <w:i/>
          <w:iCs/>
        </w:rPr>
        <w:t xml:space="preserve"> </w:t>
      </w:r>
      <w:r w:rsidR="00657DB9">
        <w:t>&lt;</w:t>
      </w:r>
      <w:r w:rsidR="00657DB9" w:rsidRPr="00703BAB">
        <w:t>https://origin-rh.web.fordham.edu/halsall/source/urban2-5vers.asp</w:t>
      </w:r>
      <w:r w:rsidR="00657DB9">
        <w:t>&gt; [Accessed 16</w:t>
      </w:r>
      <w:r w:rsidR="00657DB9" w:rsidRPr="00657DB9">
        <w:rPr>
          <w:vertAlign w:val="superscript"/>
        </w:rPr>
        <w:t>th</w:t>
      </w:r>
      <w:r w:rsidR="00657DB9">
        <w:t xml:space="preserve"> March 2025].</w:t>
      </w:r>
    </w:p>
  </w:footnote>
  <w:footnote w:id="2">
    <w:p w14:paraId="52D53F4B" w14:textId="716EB78E" w:rsidR="00657DB9" w:rsidRPr="00657DB9" w:rsidRDefault="00C82BB6" w:rsidP="00657DB9">
      <w:pPr>
        <w:pStyle w:val="FootnoteText"/>
        <w:rPr>
          <w:i/>
          <w:iCs/>
        </w:rPr>
      </w:pPr>
      <w:r>
        <w:rPr>
          <w:rStyle w:val="FootnoteReference"/>
        </w:rPr>
        <w:footnoteRef/>
      </w:r>
      <w:r>
        <w:t xml:space="preserve"> </w:t>
      </w:r>
      <w:r w:rsidR="00657DB9">
        <w:t>Robert the Monk,</w:t>
      </w:r>
      <w:r w:rsidR="00657DB9" w:rsidRPr="00657DB9">
        <w:rPr>
          <w:i/>
          <w:iCs/>
        </w:rPr>
        <w:t xml:space="preserve"> Medieval Sourcebook:</w:t>
      </w:r>
      <w:r w:rsidR="00703BAB">
        <w:rPr>
          <w:i/>
          <w:iCs/>
        </w:rPr>
        <w:t xml:space="preserve"> </w:t>
      </w:r>
      <w:r w:rsidR="00657DB9" w:rsidRPr="00657DB9">
        <w:rPr>
          <w:i/>
          <w:iCs/>
        </w:rPr>
        <w:t>Urban II (1088-1099):</w:t>
      </w:r>
      <w:r w:rsidR="00703BAB">
        <w:rPr>
          <w:i/>
          <w:iCs/>
        </w:rPr>
        <w:t xml:space="preserve"> </w:t>
      </w:r>
      <w:r w:rsidR="00657DB9" w:rsidRPr="00657DB9">
        <w:rPr>
          <w:i/>
          <w:iCs/>
        </w:rPr>
        <w:t>Speech at Council of Clermont, 1095</w:t>
      </w:r>
    </w:p>
    <w:p w14:paraId="54D39D43" w14:textId="12A00176" w:rsidR="00C82BB6" w:rsidRDefault="00657DB9">
      <w:pPr>
        <w:pStyle w:val="FootnoteText"/>
      </w:pPr>
      <w:r w:rsidRPr="00657DB9">
        <w:rPr>
          <w:i/>
          <w:iCs/>
        </w:rPr>
        <w:t>Six Versions of the Speech</w:t>
      </w:r>
      <w:r>
        <w:t>,</w:t>
      </w:r>
      <w:r w:rsidR="00703BAB">
        <w:t xml:space="preserve"> </w:t>
      </w:r>
      <w:r w:rsidR="00CF751F">
        <w:t xml:space="preserve">trans. by Paul Halsall (New York: </w:t>
      </w:r>
      <w:r>
        <w:t>Fordham University</w:t>
      </w:r>
      <w:r w:rsidR="00CF751F">
        <w:t>,</w:t>
      </w:r>
      <w:r w:rsidRPr="00657DB9">
        <w:t xml:space="preserve"> 1996</w:t>
      </w:r>
      <w:r w:rsidR="00CF751F">
        <w:t>)</w:t>
      </w:r>
      <w:r w:rsidRPr="00657DB9">
        <w:rPr>
          <w:i/>
          <w:iCs/>
        </w:rPr>
        <w:t xml:space="preserve"> </w:t>
      </w:r>
      <w:r>
        <w:t>&lt;</w:t>
      </w:r>
      <w:r w:rsidRPr="00C73112">
        <w:t>https://origin-rh.web.fordham.edu/halsall/source/urban2-5vers.asp</w:t>
      </w:r>
      <w:r>
        <w:t>&gt; [Accessed 16</w:t>
      </w:r>
      <w:r w:rsidRPr="00657DB9">
        <w:rPr>
          <w:vertAlign w:val="superscript"/>
        </w:rPr>
        <w:t>th</w:t>
      </w:r>
      <w:r>
        <w:t xml:space="preserve"> March 2025].</w:t>
      </w:r>
    </w:p>
  </w:footnote>
  <w:footnote w:id="3">
    <w:p w14:paraId="6E8369A1" w14:textId="5E7632A3" w:rsidR="007005AC" w:rsidRPr="007005AC" w:rsidRDefault="007005AC">
      <w:pPr>
        <w:pStyle w:val="FootnoteText"/>
        <w:rPr>
          <w:i/>
          <w:iCs/>
        </w:rPr>
      </w:pPr>
      <w:r>
        <w:rPr>
          <w:rStyle w:val="FootnoteReference"/>
        </w:rPr>
        <w:footnoteRef/>
      </w:r>
      <w:r>
        <w:t xml:space="preserve"> </w:t>
      </w:r>
      <w:r w:rsidR="00A75843">
        <w:t xml:space="preserve">Christopher Tyerman, </w:t>
      </w:r>
      <w:r w:rsidR="00A75843">
        <w:rPr>
          <w:i/>
          <w:iCs/>
        </w:rPr>
        <w:t xml:space="preserve">God’s War: A New History of the Crusades </w:t>
      </w:r>
      <w:r w:rsidR="00A75843">
        <w:t xml:space="preserve">(London: Penguin Books, 2007), </w:t>
      </w:r>
      <w:r w:rsidR="00A75843" w:rsidRPr="002375B6">
        <w:t xml:space="preserve">p. </w:t>
      </w:r>
      <w:r w:rsidR="00A75843" w:rsidRPr="00A75843">
        <w:rPr>
          <w:color w:val="000000" w:themeColor="text1"/>
        </w:rPr>
        <w:t>64</w:t>
      </w:r>
      <w:r w:rsidR="00A75843" w:rsidRPr="00A75843">
        <w:rPr>
          <w:color w:val="000000" w:themeColor="text1"/>
        </w:rPr>
        <w:t xml:space="preserve">. </w:t>
      </w:r>
    </w:p>
  </w:footnote>
  <w:footnote w:id="4">
    <w:p w14:paraId="59148375" w14:textId="12B58518" w:rsidR="002B42DE" w:rsidRPr="00657DB9" w:rsidRDefault="00C82BB6" w:rsidP="002B42DE">
      <w:pPr>
        <w:pStyle w:val="FootnoteText"/>
      </w:pPr>
      <w:r>
        <w:rPr>
          <w:rStyle w:val="FootnoteReference"/>
        </w:rPr>
        <w:footnoteRef/>
      </w:r>
      <w:r>
        <w:t xml:space="preserve"> </w:t>
      </w:r>
      <w:r w:rsidR="002B42DE">
        <w:t xml:space="preserve">Thomas W. Smith, </w:t>
      </w:r>
      <w:r w:rsidR="002B42DE" w:rsidRPr="00703BAB">
        <w:rPr>
          <w:i/>
          <w:iCs/>
        </w:rPr>
        <w:t>Rewriting the First Crusade</w:t>
      </w:r>
      <w:r w:rsidR="00A75843">
        <w:rPr>
          <w:i/>
          <w:iCs/>
        </w:rPr>
        <w:t>:</w:t>
      </w:r>
      <w:r w:rsidR="002B42DE" w:rsidRPr="00703BAB">
        <w:rPr>
          <w:i/>
          <w:iCs/>
        </w:rPr>
        <w:t> </w:t>
      </w:r>
      <w:r w:rsidR="002B42DE" w:rsidRPr="00657DB9">
        <w:rPr>
          <w:i/>
          <w:iCs/>
        </w:rPr>
        <w:t>Epistolary Culture in the Middle Age</w:t>
      </w:r>
      <w:r w:rsidR="002B42DE">
        <w:rPr>
          <w:i/>
          <w:iCs/>
        </w:rPr>
        <w:t>s</w:t>
      </w:r>
      <w:r w:rsidR="00A75843">
        <w:rPr>
          <w:i/>
          <w:iCs/>
        </w:rPr>
        <w:t xml:space="preserve"> </w:t>
      </w:r>
      <w:r w:rsidR="00A75843">
        <w:t xml:space="preserve">(Cambridge: Cambridge University Press, 2024) pp. 29-56, </w:t>
      </w:r>
      <w:r w:rsidR="002B42DE" w:rsidRPr="00657DB9">
        <w:t>DOI:</w:t>
      </w:r>
      <w:r w:rsidR="002B42DE" w:rsidRPr="00657DB9">
        <w:rPr>
          <w:i/>
          <w:iCs/>
        </w:rPr>
        <w:t> </w:t>
      </w:r>
      <w:r w:rsidR="00703BAB" w:rsidRPr="00657DB9">
        <w:t>10.1017/9781805432739.003</w:t>
      </w:r>
      <w:r w:rsidR="00C73112" w:rsidRPr="00A75843">
        <w:t>.</w:t>
      </w:r>
    </w:p>
    <w:p w14:paraId="2C584169" w14:textId="03040363" w:rsidR="00657DB9" w:rsidRPr="00657DB9" w:rsidRDefault="00657DB9" w:rsidP="002B42DE">
      <w:pPr>
        <w:pStyle w:val="FootnoteText"/>
        <w:rPr>
          <w:i/>
          <w:iCs/>
        </w:rPr>
      </w:pPr>
    </w:p>
    <w:p w14:paraId="709FC87F" w14:textId="40CAC4A7" w:rsidR="00C82BB6" w:rsidRDefault="00C82BB6">
      <w:pPr>
        <w:pStyle w:val="FootnoteText"/>
      </w:pPr>
    </w:p>
  </w:footnote>
  <w:footnote w:id="5">
    <w:p w14:paraId="0CF8A57D" w14:textId="7A6B35B6" w:rsidR="00C82BB6" w:rsidRPr="00A75843" w:rsidRDefault="00C82BB6">
      <w:pPr>
        <w:pStyle w:val="FootnoteText"/>
      </w:pPr>
      <w:bookmarkStart w:id="1" w:name="_Hlk193050285"/>
      <w:r>
        <w:rPr>
          <w:rStyle w:val="FootnoteReference"/>
        </w:rPr>
        <w:footnoteRef/>
      </w:r>
      <w:r>
        <w:t xml:space="preserve"> </w:t>
      </w:r>
      <w:r w:rsidR="002B42DE" w:rsidRPr="00FB52B1">
        <w:t>Fulcher</w:t>
      </w:r>
      <w:r w:rsidR="002B42DE">
        <w:t xml:space="preserve"> of Chartres,</w:t>
      </w:r>
      <w:r w:rsidR="002B42DE" w:rsidRPr="00657DB9">
        <w:t> </w:t>
      </w:r>
      <w:r w:rsidR="002B42DE" w:rsidRPr="00657DB9">
        <w:rPr>
          <w:i/>
          <w:iCs/>
        </w:rPr>
        <w:t xml:space="preserve"> Medieval Sourcebook:</w:t>
      </w:r>
      <w:r w:rsidR="00703BAB">
        <w:rPr>
          <w:i/>
          <w:iCs/>
        </w:rPr>
        <w:t xml:space="preserve"> </w:t>
      </w:r>
      <w:r w:rsidR="002B42DE" w:rsidRPr="00657DB9">
        <w:rPr>
          <w:i/>
          <w:iCs/>
        </w:rPr>
        <w:t>Urban II (1088-1099):</w:t>
      </w:r>
      <w:r w:rsidR="00703BAB">
        <w:rPr>
          <w:i/>
          <w:iCs/>
        </w:rPr>
        <w:t xml:space="preserve"> </w:t>
      </w:r>
      <w:r w:rsidR="002B42DE" w:rsidRPr="00657DB9">
        <w:rPr>
          <w:i/>
          <w:iCs/>
        </w:rPr>
        <w:t>Speech at Council of Clermont, 1095</w:t>
      </w:r>
      <w:r w:rsidR="00A75843">
        <w:t>.</w:t>
      </w:r>
    </w:p>
  </w:footnote>
  <w:footnote w:id="6">
    <w:p w14:paraId="63D26621" w14:textId="1CCB240A" w:rsidR="00C82BB6" w:rsidRDefault="00C82BB6">
      <w:pPr>
        <w:pStyle w:val="FootnoteText"/>
      </w:pPr>
      <w:r>
        <w:rPr>
          <w:rStyle w:val="FootnoteReference"/>
        </w:rPr>
        <w:footnoteRef/>
      </w:r>
      <w:r>
        <w:t xml:space="preserve"> </w:t>
      </w:r>
      <w:r w:rsidR="002B42DE" w:rsidRPr="00657DB9">
        <w:t>Abbot of Nogent-sous-Coucy Guibert</w:t>
      </w:r>
      <w:r w:rsidR="002B42DE">
        <w:t xml:space="preserve">, </w:t>
      </w:r>
      <w:r w:rsidR="002B42DE" w:rsidRPr="00A75843">
        <w:rPr>
          <w:i/>
          <w:iCs/>
        </w:rPr>
        <w:t>The Deeds of God Through the Franks</w:t>
      </w:r>
      <w:r w:rsidR="002B42DE">
        <w:t xml:space="preserve">, </w:t>
      </w:r>
      <w:r w:rsidR="00A75843">
        <w:t>trans. by Robert Levine (Project Gutenberg, 2003)</w:t>
      </w:r>
      <w:r w:rsidR="002B42DE">
        <w:t xml:space="preserve"> </w:t>
      </w:r>
      <w:r w:rsidR="00FB52B1">
        <w:t>&lt;</w:t>
      </w:r>
      <w:r w:rsidR="00FB52B1" w:rsidRPr="00FB52B1">
        <w:t>https://www.gutenberg.org/cache/epub/4370/pg4370-images.html</w:t>
      </w:r>
      <w:r w:rsidR="00FB52B1">
        <w:t xml:space="preserve">&gt; </w:t>
      </w:r>
      <w:r w:rsidR="00FB52B1">
        <w:t>[Accessed 16</w:t>
      </w:r>
      <w:r w:rsidR="00FB52B1" w:rsidRPr="00657DB9">
        <w:rPr>
          <w:vertAlign w:val="superscript"/>
        </w:rPr>
        <w:t>th</w:t>
      </w:r>
      <w:r w:rsidR="00FB52B1">
        <w:t xml:space="preserve"> March 2025].</w:t>
      </w:r>
    </w:p>
  </w:footnote>
  <w:footnote w:id="7">
    <w:p w14:paraId="29D60486" w14:textId="387B495A" w:rsidR="00C82BB6" w:rsidRPr="00034EB1" w:rsidRDefault="00C82BB6" w:rsidP="00034EB1">
      <w:pPr>
        <w:pStyle w:val="FootnoteText"/>
      </w:pPr>
      <w:r>
        <w:rPr>
          <w:rStyle w:val="FootnoteReference"/>
        </w:rPr>
        <w:footnoteRef/>
      </w:r>
      <w:r>
        <w:t xml:space="preserve"> </w:t>
      </w:r>
      <w:r w:rsidR="00034EB1" w:rsidRPr="00F10FDF">
        <w:rPr>
          <w:rFonts w:ascii="Aptos" w:eastAsia="Aptos" w:hAnsi="Aptos" w:cs="Times New Roman"/>
          <w:color w:val="000000" w:themeColor="text1"/>
        </w:rPr>
        <w:t>Douglas O. Chappell</w:t>
      </w:r>
      <w:r w:rsidR="00034EB1" w:rsidRPr="00F10FDF">
        <w:rPr>
          <w:rFonts w:ascii="Aptos" w:eastAsia="Aptos" w:hAnsi="Aptos" w:cs="Times New Roman"/>
          <w:color w:val="000000" w:themeColor="text1"/>
        </w:rPr>
        <w:t xml:space="preserve">, </w:t>
      </w:r>
      <w:r w:rsidR="00034EB1" w:rsidRPr="00F10FDF">
        <w:rPr>
          <w:rFonts w:ascii="Aptos" w:eastAsia="Aptos" w:hAnsi="Aptos" w:cs="Times New Roman"/>
          <w:i/>
          <w:iCs/>
          <w:color w:val="000000" w:themeColor="text1"/>
        </w:rPr>
        <w:t>The “People’s Crusade” As a Separate and Integral Element of the First Crusade</w:t>
      </w:r>
      <w:r w:rsidR="00034EB1" w:rsidRPr="00F10FDF">
        <w:rPr>
          <w:rFonts w:ascii="Aptos" w:eastAsia="Aptos" w:hAnsi="Aptos" w:cs="Times New Roman"/>
          <w:color w:val="000000" w:themeColor="text1"/>
        </w:rPr>
        <w:t xml:space="preserve"> (Unpublished </w:t>
      </w:r>
      <w:r w:rsidR="00034EB1" w:rsidRPr="00F10FDF">
        <w:rPr>
          <w:rFonts w:ascii="Aptos" w:eastAsia="Aptos" w:hAnsi="Aptos" w:cs="Times New Roman"/>
          <w:color w:val="000000" w:themeColor="text1"/>
        </w:rPr>
        <w:t>Master’s</w:t>
      </w:r>
      <w:r w:rsidR="00034EB1" w:rsidRPr="00F10FDF">
        <w:rPr>
          <w:rFonts w:ascii="Aptos" w:eastAsia="Aptos" w:hAnsi="Aptos" w:cs="Times New Roman"/>
          <w:color w:val="000000" w:themeColor="text1"/>
        </w:rPr>
        <w:t xml:space="preserve"> thesis, </w:t>
      </w:r>
      <w:r w:rsidR="00034EB1" w:rsidRPr="00F10FDF">
        <w:rPr>
          <w:rFonts w:ascii="Aptos" w:eastAsia="Aptos" w:hAnsi="Aptos" w:cs="Times New Roman"/>
          <w:color w:val="000000" w:themeColor="text1"/>
        </w:rPr>
        <w:t>American Public University System</w:t>
      </w:r>
      <w:r w:rsidR="00034EB1" w:rsidRPr="00F10FDF">
        <w:rPr>
          <w:rFonts w:ascii="Aptos" w:eastAsia="Aptos" w:hAnsi="Aptos" w:cs="Times New Roman"/>
          <w:color w:val="000000" w:themeColor="text1"/>
        </w:rPr>
        <w:t xml:space="preserve">, </w:t>
      </w:r>
      <w:r w:rsidR="00034EB1" w:rsidRPr="00F10FDF">
        <w:rPr>
          <w:rFonts w:ascii="Aptos" w:eastAsia="Aptos" w:hAnsi="Aptos" w:cs="Times New Roman"/>
          <w:color w:val="000000" w:themeColor="text1"/>
        </w:rPr>
        <w:t>2015</w:t>
      </w:r>
      <w:r w:rsidR="00034EB1" w:rsidRPr="00F10FDF">
        <w:rPr>
          <w:rFonts w:ascii="Aptos" w:eastAsia="Aptos" w:hAnsi="Aptos" w:cs="Times New Roman"/>
          <w:color w:val="000000" w:themeColor="text1"/>
        </w:rPr>
        <w:t xml:space="preserve">) </w:t>
      </w:r>
      <w:r w:rsidR="00034EB1" w:rsidRPr="00034EB1">
        <w:t>pp. 42-43</w:t>
      </w:r>
      <w:r w:rsidR="00034EB1">
        <w:t xml:space="preserve"> &lt;</w:t>
      </w:r>
      <w:r w:rsidR="00034EB1" w:rsidRPr="00034EB1">
        <w:t>https://www.academia.edu/33061877/The_Peoples_Crusade_as_a_Separate_and_Integral_Element_of_the_First_Crusade</w:t>
      </w:r>
      <w:r w:rsidR="00034EB1">
        <w:t xml:space="preserve">&gt; </w:t>
      </w:r>
      <w:r w:rsidR="00034EB1">
        <w:t>[Accessed 16</w:t>
      </w:r>
      <w:r w:rsidR="00034EB1" w:rsidRPr="00657DB9">
        <w:rPr>
          <w:vertAlign w:val="superscript"/>
        </w:rPr>
        <w:t>th</w:t>
      </w:r>
      <w:r w:rsidR="00034EB1">
        <w:t xml:space="preserve"> March 2025].</w:t>
      </w:r>
    </w:p>
  </w:footnote>
  <w:footnote w:id="8">
    <w:p w14:paraId="7D5B9692" w14:textId="76F578C7" w:rsidR="00C82BB6" w:rsidRPr="00FB52B1" w:rsidRDefault="00C82BB6" w:rsidP="00CF37C7">
      <w:pPr>
        <w:spacing w:after="0"/>
        <w:rPr>
          <w:color w:val="0070C0"/>
          <w:sz w:val="20"/>
          <w:szCs w:val="20"/>
        </w:rPr>
      </w:pPr>
      <w:bookmarkStart w:id="2" w:name="_Hlk193050313"/>
      <w:r w:rsidRPr="00FB52B1">
        <w:rPr>
          <w:rStyle w:val="FootnoteReference"/>
          <w:sz w:val="18"/>
          <w:szCs w:val="18"/>
        </w:rPr>
        <w:footnoteRef/>
      </w:r>
      <w:r w:rsidRPr="00FB52B1">
        <w:rPr>
          <w:sz w:val="18"/>
          <w:szCs w:val="18"/>
        </w:rPr>
        <w:t xml:space="preserve"> </w:t>
      </w:r>
      <w:r w:rsidR="002B42DE" w:rsidRPr="00FB52B1">
        <w:rPr>
          <w:color w:val="000000" w:themeColor="text1"/>
          <w:sz w:val="20"/>
          <w:szCs w:val="20"/>
        </w:rPr>
        <w:t>Martha Evelyn Mcginty</w:t>
      </w:r>
      <w:r w:rsidR="002B42DE" w:rsidRPr="00FB52B1">
        <w:rPr>
          <w:color w:val="000000" w:themeColor="text1"/>
          <w:sz w:val="20"/>
          <w:szCs w:val="20"/>
        </w:rPr>
        <w:t xml:space="preserve">, </w:t>
      </w:r>
      <w:r w:rsidR="00C4562E" w:rsidRPr="00FB52B1">
        <w:rPr>
          <w:i/>
          <w:iCs/>
          <w:color w:val="000000" w:themeColor="text1"/>
          <w:sz w:val="20"/>
          <w:szCs w:val="20"/>
        </w:rPr>
        <w:t>Fulcher</w:t>
      </w:r>
      <w:r w:rsidR="002B42DE" w:rsidRPr="00FB52B1">
        <w:rPr>
          <w:i/>
          <w:iCs/>
          <w:color w:val="000000" w:themeColor="text1"/>
          <w:sz w:val="20"/>
          <w:szCs w:val="20"/>
        </w:rPr>
        <w:t xml:space="preserve"> of </w:t>
      </w:r>
      <w:r w:rsidR="00C4562E" w:rsidRPr="00FB52B1">
        <w:rPr>
          <w:i/>
          <w:iCs/>
          <w:color w:val="000000" w:themeColor="text1"/>
          <w:sz w:val="20"/>
          <w:szCs w:val="20"/>
        </w:rPr>
        <w:t>Chartres</w:t>
      </w:r>
      <w:r w:rsidR="002B42DE" w:rsidRPr="00FB52B1">
        <w:rPr>
          <w:i/>
          <w:iCs/>
          <w:color w:val="000000" w:themeColor="text1"/>
          <w:sz w:val="20"/>
          <w:szCs w:val="20"/>
        </w:rPr>
        <w:t xml:space="preserve"> </w:t>
      </w:r>
      <w:r w:rsidR="00C4562E">
        <w:rPr>
          <w:i/>
          <w:iCs/>
          <w:color w:val="000000" w:themeColor="text1"/>
          <w:sz w:val="20"/>
          <w:szCs w:val="20"/>
        </w:rPr>
        <w:t>C</w:t>
      </w:r>
      <w:r w:rsidR="002B42DE" w:rsidRPr="00FB52B1">
        <w:rPr>
          <w:i/>
          <w:iCs/>
          <w:color w:val="000000" w:themeColor="text1"/>
          <w:sz w:val="20"/>
          <w:szCs w:val="20"/>
        </w:rPr>
        <w:t xml:space="preserve">hronicle of the </w:t>
      </w:r>
      <w:r w:rsidR="00C4562E">
        <w:rPr>
          <w:i/>
          <w:iCs/>
          <w:color w:val="000000" w:themeColor="text1"/>
          <w:sz w:val="20"/>
          <w:szCs w:val="20"/>
        </w:rPr>
        <w:t>F</w:t>
      </w:r>
      <w:r w:rsidR="002B42DE" w:rsidRPr="00FB52B1">
        <w:rPr>
          <w:i/>
          <w:iCs/>
          <w:color w:val="000000" w:themeColor="text1"/>
          <w:sz w:val="20"/>
          <w:szCs w:val="20"/>
        </w:rPr>
        <w:t xml:space="preserve">irst </w:t>
      </w:r>
      <w:r w:rsidR="00C4562E">
        <w:rPr>
          <w:i/>
          <w:iCs/>
          <w:color w:val="000000" w:themeColor="text1"/>
          <w:sz w:val="20"/>
          <w:szCs w:val="20"/>
        </w:rPr>
        <w:t>Cr</w:t>
      </w:r>
      <w:r w:rsidR="002B42DE" w:rsidRPr="00FB52B1">
        <w:rPr>
          <w:i/>
          <w:iCs/>
          <w:color w:val="000000" w:themeColor="text1"/>
          <w:sz w:val="20"/>
          <w:szCs w:val="20"/>
        </w:rPr>
        <w:t>usade</w:t>
      </w:r>
      <w:r w:rsidR="002B42DE" w:rsidRPr="00FB52B1">
        <w:rPr>
          <w:color w:val="000000" w:themeColor="text1"/>
          <w:sz w:val="20"/>
          <w:szCs w:val="20"/>
        </w:rPr>
        <w:t xml:space="preserve"> (</w:t>
      </w:r>
      <w:r w:rsidR="00034EB1">
        <w:rPr>
          <w:color w:val="000000" w:themeColor="text1"/>
          <w:sz w:val="20"/>
          <w:szCs w:val="20"/>
        </w:rPr>
        <w:t xml:space="preserve">Oxford: </w:t>
      </w:r>
      <w:r w:rsidR="00CF37C7" w:rsidRPr="00FB52B1">
        <w:rPr>
          <w:color w:val="000000" w:themeColor="text1"/>
          <w:sz w:val="20"/>
          <w:szCs w:val="20"/>
        </w:rPr>
        <w:t>Humphrey Milford Oxford Library Press</w:t>
      </w:r>
      <w:r w:rsidR="002B42DE" w:rsidRPr="00FB52B1">
        <w:rPr>
          <w:color w:val="000000" w:themeColor="text1"/>
          <w:sz w:val="20"/>
          <w:szCs w:val="20"/>
        </w:rPr>
        <w:t>:</w:t>
      </w:r>
      <w:r w:rsidR="00CF37C7" w:rsidRPr="00FB52B1">
        <w:rPr>
          <w:color w:val="000000" w:themeColor="text1"/>
          <w:sz w:val="20"/>
          <w:szCs w:val="20"/>
        </w:rPr>
        <w:t>1941</w:t>
      </w:r>
      <w:r w:rsidR="002B42DE" w:rsidRPr="00FB52B1">
        <w:rPr>
          <w:color w:val="000000" w:themeColor="text1"/>
          <w:sz w:val="20"/>
          <w:szCs w:val="20"/>
        </w:rPr>
        <w:t xml:space="preserve">), p. </w:t>
      </w:r>
      <w:r w:rsidR="00CF37C7" w:rsidRPr="00FB52B1">
        <w:rPr>
          <w:color w:val="000000" w:themeColor="text1"/>
          <w:sz w:val="20"/>
          <w:szCs w:val="20"/>
        </w:rPr>
        <w:t>2</w:t>
      </w:r>
      <w:r w:rsidR="00034EB1">
        <w:rPr>
          <w:color w:val="000000" w:themeColor="text1"/>
          <w:sz w:val="20"/>
          <w:szCs w:val="20"/>
        </w:rPr>
        <w:t xml:space="preserve"> </w:t>
      </w:r>
      <w:r w:rsidR="00FB52B1" w:rsidRPr="00FB52B1">
        <w:rPr>
          <w:color w:val="000000" w:themeColor="text1"/>
          <w:sz w:val="20"/>
          <w:szCs w:val="20"/>
        </w:rPr>
        <w:t>&lt;</w:t>
      </w:r>
      <w:r w:rsidR="00FB52B1" w:rsidRPr="00C4562E">
        <w:rPr>
          <w:color w:val="000000" w:themeColor="text1"/>
          <w:sz w:val="20"/>
          <w:szCs w:val="20"/>
        </w:rPr>
        <w:t>https://archive.org/details/fulcherofchartre0001mart/page/2/mode/2up?q=motivated</w:t>
      </w:r>
      <w:r w:rsidR="00FB52B1" w:rsidRPr="00FB52B1">
        <w:rPr>
          <w:color w:val="000000" w:themeColor="text1"/>
          <w:sz w:val="20"/>
          <w:szCs w:val="20"/>
        </w:rPr>
        <w:t xml:space="preserve">&gt; </w:t>
      </w:r>
      <w:bookmarkStart w:id="3" w:name="_Hlk193043263"/>
      <w:r w:rsidR="00FB52B1" w:rsidRPr="00FB52B1">
        <w:rPr>
          <w:sz w:val="20"/>
          <w:szCs w:val="20"/>
        </w:rPr>
        <w:t>[Accessed 16</w:t>
      </w:r>
      <w:r w:rsidR="00FB52B1" w:rsidRPr="00FB52B1">
        <w:rPr>
          <w:sz w:val="20"/>
          <w:szCs w:val="20"/>
          <w:vertAlign w:val="superscript"/>
        </w:rPr>
        <w:t>th</w:t>
      </w:r>
      <w:r w:rsidR="00FB52B1" w:rsidRPr="00FB52B1">
        <w:rPr>
          <w:sz w:val="20"/>
          <w:szCs w:val="20"/>
        </w:rPr>
        <w:t xml:space="preserve"> March 2025].</w:t>
      </w:r>
      <w:bookmarkEnd w:id="3"/>
    </w:p>
  </w:footnote>
  <w:footnote w:id="9">
    <w:p w14:paraId="6F85C799" w14:textId="59237C42" w:rsidR="00C82BB6" w:rsidRPr="00FB52B1" w:rsidRDefault="00C82BB6" w:rsidP="00703BAB">
      <w:pPr>
        <w:spacing w:after="0"/>
        <w:rPr>
          <w:color w:val="0070C0"/>
          <w:sz w:val="20"/>
          <w:szCs w:val="20"/>
        </w:rPr>
      </w:pPr>
      <w:r w:rsidRPr="00FB52B1">
        <w:rPr>
          <w:rStyle w:val="FootnoteReference"/>
          <w:sz w:val="20"/>
          <w:szCs w:val="20"/>
        </w:rPr>
        <w:footnoteRef/>
      </w:r>
      <w:r w:rsidRPr="00FB52B1">
        <w:rPr>
          <w:sz w:val="20"/>
          <w:szCs w:val="20"/>
        </w:rPr>
        <w:t xml:space="preserve"> </w:t>
      </w:r>
      <w:r w:rsidR="00034EB1">
        <w:rPr>
          <w:color w:val="000000" w:themeColor="text1"/>
          <w:sz w:val="20"/>
          <w:szCs w:val="20"/>
        </w:rPr>
        <w:t>Ibid.</w:t>
      </w:r>
    </w:p>
  </w:footnote>
  <w:footnote w:id="10">
    <w:p w14:paraId="4D2CB336" w14:textId="50C71AA7" w:rsidR="00C82BB6" w:rsidRPr="00FB52B1" w:rsidRDefault="00C82BB6" w:rsidP="00F10FDF">
      <w:pPr>
        <w:spacing w:after="0"/>
        <w:rPr>
          <w:sz w:val="20"/>
          <w:szCs w:val="20"/>
        </w:rPr>
      </w:pPr>
      <w:r w:rsidRPr="00FB52B1">
        <w:rPr>
          <w:rStyle w:val="FootnoteReference"/>
          <w:sz w:val="20"/>
          <w:szCs w:val="20"/>
        </w:rPr>
        <w:footnoteRef/>
      </w:r>
      <w:r w:rsidRPr="00FB52B1">
        <w:rPr>
          <w:sz w:val="20"/>
          <w:szCs w:val="20"/>
        </w:rPr>
        <w:t xml:space="preserve"> </w:t>
      </w:r>
      <w:r w:rsidR="00034EB1" w:rsidRPr="00F10FDF">
        <w:rPr>
          <w:color w:val="000000" w:themeColor="text1"/>
          <w:sz w:val="20"/>
          <w:szCs w:val="20"/>
        </w:rPr>
        <w:t>Nicholas Morton</w:t>
      </w:r>
      <w:r w:rsidR="00034EB1" w:rsidRPr="00F10FDF">
        <w:rPr>
          <w:color w:val="000000" w:themeColor="text1"/>
          <w:sz w:val="20"/>
          <w:szCs w:val="20"/>
        </w:rPr>
        <w:t>, ‘</w:t>
      </w:r>
      <w:r w:rsidR="00034EB1" w:rsidRPr="00F10FDF">
        <w:rPr>
          <w:color w:val="000000" w:themeColor="text1"/>
          <w:sz w:val="20"/>
          <w:szCs w:val="20"/>
        </w:rPr>
        <w:t>Review of The Crusade Indulgence: Spiritual Rewards and the Theology of the Crusades, c. 1095-1216</w:t>
      </w:r>
      <w:r w:rsidR="00034EB1" w:rsidRPr="00F10FDF">
        <w:rPr>
          <w:color w:val="000000" w:themeColor="text1"/>
          <w:sz w:val="20"/>
          <w:szCs w:val="20"/>
        </w:rPr>
        <w:t xml:space="preserve">, </w:t>
      </w:r>
      <w:r w:rsidR="00F10FDF" w:rsidRPr="00F10FDF">
        <w:rPr>
          <w:i/>
          <w:iCs/>
          <w:color w:val="000000" w:themeColor="text1"/>
          <w:sz w:val="20"/>
          <w:szCs w:val="20"/>
        </w:rPr>
        <w:t>History</w:t>
      </w:r>
      <w:r w:rsidR="00034EB1" w:rsidRPr="00F10FDF">
        <w:rPr>
          <w:color w:val="000000" w:themeColor="text1"/>
          <w:sz w:val="20"/>
          <w:szCs w:val="20"/>
        </w:rPr>
        <w:t xml:space="preserve">, </w:t>
      </w:r>
      <w:r w:rsidR="00F10FDF" w:rsidRPr="00F10FDF">
        <w:rPr>
          <w:color w:val="000000" w:themeColor="text1"/>
          <w:sz w:val="20"/>
          <w:szCs w:val="20"/>
        </w:rPr>
        <w:t>101</w:t>
      </w:r>
      <w:r w:rsidR="00034EB1" w:rsidRPr="00F10FDF">
        <w:rPr>
          <w:color w:val="000000" w:themeColor="text1"/>
          <w:sz w:val="20"/>
          <w:szCs w:val="20"/>
        </w:rPr>
        <w:t>.</w:t>
      </w:r>
      <w:r w:rsidR="00F10FDF" w:rsidRPr="00F10FDF">
        <w:rPr>
          <w:color w:val="000000" w:themeColor="text1"/>
          <w:sz w:val="20"/>
          <w:szCs w:val="20"/>
        </w:rPr>
        <w:t>1(344)</w:t>
      </w:r>
      <w:r w:rsidR="00034EB1" w:rsidRPr="00F10FDF">
        <w:rPr>
          <w:color w:val="000000" w:themeColor="text1"/>
          <w:sz w:val="20"/>
          <w:szCs w:val="20"/>
        </w:rPr>
        <w:t xml:space="preserve"> (</w:t>
      </w:r>
      <w:r w:rsidR="00F10FDF" w:rsidRPr="00F10FDF">
        <w:rPr>
          <w:color w:val="000000" w:themeColor="text1"/>
          <w:sz w:val="20"/>
          <w:szCs w:val="20"/>
        </w:rPr>
        <w:t>2016</w:t>
      </w:r>
      <w:r w:rsidR="00034EB1" w:rsidRPr="00F10FDF">
        <w:rPr>
          <w:color w:val="000000" w:themeColor="text1"/>
          <w:sz w:val="20"/>
          <w:szCs w:val="20"/>
        </w:rPr>
        <w:t xml:space="preserve">), </w:t>
      </w:r>
      <w:r w:rsidR="00F10FDF" w:rsidRPr="00F10FDF">
        <w:rPr>
          <w:color w:val="000000" w:themeColor="text1"/>
          <w:sz w:val="20"/>
          <w:szCs w:val="20"/>
        </w:rPr>
        <w:t xml:space="preserve">114-116 p. 114 </w:t>
      </w:r>
      <w:r w:rsidR="00034EB1" w:rsidRPr="002375B6">
        <w:rPr>
          <w:sz w:val="20"/>
          <w:szCs w:val="20"/>
        </w:rPr>
        <w:t>&lt;</w:t>
      </w:r>
      <w:r w:rsidR="00F10FDF" w:rsidRPr="00F10FDF">
        <w:rPr>
          <w:sz w:val="20"/>
          <w:szCs w:val="20"/>
        </w:rPr>
        <w:t>https://www.jstor.org/stable/24809620</w:t>
      </w:r>
      <w:r w:rsidR="00034EB1" w:rsidRPr="002375B6">
        <w:rPr>
          <w:sz w:val="20"/>
          <w:szCs w:val="20"/>
        </w:rPr>
        <w:t>&gt;</w:t>
      </w:r>
      <w:r w:rsidR="00F10FDF">
        <w:rPr>
          <w:sz w:val="20"/>
          <w:szCs w:val="20"/>
        </w:rPr>
        <w:t xml:space="preserve"> </w:t>
      </w:r>
      <w:r w:rsidR="00F10FDF" w:rsidRPr="00FB52B1">
        <w:rPr>
          <w:sz w:val="20"/>
          <w:szCs w:val="20"/>
        </w:rPr>
        <w:t>[Accessed 16</w:t>
      </w:r>
      <w:r w:rsidR="00F10FDF" w:rsidRPr="00FB52B1">
        <w:rPr>
          <w:sz w:val="20"/>
          <w:szCs w:val="20"/>
          <w:vertAlign w:val="superscript"/>
        </w:rPr>
        <w:t>th</w:t>
      </w:r>
      <w:r w:rsidR="00F10FDF" w:rsidRPr="00FB52B1">
        <w:rPr>
          <w:sz w:val="20"/>
          <w:szCs w:val="20"/>
        </w:rPr>
        <w:t xml:space="preserve"> March 2025].</w:t>
      </w:r>
    </w:p>
  </w:footnote>
  <w:footnote w:id="11">
    <w:p w14:paraId="78B13B7C" w14:textId="50FB8F7F" w:rsidR="00C82BB6" w:rsidRPr="00E579AC" w:rsidRDefault="00C82BB6">
      <w:pPr>
        <w:pStyle w:val="FootnoteText"/>
      </w:pPr>
      <w:r w:rsidRPr="00FB52B1">
        <w:rPr>
          <w:rStyle w:val="FootnoteReference"/>
        </w:rPr>
        <w:footnoteRef/>
      </w:r>
      <w:r w:rsidRPr="00FB52B1">
        <w:t xml:space="preserve"> </w:t>
      </w:r>
      <w:r w:rsidR="00E579AC">
        <w:t xml:space="preserve">O. Chappell, </w:t>
      </w:r>
      <w:r w:rsidR="00E579AC" w:rsidRPr="00F10FDF">
        <w:rPr>
          <w:rFonts w:ascii="Aptos" w:eastAsia="Aptos" w:hAnsi="Aptos" w:cs="Times New Roman"/>
          <w:i/>
          <w:iCs/>
          <w:color w:val="000000" w:themeColor="text1"/>
        </w:rPr>
        <w:t>The “People’s Crusade” As a Separate and Integral Element of the First Crusade</w:t>
      </w:r>
      <w:r w:rsidR="00E579AC">
        <w:rPr>
          <w:rFonts w:ascii="Aptos" w:eastAsia="Aptos" w:hAnsi="Aptos" w:cs="Times New Roman"/>
          <w:color w:val="000000" w:themeColor="text1"/>
        </w:rPr>
        <w:t>, pp. 35-56.</w:t>
      </w:r>
    </w:p>
    <w:bookmarkStart w:id="4" w:name="_Hlk193050345"/>
  </w:footnote>
  <w:footnote w:id="12">
    <w:p w14:paraId="4BC4B6E1" w14:textId="305CB64A" w:rsidR="00180009" w:rsidRDefault="00180009">
      <w:pPr>
        <w:pStyle w:val="FootnoteText"/>
      </w:pPr>
      <w:bookmarkStart w:id="5" w:name="_Hlk193050345"/>
      <w:r>
        <w:rPr>
          <w:rStyle w:val="FootnoteReference"/>
        </w:rPr>
        <w:footnoteRef/>
      </w:r>
      <w:r>
        <w:t xml:space="preserve"> </w:t>
      </w:r>
      <w:r w:rsidRPr="00FC6197">
        <w:t xml:space="preserve">Christopher Tyerman, </w:t>
      </w:r>
      <w:r w:rsidRPr="00FC6197">
        <w:rPr>
          <w:i/>
          <w:iCs/>
        </w:rPr>
        <w:t>God’s War</w:t>
      </w:r>
      <w:r w:rsidRPr="00FC6197">
        <w:t xml:space="preserve"> </w:t>
      </w:r>
      <w:r w:rsidRPr="00502423">
        <w:t xml:space="preserve">p. </w:t>
      </w:r>
      <w:r>
        <w:t>512</w:t>
      </w:r>
      <w:r w:rsidRPr="00502423">
        <w:t>.</w:t>
      </w:r>
    </w:p>
  </w:footnote>
  <w:footnote w:id="13">
    <w:p w14:paraId="3906B2AB" w14:textId="31D06279" w:rsidR="00C82BB6" w:rsidRDefault="00C82BB6">
      <w:pPr>
        <w:pStyle w:val="FootnoteText"/>
      </w:pPr>
      <w:r w:rsidRPr="00FB52B1">
        <w:rPr>
          <w:rStyle w:val="FootnoteReference"/>
        </w:rPr>
        <w:footnoteRef/>
      </w:r>
      <w:r w:rsidR="00CF37C7" w:rsidRPr="00FB52B1">
        <w:t xml:space="preserve"> </w:t>
      </w:r>
      <w:r w:rsidR="00CF37C7" w:rsidRPr="00FB52B1">
        <w:t>Geoffrey de Villehardouin</w:t>
      </w:r>
      <w:r w:rsidR="00703BAB" w:rsidRPr="00FB52B1">
        <w:t xml:space="preserve">, </w:t>
      </w:r>
      <w:r w:rsidR="00CF37C7" w:rsidRPr="00FB52B1">
        <w:rPr>
          <w:i/>
          <w:iCs/>
        </w:rPr>
        <w:t>Memoirs</w:t>
      </w:r>
      <w:r w:rsidR="00CF37C7" w:rsidRPr="00CF37C7">
        <w:t> or</w:t>
      </w:r>
      <w:r w:rsidR="00CF37C7" w:rsidRPr="00CF37C7">
        <w:rPr>
          <w:i/>
          <w:iCs/>
        </w:rPr>
        <w:t> Chronicle of The Fourth Crusade and The Conquest of Constantinople, </w:t>
      </w:r>
      <w:r w:rsidR="00CF37C7" w:rsidRPr="00CF37C7">
        <w:t xml:space="preserve">trans. </w:t>
      </w:r>
      <w:r w:rsidR="00E579AC">
        <w:t xml:space="preserve">by </w:t>
      </w:r>
      <w:r w:rsidR="00CF37C7" w:rsidRPr="00CF37C7">
        <w:t>Frank T. Marzials (London: J.M. Dent, 1908)</w:t>
      </w:r>
      <w:r w:rsidR="008C79AB">
        <w:t xml:space="preserve"> pp.13-16</w:t>
      </w:r>
      <w:r w:rsidR="00703BAB">
        <w:t xml:space="preserve"> </w:t>
      </w:r>
      <w:r w:rsidR="00C4562E">
        <w:t>&lt;</w:t>
      </w:r>
      <w:r w:rsidR="00C4562E" w:rsidRPr="00C4562E">
        <w:t>https://origin-rh.web.fordham.edu/halsall/basis/villehardouin.asp</w:t>
      </w:r>
      <w:r w:rsidR="00C4562E">
        <w:t xml:space="preserve">&gt; </w:t>
      </w:r>
      <w:r w:rsidR="00C4562E" w:rsidRPr="00FB52B1">
        <w:t>[Accessed 16</w:t>
      </w:r>
      <w:r w:rsidR="00C4562E" w:rsidRPr="00FB52B1">
        <w:rPr>
          <w:vertAlign w:val="superscript"/>
        </w:rPr>
        <w:t>th</w:t>
      </w:r>
      <w:r w:rsidR="00C4562E" w:rsidRPr="00FB52B1">
        <w:t xml:space="preserve"> March 2025].</w:t>
      </w:r>
    </w:p>
  </w:footnote>
  <w:footnote w:id="14">
    <w:p w14:paraId="2A478DD3" w14:textId="23CE63E7" w:rsidR="00C82BB6" w:rsidRPr="008C79AB" w:rsidRDefault="00C82BB6">
      <w:pPr>
        <w:pStyle w:val="FootnoteText"/>
      </w:pPr>
      <w:r>
        <w:rPr>
          <w:rStyle w:val="FootnoteReference"/>
        </w:rPr>
        <w:footnoteRef/>
      </w:r>
      <w:r>
        <w:t xml:space="preserve"> </w:t>
      </w:r>
      <w:r w:rsidR="00541E45">
        <w:t>Jonathan Simon</w:t>
      </w:r>
      <w:r w:rsidR="00EF2B4F">
        <w:t xml:space="preserve"> and</w:t>
      </w:r>
      <w:r w:rsidR="00541E45">
        <w:t xml:space="preserve"> Christopher Riley-Smith, </w:t>
      </w:r>
      <w:r w:rsidR="00541E45">
        <w:rPr>
          <w:i/>
          <w:iCs/>
        </w:rPr>
        <w:t>The Crusades</w:t>
      </w:r>
      <w:r w:rsidR="00D9437C">
        <w:rPr>
          <w:i/>
          <w:iCs/>
        </w:rPr>
        <w:t>:</w:t>
      </w:r>
      <w:r w:rsidR="00541E45">
        <w:rPr>
          <w:i/>
          <w:iCs/>
        </w:rPr>
        <w:t xml:space="preserve"> </w:t>
      </w:r>
      <w:r w:rsidR="00D9437C">
        <w:rPr>
          <w:i/>
          <w:iCs/>
        </w:rPr>
        <w:t>A</w:t>
      </w:r>
      <w:r w:rsidR="00541E45">
        <w:rPr>
          <w:i/>
          <w:iCs/>
        </w:rPr>
        <w:t xml:space="preserve"> History</w:t>
      </w:r>
      <w:r w:rsidR="00541E45" w:rsidRPr="00D9437C">
        <w:t>,</w:t>
      </w:r>
      <w:r w:rsidR="00541E45">
        <w:rPr>
          <w:i/>
          <w:iCs/>
        </w:rPr>
        <w:t xml:space="preserve"> </w:t>
      </w:r>
      <w:r w:rsidR="00541E45" w:rsidRPr="00D9437C">
        <w:t>3</w:t>
      </w:r>
      <w:r w:rsidR="00541E45" w:rsidRPr="00D9437C">
        <w:rPr>
          <w:vertAlign w:val="superscript"/>
        </w:rPr>
        <w:t>rd</w:t>
      </w:r>
      <w:r w:rsidR="00541E45" w:rsidRPr="00D9437C">
        <w:t xml:space="preserve"> edn</w:t>
      </w:r>
      <w:r w:rsidR="00541E45">
        <w:rPr>
          <w:i/>
          <w:iCs/>
        </w:rPr>
        <w:t xml:space="preserve">. </w:t>
      </w:r>
      <w:r w:rsidR="00541E45" w:rsidRPr="00D9437C">
        <w:t>(</w:t>
      </w:r>
      <w:r w:rsidR="00D9437C">
        <w:t xml:space="preserve">London: </w:t>
      </w:r>
      <w:r w:rsidR="00541E45" w:rsidRPr="00D9437C">
        <w:t>Bloomsbury</w:t>
      </w:r>
      <w:r w:rsidR="00D9437C">
        <w:t>,</w:t>
      </w:r>
      <w:r w:rsidR="00541E45" w:rsidRPr="00D9437C">
        <w:t xml:space="preserve"> 2014)</w:t>
      </w:r>
      <w:r w:rsidR="00541E45">
        <w:rPr>
          <w:i/>
          <w:iCs/>
        </w:rPr>
        <w:t xml:space="preserve"> </w:t>
      </w:r>
      <w:r w:rsidR="00541E45" w:rsidRPr="00D9437C">
        <w:t>p.289</w:t>
      </w:r>
      <w:r w:rsidR="00541E45">
        <w:rPr>
          <w:i/>
          <w:iCs/>
        </w:rPr>
        <w:t xml:space="preserve"> &lt;</w:t>
      </w:r>
      <w:r w:rsidR="00541E45" w:rsidRPr="00541E45">
        <w:t>https://archive.org/details/riley-smith-the-crusades-a-history-3rd-ed/page/288/mode/2up?q=venetian</w:t>
      </w:r>
      <w:r w:rsidR="00541E45">
        <w:t xml:space="preserve">&gt; </w:t>
      </w:r>
      <w:r w:rsidR="00541E45" w:rsidRPr="00FB52B1">
        <w:t>[Accessed 16</w:t>
      </w:r>
      <w:r w:rsidR="00541E45" w:rsidRPr="00FB52B1">
        <w:rPr>
          <w:vertAlign w:val="superscript"/>
        </w:rPr>
        <w:t>th</w:t>
      </w:r>
      <w:r w:rsidR="00541E45" w:rsidRPr="00FB52B1">
        <w:t xml:space="preserve"> March 2025].</w:t>
      </w:r>
    </w:p>
  </w:footnote>
  <w:footnote w:id="15">
    <w:p w14:paraId="1CD079AE" w14:textId="63A000AE" w:rsidR="00C82BB6" w:rsidRPr="00703BAB" w:rsidRDefault="00C82BB6">
      <w:pPr>
        <w:pStyle w:val="FootnoteText"/>
        <w:rPr>
          <w:i/>
          <w:iCs/>
        </w:rPr>
      </w:pPr>
      <w:r>
        <w:rPr>
          <w:rStyle w:val="FootnoteReference"/>
        </w:rPr>
        <w:footnoteRef/>
      </w:r>
      <w:r>
        <w:t xml:space="preserve"> </w:t>
      </w:r>
      <w:r w:rsidR="00703BAB" w:rsidRPr="00FC6197">
        <w:t xml:space="preserve">Christopher Tyerman, </w:t>
      </w:r>
      <w:r w:rsidR="00703BAB" w:rsidRPr="00FC6197">
        <w:rPr>
          <w:i/>
          <w:iCs/>
        </w:rPr>
        <w:t>God’s War</w:t>
      </w:r>
      <w:r w:rsidR="00703BAB" w:rsidRPr="00FC6197">
        <w:t xml:space="preserve"> </w:t>
      </w:r>
      <w:r w:rsidR="00703BAB" w:rsidRPr="00502423">
        <w:t xml:space="preserve">p. </w:t>
      </w:r>
      <w:r w:rsidR="00703BAB">
        <w:t>295</w:t>
      </w:r>
      <w:r w:rsidR="00703BAB" w:rsidRPr="00502423">
        <w:t>.</w:t>
      </w:r>
    </w:p>
  </w:footnote>
  <w:footnote w:id="16">
    <w:p w14:paraId="36B5F38A" w14:textId="1A073DF5" w:rsidR="00657DB9" w:rsidRPr="00CF37C7" w:rsidRDefault="00657DB9">
      <w:pPr>
        <w:pStyle w:val="FootnoteText"/>
        <w:rPr>
          <w:i/>
          <w:iCs/>
        </w:rPr>
      </w:pPr>
      <w:r>
        <w:rPr>
          <w:rStyle w:val="FootnoteReference"/>
        </w:rPr>
        <w:footnoteRef/>
      </w:r>
      <w:r>
        <w:t xml:space="preserve"> </w:t>
      </w:r>
      <w:r w:rsidR="00D9437C" w:rsidRPr="00D9437C">
        <w:t>Ibn al-Qalānisī</w:t>
      </w:r>
      <w:r w:rsidR="00CF37C7">
        <w:t xml:space="preserve">, </w:t>
      </w:r>
      <w:r w:rsidR="00CF37C7" w:rsidRPr="00703BAB">
        <w:rPr>
          <w:i/>
          <w:iCs/>
        </w:rPr>
        <w:t xml:space="preserve">The Damascus </w:t>
      </w:r>
      <w:r w:rsidR="00D9437C">
        <w:rPr>
          <w:i/>
          <w:iCs/>
        </w:rPr>
        <w:t>C</w:t>
      </w:r>
      <w:r w:rsidR="00CF37C7" w:rsidRPr="00703BAB">
        <w:rPr>
          <w:i/>
          <w:iCs/>
        </w:rPr>
        <w:t xml:space="preserve">hronicle of the </w:t>
      </w:r>
      <w:r w:rsidR="00D9437C">
        <w:rPr>
          <w:i/>
          <w:iCs/>
        </w:rPr>
        <w:t>C</w:t>
      </w:r>
      <w:r w:rsidR="00CF37C7" w:rsidRPr="00703BAB">
        <w:rPr>
          <w:i/>
          <w:iCs/>
        </w:rPr>
        <w:t>rusades</w:t>
      </w:r>
      <w:r w:rsidR="00CF37C7">
        <w:t>,</w:t>
      </w:r>
      <w:r w:rsidR="00D9437C">
        <w:t xml:space="preserve"> trans. by H. A. R. Gibb</w:t>
      </w:r>
      <w:r w:rsidR="00703BAB">
        <w:t xml:space="preserve"> </w:t>
      </w:r>
      <w:r w:rsidR="00541E45">
        <w:t>(</w:t>
      </w:r>
      <w:r w:rsidR="00D9437C">
        <w:t xml:space="preserve">London: </w:t>
      </w:r>
      <w:r w:rsidR="00703BAB">
        <w:t>Luzac,</w:t>
      </w:r>
      <w:r w:rsidR="00D9437C">
        <w:t xml:space="preserve"> </w:t>
      </w:r>
      <w:r w:rsidR="00703BAB">
        <w:t>1932</w:t>
      </w:r>
      <w:r w:rsidR="00541E45">
        <w:t>)</w:t>
      </w:r>
      <w:r w:rsidR="00703BAB">
        <w:t xml:space="preserve">, </w:t>
      </w:r>
      <w:r w:rsidR="00E12BD1">
        <w:t>&lt;</w:t>
      </w:r>
      <w:r w:rsidR="00E12BD1" w:rsidRPr="00E12BD1">
        <w:t>https://archive.org/details/dli.csl.7233/page/n25/mode/2up?q=franks</w:t>
      </w:r>
      <w:r w:rsidR="00E12BD1">
        <w:t xml:space="preserve">&gt; </w:t>
      </w:r>
      <w:r w:rsidR="00E12BD1" w:rsidRPr="00FB52B1">
        <w:t>[Accessed 16</w:t>
      </w:r>
      <w:r w:rsidR="00E12BD1" w:rsidRPr="00FB52B1">
        <w:rPr>
          <w:vertAlign w:val="superscript"/>
        </w:rPr>
        <w:t>th</w:t>
      </w:r>
      <w:r w:rsidR="00E12BD1" w:rsidRPr="00FB52B1">
        <w:t xml:space="preserve"> March 2025].</w:t>
      </w:r>
    </w:p>
  </w:footnote>
  <w:footnote w:id="17">
    <w:p w14:paraId="62920888" w14:textId="35636F43" w:rsidR="00657DB9" w:rsidRPr="00703BAB" w:rsidRDefault="00657DB9">
      <w:pPr>
        <w:pStyle w:val="FootnoteText"/>
        <w:rPr>
          <w:i/>
          <w:iCs/>
        </w:rPr>
      </w:pPr>
      <w:r>
        <w:rPr>
          <w:rStyle w:val="FootnoteReference"/>
        </w:rPr>
        <w:footnoteRef/>
      </w:r>
      <w:r>
        <w:t xml:space="preserve"> </w:t>
      </w:r>
      <w:r w:rsidR="00D9437C">
        <w:t>Lumen Learning</w:t>
      </w:r>
      <w:r w:rsidR="00703BAB">
        <w:t xml:space="preserve">, </w:t>
      </w:r>
      <w:r w:rsidR="00703BAB">
        <w:rPr>
          <w:i/>
          <w:iCs/>
        </w:rPr>
        <w:t>The Second Crusade</w:t>
      </w:r>
      <w:r w:rsidR="00D9437C">
        <w:rPr>
          <w:i/>
          <w:iCs/>
        </w:rPr>
        <w:t xml:space="preserve"> &lt;</w:t>
      </w:r>
      <w:r w:rsidR="00E12BD1" w:rsidRPr="00E12BD1">
        <w:t>https://courses.lumenlearning.com/atd-herkimer-westerncivilization/chapter/the-second-crusade/</w:t>
      </w:r>
      <w:r w:rsidR="00E12BD1" w:rsidRPr="00E12BD1">
        <w:t xml:space="preserve">&gt; </w:t>
      </w:r>
      <w:bookmarkStart w:id="6" w:name="_Hlk193048819"/>
      <w:r w:rsidR="00E12BD1" w:rsidRPr="00FB52B1">
        <w:t>[Accessed 16</w:t>
      </w:r>
      <w:r w:rsidR="00E12BD1" w:rsidRPr="00FB52B1">
        <w:rPr>
          <w:vertAlign w:val="superscript"/>
        </w:rPr>
        <w:t>th</w:t>
      </w:r>
      <w:r w:rsidR="00E12BD1" w:rsidRPr="00FB52B1">
        <w:t xml:space="preserve"> March 2025].</w:t>
      </w:r>
      <w:bookmarkEnd w:id="6"/>
    </w:p>
  </w:footnote>
  <w:footnote w:id="18">
    <w:p w14:paraId="2A8E30CF" w14:textId="76FDED6F" w:rsidR="00657DB9" w:rsidRPr="00703BAB" w:rsidRDefault="00657DB9">
      <w:pPr>
        <w:pStyle w:val="FootnoteText"/>
      </w:pPr>
      <w:r>
        <w:rPr>
          <w:rStyle w:val="FootnoteReference"/>
        </w:rPr>
        <w:footnoteRef/>
      </w:r>
      <w:r>
        <w:t xml:space="preserve"> </w:t>
      </w:r>
      <w:r w:rsidR="00703BAB">
        <w:t xml:space="preserve">Justin Lee Mathews, </w:t>
      </w:r>
      <w:r w:rsidR="00703BAB" w:rsidRPr="00703BAB">
        <w:rPr>
          <w:i/>
          <w:iCs/>
        </w:rPr>
        <w:t>The Great Men of Christendom: The Failure of the Third Crusade</w:t>
      </w:r>
      <w:r w:rsidR="00703BAB">
        <w:rPr>
          <w:i/>
          <w:iCs/>
        </w:rPr>
        <w:t xml:space="preserve"> </w:t>
      </w:r>
      <w:r w:rsidR="00D9437C">
        <w:t xml:space="preserve">(Unpublished Master’s Thesis, </w:t>
      </w:r>
      <w:r w:rsidR="00703BAB" w:rsidRPr="00703BAB">
        <w:t>Western Kentucky University</w:t>
      </w:r>
      <w:r w:rsidR="00703BAB">
        <w:t>, 2011</w:t>
      </w:r>
      <w:r w:rsidR="00541E45">
        <w:t xml:space="preserve">) </w:t>
      </w:r>
      <w:r w:rsidR="00703BAB">
        <w:t>&lt;</w:t>
      </w:r>
      <w:r w:rsidR="00E12BD1" w:rsidRPr="00E12BD1">
        <w:t>https://digitalcommons.wku.edu/cgi/viewcontent.cgi?article=2117&amp;context=theses</w:t>
      </w:r>
      <w:r w:rsidR="00703BAB">
        <w:t>&gt;</w:t>
      </w:r>
      <w:r w:rsidR="00E12BD1">
        <w:t xml:space="preserve"> </w:t>
      </w:r>
      <w:r w:rsidR="00E12BD1" w:rsidRPr="00FB52B1">
        <w:t>[Accessed 16</w:t>
      </w:r>
      <w:r w:rsidR="00E12BD1" w:rsidRPr="00FB52B1">
        <w:rPr>
          <w:vertAlign w:val="superscript"/>
        </w:rPr>
        <w:t>th</w:t>
      </w:r>
      <w:r w:rsidR="00E12BD1" w:rsidRPr="00FB52B1">
        <w:t xml:space="preserve"> March 2025].</w:t>
      </w:r>
    </w:p>
  </w:footnote>
  <w:footnote w:id="19">
    <w:p w14:paraId="4BF4BDA7" w14:textId="2CA5D740" w:rsidR="00657DB9" w:rsidRPr="00E12BD1" w:rsidRDefault="00657DB9" w:rsidP="00E12BD1">
      <w:pPr>
        <w:spacing w:after="0"/>
        <w:rPr>
          <w:color w:val="0070C0"/>
          <w:sz w:val="20"/>
          <w:szCs w:val="20"/>
        </w:rPr>
      </w:pPr>
      <w:bookmarkStart w:id="7" w:name="_Hlk193050377"/>
      <w:r>
        <w:rPr>
          <w:rStyle w:val="FootnoteReference"/>
        </w:rPr>
        <w:footnoteRef/>
      </w:r>
      <w:r>
        <w:t xml:space="preserve"> </w:t>
      </w:r>
      <w:r w:rsidR="00D9437C" w:rsidRPr="00FB52B1">
        <w:rPr>
          <w:color w:val="000000" w:themeColor="text1"/>
          <w:sz w:val="20"/>
          <w:szCs w:val="20"/>
        </w:rPr>
        <w:t xml:space="preserve">Martha Evelyn Mcginty, </w:t>
      </w:r>
      <w:r w:rsidR="00D9437C" w:rsidRPr="00FB52B1">
        <w:rPr>
          <w:i/>
          <w:iCs/>
          <w:color w:val="000000" w:themeColor="text1"/>
          <w:sz w:val="20"/>
          <w:szCs w:val="20"/>
        </w:rPr>
        <w:t xml:space="preserve">Fulcher of Chartres </w:t>
      </w:r>
      <w:r w:rsidR="00D9437C">
        <w:rPr>
          <w:i/>
          <w:iCs/>
          <w:color w:val="000000" w:themeColor="text1"/>
          <w:sz w:val="20"/>
          <w:szCs w:val="20"/>
        </w:rPr>
        <w:t>C</w:t>
      </w:r>
      <w:r w:rsidR="00D9437C" w:rsidRPr="00FB52B1">
        <w:rPr>
          <w:i/>
          <w:iCs/>
          <w:color w:val="000000" w:themeColor="text1"/>
          <w:sz w:val="20"/>
          <w:szCs w:val="20"/>
        </w:rPr>
        <w:t xml:space="preserve">hronicle of the </w:t>
      </w:r>
      <w:r w:rsidR="00D9437C">
        <w:rPr>
          <w:i/>
          <w:iCs/>
          <w:color w:val="000000" w:themeColor="text1"/>
          <w:sz w:val="20"/>
          <w:szCs w:val="20"/>
        </w:rPr>
        <w:t>F</w:t>
      </w:r>
      <w:r w:rsidR="00D9437C" w:rsidRPr="00FB52B1">
        <w:rPr>
          <w:i/>
          <w:iCs/>
          <w:color w:val="000000" w:themeColor="text1"/>
          <w:sz w:val="20"/>
          <w:szCs w:val="20"/>
        </w:rPr>
        <w:t xml:space="preserve">irst </w:t>
      </w:r>
      <w:r w:rsidR="00D9437C">
        <w:rPr>
          <w:i/>
          <w:iCs/>
          <w:color w:val="000000" w:themeColor="text1"/>
          <w:sz w:val="20"/>
          <w:szCs w:val="20"/>
        </w:rPr>
        <w:t>Cr</w:t>
      </w:r>
      <w:r w:rsidR="00D9437C" w:rsidRPr="00FB52B1">
        <w:rPr>
          <w:i/>
          <w:iCs/>
          <w:color w:val="000000" w:themeColor="text1"/>
          <w:sz w:val="20"/>
          <w:szCs w:val="20"/>
        </w:rPr>
        <w:t>usade</w:t>
      </w:r>
      <w:r w:rsidR="00D9437C" w:rsidRPr="00FB52B1">
        <w:rPr>
          <w:color w:val="000000" w:themeColor="text1"/>
          <w:sz w:val="20"/>
          <w:szCs w:val="20"/>
        </w:rPr>
        <w:t xml:space="preserve"> p.</w:t>
      </w:r>
      <w:r w:rsidR="00D9437C">
        <w:rPr>
          <w:color w:val="000000" w:themeColor="text1"/>
          <w:sz w:val="20"/>
          <w:szCs w:val="20"/>
        </w:rPr>
        <w:t xml:space="preserve"> 17.</w:t>
      </w:r>
    </w:p>
  </w:footnote>
  <w:footnote w:id="20">
    <w:p w14:paraId="4DB1FCD6" w14:textId="47D8F61A" w:rsidR="00657DB9" w:rsidRPr="0056418A" w:rsidRDefault="00657DB9">
      <w:pPr>
        <w:pStyle w:val="FootnoteText"/>
        <w:rPr>
          <w:b/>
          <w:bCs/>
        </w:rPr>
      </w:pPr>
      <w:r>
        <w:rPr>
          <w:rStyle w:val="FootnoteReference"/>
        </w:rPr>
        <w:footnoteRef/>
      </w:r>
      <w:r>
        <w:t xml:space="preserve"> </w:t>
      </w:r>
      <w:r w:rsidR="0056418A" w:rsidRPr="0056418A">
        <w:t>Guibert of Nogent</w:t>
      </w:r>
      <w:r w:rsidR="0056418A">
        <w:t xml:space="preserve">, </w:t>
      </w:r>
      <w:r w:rsidR="0056418A" w:rsidRPr="00D9437C">
        <w:rPr>
          <w:i/>
          <w:iCs/>
        </w:rPr>
        <w:t>The Deeds of God through the Franks by Guibert of Nogent</w:t>
      </w:r>
      <w:r w:rsidR="0056418A">
        <w:t xml:space="preserve">, </w:t>
      </w:r>
      <w:r w:rsidR="00D9437C">
        <w:t xml:space="preserve">trans. by </w:t>
      </w:r>
      <w:r w:rsidR="0056418A">
        <w:t xml:space="preserve">Robert Levine </w:t>
      </w:r>
      <w:r w:rsidR="00D9437C">
        <w:t xml:space="preserve">(Project Gutenberg, </w:t>
      </w:r>
      <w:r w:rsidR="0056418A">
        <w:t>1997</w:t>
      </w:r>
      <w:r w:rsidR="00D9437C">
        <w:t>)</w:t>
      </w:r>
      <w:r w:rsidR="0056418A">
        <w:t xml:space="preserve">, </w:t>
      </w:r>
      <w:r w:rsidR="00C4562E">
        <w:t>&lt;</w:t>
      </w:r>
      <w:r w:rsidR="00C4562E" w:rsidRPr="00C4562E">
        <w:t>https://www.gutenberg.org/cache/epub/4370/pg4370-images.html</w:t>
      </w:r>
      <w:r w:rsidR="00C4562E">
        <w:t>&gt;</w:t>
      </w:r>
      <w:r w:rsidR="00E12BD1">
        <w:t xml:space="preserve"> </w:t>
      </w:r>
      <w:r w:rsidR="00E12BD1" w:rsidRPr="00FB52B1">
        <w:t>[Accessed 16</w:t>
      </w:r>
      <w:r w:rsidR="00E12BD1" w:rsidRPr="00FB52B1">
        <w:rPr>
          <w:vertAlign w:val="superscript"/>
        </w:rPr>
        <w:t>th</w:t>
      </w:r>
      <w:r w:rsidR="00E12BD1" w:rsidRPr="00FB52B1">
        <w:t xml:space="preserve"> March 2025].</w:t>
      </w:r>
    </w:p>
  </w:footnote>
  <w:footnote w:id="21">
    <w:p w14:paraId="2FD4D1D3" w14:textId="454795A3" w:rsidR="00657DB9" w:rsidRPr="00C73112" w:rsidRDefault="00657DB9">
      <w:pPr>
        <w:pStyle w:val="FootnoteText"/>
      </w:pPr>
      <w:r>
        <w:rPr>
          <w:rStyle w:val="FootnoteReference"/>
        </w:rPr>
        <w:footnoteRef/>
      </w:r>
      <w:r>
        <w:t xml:space="preserve"> </w:t>
      </w:r>
      <w:r w:rsidR="00A81C1A" w:rsidRPr="00657DB9">
        <w:t>Abbot of Nogent-sous-Coucy Guibert</w:t>
      </w:r>
      <w:r w:rsidR="00A81C1A">
        <w:t xml:space="preserve">, </w:t>
      </w:r>
      <w:r w:rsidR="00A81C1A" w:rsidRPr="00D9437C">
        <w:rPr>
          <w:i/>
          <w:iCs/>
        </w:rPr>
        <w:t>The Deeds of God Through the Franks</w:t>
      </w:r>
      <w:r w:rsidR="00D9437C">
        <w:t>.</w:t>
      </w:r>
    </w:p>
  </w:footnote>
  <w:footnote w:id="22">
    <w:p w14:paraId="5E9C06FA" w14:textId="0D4F4A31" w:rsidR="009131DE" w:rsidRDefault="009131DE">
      <w:pPr>
        <w:pStyle w:val="FootnoteText"/>
      </w:pPr>
      <w:r>
        <w:rPr>
          <w:rStyle w:val="FootnoteReference"/>
        </w:rPr>
        <w:footnoteRef/>
      </w:r>
      <w:r>
        <w:t xml:space="preserve"> </w:t>
      </w:r>
      <w:r w:rsidRPr="00FC6197">
        <w:t xml:space="preserve">Christopher Tyerman, </w:t>
      </w:r>
      <w:r w:rsidRPr="00FC6197">
        <w:rPr>
          <w:i/>
          <w:iCs/>
        </w:rPr>
        <w:t>God’s War</w:t>
      </w:r>
      <w:r w:rsidRPr="00FC6197">
        <w:t xml:space="preserve"> </w:t>
      </w:r>
      <w:r w:rsidRPr="00502423">
        <w:t xml:space="preserve">p. </w:t>
      </w:r>
      <w:r>
        <w:t>687</w:t>
      </w:r>
      <w:r w:rsidRPr="00502423">
        <w:t>.</w:t>
      </w:r>
    </w:p>
  </w:footnote>
  <w:footnote w:id="23">
    <w:p w14:paraId="4730F9AE" w14:textId="2CE2EEE4" w:rsidR="00657DB9" w:rsidRDefault="00657DB9">
      <w:pPr>
        <w:pStyle w:val="FootnoteText"/>
      </w:pPr>
      <w:r>
        <w:rPr>
          <w:rStyle w:val="FootnoteReference"/>
        </w:rPr>
        <w:footnoteRef/>
      </w:r>
      <w:r>
        <w:t xml:space="preserve"> </w:t>
      </w:r>
      <w:r w:rsidR="00135F5C" w:rsidRPr="00FC6197">
        <w:t xml:space="preserve">Christopher Tyerman, </w:t>
      </w:r>
      <w:r w:rsidR="00135F5C" w:rsidRPr="00FC6197">
        <w:rPr>
          <w:i/>
          <w:iCs/>
        </w:rPr>
        <w:t>God’s War</w:t>
      </w:r>
      <w:r w:rsidR="00135F5C" w:rsidRPr="00FC6197">
        <w:t xml:space="preserve"> </w:t>
      </w:r>
      <w:r w:rsidR="00135F5C" w:rsidRPr="00502423">
        <w:t>p</w:t>
      </w:r>
      <w:r w:rsidR="00135F5C">
        <w:t>p. 253-257</w:t>
      </w:r>
    </w:p>
  </w:footnote>
  <w:footnote w:id="24">
    <w:p w14:paraId="5CEC05D3" w14:textId="4D3E961C" w:rsidR="0056418A" w:rsidRDefault="0056418A">
      <w:pPr>
        <w:pStyle w:val="FootnoteText"/>
      </w:pPr>
      <w:r>
        <w:rPr>
          <w:rStyle w:val="FootnoteReference"/>
        </w:rPr>
        <w:footnoteRef/>
      </w:r>
      <w:r>
        <w:t xml:space="preserve"> </w:t>
      </w:r>
      <w:r>
        <w:t xml:space="preserve">Andrew Holt, </w:t>
      </w:r>
      <w:r w:rsidRPr="00C73112">
        <w:rPr>
          <w:i/>
          <w:iCs/>
        </w:rPr>
        <w:t>The Modern Muslim Memory of the Crusades</w:t>
      </w:r>
      <w:r>
        <w:t xml:space="preserve"> </w:t>
      </w:r>
      <w:r w:rsidR="00C4562E">
        <w:t>&lt;</w:t>
      </w:r>
      <w:r w:rsidR="00C4562E" w:rsidRPr="00C4562E">
        <w:t>https://apholt.com/2017/03/02/the-modern-muslim-memory-of-the-crusades/</w:t>
      </w:r>
      <w:r w:rsidR="00C4562E">
        <w:t>&gt;</w:t>
      </w:r>
      <w:r w:rsidR="00E12BD1">
        <w:t xml:space="preserve"> </w:t>
      </w:r>
      <w:r w:rsidR="00E12BD1" w:rsidRPr="00FB52B1">
        <w:t>[Accessed 16</w:t>
      </w:r>
      <w:r w:rsidR="00E12BD1" w:rsidRPr="00FB52B1">
        <w:rPr>
          <w:vertAlign w:val="superscript"/>
        </w:rPr>
        <w:t>th</w:t>
      </w:r>
      <w:r w:rsidR="00E12BD1" w:rsidRPr="00FB52B1">
        <w:t xml:space="preserve"> March 2025].</w:t>
      </w:r>
    </w:p>
  </w:footnote>
  <w:footnote w:id="25">
    <w:p w14:paraId="72B064D9" w14:textId="738279FF" w:rsidR="0056418A" w:rsidRDefault="0056418A" w:rsidP="00D66B61">
      <w:pPr>
        <w:pStyle w:val="FootnoteText"/>
        <w:shd w:val="clear" w:color="auto" w:fill="FFFFFF" w:themeFill="background1"/>
      </w:pPr>
      <w:r>
        <w:rPr>
          <w:rStyle w:val="FootnoteReference"/>
        </w:rPr>
        <w:footnoteRef/>
      </w:r>
      <w:r>
        <w:t xml:space="preserve"> </w:t>
      </w:r>
      <w:r w:rsidRPr="00FC6197">
        <w:t xml:space="preserve">Christopher Tyerman, </w:t>
      </w:r>
      <w:r w:rsidRPr="00FC6197">
        <w:rPr>
          <w:i/>
          <w:iCs/>
        </w:rPr>
        <w:t>God’s War</w:t>
      </w:r>
      <w:r w:rsidR="00EF2B4F">
        <w:t xml:space="preserve"> </w:t>
      </w:r>
      <w:r w:rsidRPr="00502423">
        <w:t>p</w:t>
      </w:r>
      <w:r>
        <w:t>p. 157-159.</w:t>
      </w:r>
    </w:p>
  </w:footnote>
  <w:footnote w:id="26">
    <w:p w14:paraId="11B1BC0A" w14:textId="2CB88007" w:rsidR="00C73112" w:rsidRDefault="00C73112" w:rsidP="00D66B61">
      <w:pPr>
        <w:pStyle w:val="FootnoteText"/>
        <w:shd w:val="clear" w:color="auto" w:fill="FFFFFF" w:themeFill="background1"/>
      </w:pPr>
      <w:r>
        <w:rPr>
          <w:rStyle w:val="FootnoteReference"/>
        </w:rPr>
        <w:footnoteRef/>
      </w:r>
      <w:r>
        <w:t xml:space="preserve"> </w:t>
      </w:r>
      <w:r w:rsidRPr="00C73112">
        <w:t>Carole</w:t>
      </w:r>
      <w:r w:rsidRPr="00C73112">
        <w:t xml:space="preserve"> </w:t>
      </w:r>
      <w:r w:rsidRPr="00C73112">
        <w:t xml:space="preserve">Hillenbrand, </w:t>
      </w:r>
      <w:r w:rsidRPr="00C73112">
        <w:rPr>
          <w:i/>
          <w:iCs/>
        </w:rPr>
        <w:t xml:space="preserve">The Crusades: Islamic </w:t>
      </w:r>
      <w:r w:rsidRPr="00D66B61">
        <w:rPr>
          <w:i/>
          <w:iCs/>
        </w:rPr>
        <w:t>Perspectives</w:t>
      </w:r>
      <w:r w:rsidR="00EF2B4F" w:rsidRPr="00D66B61">
        <w:t xml:space="preserve"> </w:t>
      </w:r>
      <w:r w:rsidRPr="00D66B61">
        <w:t>pp. 257–328.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3C9F6" w14:textId="69BF59C6" w:rsidR="00FB52B1" w:rsidRPr="00AA25D4" w:rsidRDefault="00FB52B1" w:rsidP="00FB52B1">
    <w:pPr>
      <w:pStyle w:val="Header"/>
      <w:rPr>
        <w:b/>
        <w:bCs/>
        <w:color w:val="467886" w:themeColor="hyperlink"/>
        <w:u w:val="single"/>
      </w:rPr>
    </w:pPr>
    <w:r>
      <w:t>Chris Guy</w:t>
    </w:r>
    <w:r>
      <w:tab/>
    </w:r>
    <w:hyperlink r:id="rId1" w:history="1">
      <w:r w:rsidRPr="00C4562E">
        <w:rPr>
          <w:rStyle w:val="Hyperlink"/>
          <w:color w:val="000000" w:themeColor="text1"/>
        </w:rPr>
        <w:t>Crusading in the Middle Ages (HPHI4905)</w:t>
      </w:r>
    </w:hyperlink>
    <w:r w:rsidRPr="00E06137">
      <w:ptab w:relativeTo="margin" w:alignment="right" w:leader="none"/>
    </w:r>
    <w:r w:rsidRPr="00E06137">
      <w:t>16</w:t>
    </w:r>
    <w:r>
      <w:t>/0</w:t>
    </w:r>
    <w:r>
      <w:t>3</w:t>
    </w:r>
    <w:r>
      <w:t>/2025</w:t>
    </w:r>
  </w:p>
  <w:p w14:paraId="5B1F8EC4" w14:textId="77777777" w:rsidR="00FB52B1" w:rsidRDefault="00FB52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148"/>
    <w:rsid w:val="00012A32"/>
    <w:rsid w:val="00034EB1"/>
    <w:rsid w:val="00135F5C"/>
    <w:rsid w:val="00155728"/>
    <w:rsid w:val="00180009"/>
    <w:rsid w:val="001A5AC1"/>
    <w:rsid w:val="00290880"/>
    <w:rsid w:val="002B42DE"/>
    <w:rsid w:val="00323ADC"/>
    <w:rsid w:val="00342141"/>
    <w:rsid w:val="0038356D"/>
    <w:rsid w:val="003D2BD9"/>
    <w:rsid w:val="003E0624"/>
    <w:rsid w:val="003F0AA7"/>
    <w:rsid w:val="004049CE"/>
    <w:rsid w:val="00421A49"/>
    <w:rsid w:val="00433580"/>
    <w:rsid w:val="00440F22"/>
    <w:rsid w:val="00492148"/>
    <w:rsid w:val="004A4737"/>
    <w:rsid w:val="00541E45"/>
    <w:rsid w:val="0056418A"/>
    <w:rsid w:val="005F6A81"/>
    <w:rsid w:val="00657DB9"/>
    <w:rsid w:val="007005AC"/>
    <w:rsid w:val="00703BAB"/>
    <w:rsid w:val="0071749E"/>
    <w:rsid w:val="00842412"/>
    <w:rsid w:val="008C79AB"/>
    <w:rsid w:val="008F4BE4"/>
    <w:rsid w:val="009060B0"/>
    <w:rsid w:val="009131DE"/>
    <w:rsid w:val="009231A5"/>
    <w:rsid w:val="00A75843"/>
    <w:rsid w:val="00A7635C"/>
    <w:rsid w:val="00A81C1A"/>
    <w:rsid w:val="00B614BB"/>
    <w:rsid w:val="00B717C4"/>
    <w:rsid w:val="00C013DB"/>
    <w:rsid w:val="00C4562E"/>
    <w:rsid w:val="00C73112"/>
    <w:rsid w:val="00C82BB6"/>
    <w:rsid w:val="00CB5543"/>
    <w:rsid w:val="00CD4A3B"/>
    <w:rsid w:val="00CD4F5A"/>
    <w:rsid w:val="00CF37C7"/>
    <w:rsid w:val="00CF751F"/>
    <w:rsid w:val="00D66B61"/>
    <w:rsid w:val="00D9437C"/>
    <w:rsid w:val="00DA40A2"/>
    <w:rsid w:val="00DE0A15"/>
    <w:rsid w:val="00E12BD1"/>
    <w:rsid w:val="00E43C9D"/>
    <w:rsid w:val="00E579AC"/>
    <w:rsid w:val="00EF2B4F"/>
    <w:rsid w:val="00F10FDF"/>
    <w:rsid w:val="00F25558"/>
    <w:rsid w:val="00F4783B"/>
    <w:rsid w:val="00FB52B1"/>
    <w:rsid w:val="00FC0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1E636"/>
  <w15:chartTrackingRefBased/>
  <w15:docId w15:val="{E716D359-1C68-42A3-9384-C9C83D3CF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1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21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1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21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1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1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1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1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1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1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21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1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21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1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148"/>
    <w:rPr>
      <w:rFonts w:eastAsiaTheme="majorEastAsia" w:cstheme="majorBidi"/>
      <w:color w:val="272727" w:themeColor="text1" w:themeTint="D8"/>
    </w:rPr>
  </w:style>
  <w:style w:type="paragraph" w:styleId="Title">
    <w:name w:val="Title"/>
    <w:basedOn w:val="Normal"/>
    <w:next w:val="Normal"/>
    <w:link w:val="TitleChar"/>
    <w:uiPriority w:val="10"/>
    <w:qFormat/>
    <w:rsid w:val="00492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1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148"/>
    <w:pPr>
      <w:spacing w:before="160"/>
      <w:jc w:val="center"/>
    </w:pPr>
    <w:rPr>
      <w:i/>
      <w:iCs/>
      <w:color w:val="404040" w:themeColor="text1" w:themeTint="BF"/>
    </w:rPr>
  </w:style>
  <w:style w:type="character" w:customStyle="1" w:styleId="QuoteChar">
    <w:name w:val="Quote Char"/>
    <w:basedOn w:val="DefaultParagraphFont"/>
    <w:link w:val="Quote"/>
    <w:uiPriority w:val="29"/>
    <w:rsid w:val="00492148"/>
    <w:rPr>
      <w:i/>
      <w:iCs/>
      <w:color w:val="404040" w:themeColor="text1" w:themeTint="BF"/>
    </w:rPr>
  </w:style>
  <w:style w:type="paragraph" w:styleId="ListParagraph">
    <w:name w:val="List Paragraph"/>
    <w:basedOn w:val="Normal"/>
    <w:uiPriority w:val="34"/>
    <w:qFormat/>
    <w:rsid w:val="00492148"/>
    <w:pPr>
      <w:ind w:left="720"/>
      <w:contextualSpacing/>
    </w:pPr>
  </w:style>
  <w:style w:type="character" w:styleId="IntenseEmphasis">
    <w:name w:val="Intense Emphasis"/>
    <w:basedOn w:val="DefaultParagraphFont"/>
    <w:uiPriority w:val="21"/>
    <w:qFormat/>
    <w:rsid w:val="00492148"/>
    <w:rPr>
      <w:i/>
      <w:iCs/>
      <w:color w:val="0F4761" w:themeColor="accent1" w:themeShade="BF"/>
    </w:rPr>
  </w:style>
  <w:style w:type="paragraph" w:styleId="IntenseQuote">
    <w:name w:val="Intense Quote"/>
    <w:basedOn w:val="Normal"/>
    <w:next w:val="Normal"/>
    <w:link w:val="IntenseQuoteChar"/>
    <w:uiPriority w:val="30"/>
    <w:qFormat/>
    <w:rsid w:val="004921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148"/>
    <w:rPr>
      <w:i/>
      <w:iCs/>
      <w:color w:val="0F4761" w:themeColor="accent1" w:themeShade="BF"/>
    </w:rPr>
  </w:style>
  <w:style w:type="character" w:styleId="IntenseReference">
    <w:name w:val="Intense Reference"/>
    <w:basedOn w:val="DefaultParagraphFont"/>
    <w:uiPriority w:val="32"/>
    <w:qFormat/>
    <w:rsid w:val="00492148"/>
    <w:rPr>
      <w:b/>
      <w:bCs/>
      <w:smallCaps/>
      <w:color w:val="0F4761" w:themeColor="accent1" w:themeShade="BF"/>
      <w:spacing w:val="5"/>
    </w:rPr>
  </w:style>
  <w:style w:type="character" w:styleId="CommentReference">
    <w:name w:val="annotation reference"/>
    <w:basedOn w:val="DefaultParagraphFont"/>
    <w:uiPriority w:val="99"/>
    <w:semiHidden/>
    <w:unhideWhenUsed/>
    <w:rsid w:val="00492148"/>
    <w:rPr>
      <w:sz w:val="16"/>
      <w:szCs w:val="16"/>
    </w:rPr>
  </w:style>
  <w:style w:type="paragraph" w:styleId="CommentText">
    <w:name w:val="annotation text"/>
    <w:basedOn w:val="Normal"/>
    <w:link w:val="CommentTextChar"/>
    <w:uiPriority w:val="99"/>
    <w:unhideWhenUsed/>
    <w:rsid w:val="00492148"/>
    <w:pPr>
      <w:spacing w:line="240" w:lineRule="auto"/>
    </w:pPr>
    <w:rPr>
      <w:sz w:val="20"/>
      <w:szCs w:val="20"/>
    </w:rPr>
  </w:style>
  <w:style w:type="character" w:customStyle="1" w:styleId="CommentTextChar">
    <w:name w:val="Comment Text Char"/>
    <w:basedOn w:val="DefaultParagraphFont"/>
    <w:link w:val="CommentText"/>
    <w:uiPriority w:val="99"/>
    <w:rsid w:val="00492148"/>
    <w:rPr>
      <w:sz w:val="20"/>
      <w:szCs w:val="20"/>
    </w:rPr>
  </w:style>
  <w:style w:type="paragraph" w:styleId="CommentSubject">
    <w:name w:val="annotation subject"/>
    <w:basedOn w:val="CommentText"/>
    <w:next w:val="CommentText"/>
    <w:link w:val="CommentSubjectChar"/>
    <w:uiPriority w:val="99"/>
    <w:semiHidden/>
    <w:unhideWhenUsed/>
    <w:rsid w:val="00492148"/>
    <w:rPr>
      <w:b/>
      <w:bCs/>
    </w:rPr>
  </w:style>
  <w:style w:type="character" w:customStyle="1" w:styleId="CommentSubjectChar">
    <w:name w:val="Comment Subject Char"/>
    <w:basedOn w:val="CommentTextChar"/>
    <w:link w:val="CommentSubject"/>
    <w:uiPriority w:val="99"/>
    <w:semiHidden/>
    <w:rsid w:val="00492148"/>
    <w:rPr>
      <w:b/>
      <w:bCs/>
      <w:sz w:val="20"/>
      <w:szCs w:val="20"/>
    </w:rPr>
  </w:style>
  <w:style w:type="character" w:styleId="Hyperlink">
    <w:name w:val="Hyperlink"/>
    <w:basedOn w:val="DefaultParagraphFont"/>
    <w:uiPriority w:val="99"/>
    <w:unhideWhenUsed/>
    <w:rsid w:val="00492148"/>
    <w:rPr>
      <w:color w:val="467886" w:themeColor="hyperlink"/>
      <w:u w:val="single"/>
    </w:rPr>
  </w:style>
  <w:style w:type="character" w:styleId="UnresolvedMention">
    <w:name w:val="Unresolved Mention"/>
    <w:basedOn w:val="DefaultParagraphFont"/>
    <w:uiPriority w:val="99"/>
    <w:semiHidden/>
    <w:unhideWhenUsed/>
    <w:rsid w:val="00492148"/>
    <w:rPr>
      <w:color w:val="605E5C"/>
      <w:shd w:val="clear" w:color="auto" w:fill="E1DFDD"/>
    </w:rPr>
  </w:style>
  <w:style w:type="paragraph" w:styleId="NormalWeb">
    <w:name w:val="Normal (Web)"/>
    <w:basedOn w:val="Normal"/>
    <w:uiPriority w:val="99"/>
    <w:semiHidden/>
    <w:unhideWhenUsed/>
    <w:rsid w:val="00B717C4"/>
    <w:rPr>
      <w:rFonts w:ascii="Times New Roman" w:hAnsi="Times New Roman" w:cs="Times New Roman"/>
    </w:rPr>
  </w:style>
  <w:style w:type="paragraph" w:styleId="Header">
    <w:name w:val="header"/>
    <w:basedOn w:val="Normal"/>
    <w:link w:val="HeaderChar"/>
    <w:uiPriority w:val="99"/>
    <w:unhideWhenUsed/>
    <w:rsid w:val="002908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880"/>
  </w:style>
  <w:style w:type="paragraph" w:styleId="Footer">
    <w:name w:val="footer"/>
    <w:basedOn w:val="Normal"/>
    <w:link w:val="FooterChar"/>
    <w:uiPriority w:val="99"/>
    <w:unhideWhenUsed/>
    <w:rsid w:val="002908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880"/>
  </w:style>
  <w:style w:type="paragraph" w:styleId="Revision">
    <w:name w:val="Revision"/>
    <w:hidden/>
    <w:uiPriority w:val="99"/>
    <w:semiHidden/>
    <w:rsid w:val="00F4783B"/>
    <w:pPr>
      <w:spacing w:after="0" w:line="240" w:lineRule="auto"/>
    </w:pPr>
  </w:style>
  <w:style w:type="paragraph" w:styleId="FootnoteText">
    <w:name w:val="footnote text"/>
    <w:basedOn w:val="Normal"/>
    <w:link w:val="FootnoteTextChar"/>
    <w:uiPriority w:val="99"/>
    <w:unhideWhenUsed/>
    <w:rsid w:val="00C82BB6"/>
    <w:pPr>
      <w:spacing w:after="0" w:line="240" w:lineRule="auto"/>
    </w:pPr>
    <w:rPr>
      <w:sz w:val="20"/>
      <w:szCs w:val="20"/>
    </w:rPr>
  </w:style>
  <w:style w:type="character" w:customStyle="1" w:styleId="FootnoteTextChar">
    <w:name w:val="Footnote Text Char"/>
    <w:basedOn w:val="DefaultParagraphFont"/>
    <w:link w:val="FootnoteText"/>
    <w:uiPriority w:val="99"/>
    <w:rsid w:val="00C82BB6"/>
    <w:rPr>
      <w:sz w:val="20"/>
      <w:szCs w:val="20"/>
    </w:rPr>
  </w:style>
  <w:style w:type="character" w:styleId="FootnoteReference">
    <w:name w:val="footnote reference"/>
    <w:basedOn w:val="DefaultParagraphFont"/>
    <w:uiPriority w:val="99"/>
    <w:semiHidden/>
    <w:unhideWhenUsed/>
    <w:rsid w:val="00C82BB6"/>
    <w:rPr>
      <w:vertAlign w:val="superscript"/>
    </w:rPr>
  </w:style>
  <w:style w:type="paragraph" w:styleId="EndnoteText">
    <w:name w:val="endnote text"/>
    <w:basedOn w:val="Normal"/>
    <w:link w:val="EndnoteTextChar"/>
    <w:uiPriority w:val="99"/>
    <w:semiHidden/>
    <w:unhideWhenUsed/>
    <w:rsid w:val="00A81C1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81C1A"/>
    <w:rPr>
      <w:sz w:val="20"/>
      <w:szCs w:val="20"/>
    </w:rPr>
  </w:style>
  <w:style w:type="character" w:styleId="EndnoteReference">
    <w:name w:val="endnote reference"/>
    <w:basedOn w:val="DefaultParagraphFont"/>
    <w:uiPriority w:val="99"/>
    <w:semiHidden/>
    <w:unhideWhenUsed/>
    <w:rsid w:val="00A81C1A"/>
    <w:rPr>
      <w:vertAlign w:val="superscript"/>
    </w:rPr>
  </w:style>
  <w:style w:type="character" w:styleId="FollowedHyperlink">
    <w:name w:val="FollowedHyperlink"/>
    <w:basedOn w:val="DefaultParagraphFont"/>
    <w:uiPriority w:val="99"/>
    <w:semiHidden/>
    <w:unhideWhenUsed/>
    <w:rsid w:val="00EF2B4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744041">
      <w:bodyDiv w:val="1"/>
      <w:marLeft w:val="0"/>
      <w:marRight w:val="0"/>
      <w:marTop w:val="0"/>
      <w:marBottom w:val="0"/>
      <w:divBdr>
        <w:top w:val="none" w:sz="0" w:space="0" w:color="auto"/>
        <w:left w:val="none" w:sz="0" w:space="0" w:color="auto"/>
        <w:bottom w:val="none" w:sz="0" w:space="0" w:color="auto"/>
        <w:right w:val="none" w:sz="0" w:space="0" w:color="auto"/>
      </w:divBdr>
    </w:div>
    <w:div w:id="142281584">
      <w:bodyDiv w:val="1"/>
      <w:marLeft w:val="0"/>
      <w:marRight w:val="0"/>
      <w:marTop w:val="0"/>
      <w:marBottom w:val="0"/>
      <w:divBdr>
        <w:top w:val="none" w:sz="0" w:space="0" w:color="auto"/>
        <w:left w:val="none" w:sz="0" w:space="0" w:color="auto"/>
        <w:bottom w:val="none" w:sz="0" w:space="0" w:color="auto"/>
        <w:right w:val="none" w:sz="0" w:space="0" w:color="auto"/>
      </w:divBdr>
    </w:div>
    <w:div w:id="463275986">
      <w:bodyDiv w:val="1"/>
      <w:marLeft w:val="0"/>
      <w:marRight w:val="0"/>
      <w:marTop w:val="0"/>
      <w:marBottom w:val="0"/>
      <w:divBdr>
        <w:top w:val="none" w:sz="0" w:space="0" w:color="auto"/>
        <w:left w:val="none" w:sz="0" w:space="0" w:color="auto"/>
        <w:bottom w:val="none" w:sz="0" w:space="0" w:color="auto"/>
        <w:right w:val="none" w:sz="0" w:space="0" w:color="auto"/>
      </w:divBdr>
    </w:div>
    <w:div w:id="529950267">
      <w:bodyDiv w:val="1"/>
      <w:marLeft w:val="0"/>
      <w:marRight w:val="0"/>
      <w:marTop w:val="0"/>
      <w:marBottom w:val="0"/>
      <w:divBdr>
        <w:top w:val="none" w:sz="0" w:space="0" w:color="auto"/>
        <w:left w:val="none" w:sz="0" w:space="0" w:color="auto"/>
        <w:bottom w:val="none" w:sz="0" w:space="0" w:color="auto"/>
        <w:right w:val="none" w:sz="0" w:space="0" w:color="auto"/>
      </w:divBdr>
    </w:div>
    <w:div w:id="572856857">
      <w:bodyDiv w:val="1"/>
      <w:marLeft w:val="0"/>
      <w:marRight w:val="0"/>
      <w:marTop w:val="0"/>
      <w:marBottom w:val="0"/>
      <w:divBdr>
        <w:top w:val="none" w:sz="0" w:space="0" w:color="auto"/>
        <w:left w:val="none" w:sz="0" w:space="0" w:color="auto"/>
        <w:bottom w:val="none" w:sz="0" w:space="0" w:color="auto"/>
        <w:right w:val="none" w:sz="0" w:space="0" w:color="auto"/>
      </w:divBdr>
    </w:div>
    <w:div w:id="622854574">
      <w:bodyDiv w:val="1"/>
      <w:marLeft w:val="0"/>
      <w:marRight w:val="0"/>
      <w:marTop w:val="0"/>
      <w:marBottom w:val="0"/>
      <w:divBdr>
        <w:top w:val="none" w:sz="0" w:space="0" w:color="auto"/>
        <w:left w:val="none" w:sz="0" w:space="0" w:color="auto"/>
        <w:bottom w:val="none" w:sz="0" w:space="0" w:color="auto"/>
        <w:right w:val="none" w:sz="0" w:space="0" w:color="auto"/>
      </w:divBdr>
      <w:divsChild>
        <w:div w:id="200288291">
          <w:marLeft w:val="0"/>
          <w:marRight w:val="0"/>
          <w:marTop w:val="0"/>
          <w:marBottom w:val="0"/>
          <w:divBdr>
            <w:top w:val="none" w:sz="0" w:space="0" w:color="auto"/>
            <w:left w:val="none" w:sz="0" w:space="0" w:color="auto"/>
            <w:bottom w:val="none" w:sz="0" w:space="0" w:color="auto"/>
            <w:right w:val="none" w:sz="0" w:space="0" w:color="auto"/>
          </w:divBdr>
          <w:divsChild>
            <w:div w:id="107699901">
              <w:marLeft w:val="0"/>
              <w:marRight w:val="0"/>
              <w:marTop w:val="0"/>
              <w:marBottom w:val="0"/>
              <w:divBdr>
                <w:top w:val="none" w:sz="0" w:space="0" w:color="auto"/>
                <w:left w:val="none" w:sz="0" w:space="0" w:color="auto"/>
                <w:bottom w:val="none" w:sz="0" w:space="0" w:color="auto"/>
                <w:right w:val="none" w:sz="0" w:space="0" w:color="auto"/>
              </w:divBdr>
            </w:div>
          </w:divsChild>
        </w:div>
        <w:div w:id="1375305298">
          <w:marLeft w:val="0"/>
          <w:marRight w:val="0"/>
          <w:marTop w:val="0"/>
          <w:marBottom w:val="0"/>
          <w:divBdr>
            <w:top w:val="none" w:sz="0" w:space="0" w:color="auto"/>
            <w:left w:val="none" w:sz="0" w:space="0" w:color="auto"/>
            <w:bottom w:val="none" w:sz="0" w:space="0" w:color="auto"/>
            <w:right w:val="none" w:sz="0" w:space="0" w:color="auto"/>
          </w:divBdr>
          <w:divsChild>
            <w:div w:id="1680961746">
              <w:marLeft w:val="0"/>
              <w:marRight w:val="0"/>
              <w:marTop w:val="0"/>
              <w:marBottom w:val="0"/>
              <w:divBdr>
                <w:top w:val="none" w:sz="0" w:space="0" w:color="auto"/>
                <w:left w:val="none" w:sz="0" w:space="0" w:color="auto"/>
                <w:bottom w:val="none" w:sz="0" w:space="0" w:color="auto"/>
                <w:right w:val="none" w:sz="0" w:space="0" w:color="auto"/>
              </w:divBdr>
            </w:div>
          </w:divsChild>
        </w:div>
        <w:div w:id="1094203409">
          <w:marLeft w:val="0"/>
          <w:marRight w:val="0"/>
          <w:marTop w:val="0"/>
          <w:marBottom w:val="0"/>
          <w:divBdr>
            <w:top w:val="none" w:sz="0" w:space="0" w:color="auto"/>
            <w:left w:val="none" w:sz="0" w:space="0" w:color="auto"/>
            <w:bottom w:val="none" w:sz="0" w:space="0" w:color="auto"/>
            <w:right w:val="none" w:sz="0" w:space="0" w:color="auto"/>
          </w:divBdr>
        </w:div>
        <w:div w:id="1822842274">
          <w:marLeft w:val="0"/>
          <w:marRight w:val="0"/>
          <w:marTop w:val="0"/>
          <w:marBottom w:val="0"/>
          <w:divBdr>
            <w:top w:val="none" w:sz="0" w:space="0" w:color="auto"/>
            <w:left w:val="none" w:sz="0" w:space="0" w:color="auto"/>
            <w:bottom w:val="none" w:sz="0" w:space="0" w:color="auto"/>
            <w:right w:val="none" w:sz="0" w:space="0" w:color="auto"/>
          </w:divBdr>
        </w:div>
      </w:divsChild>
    </w:div>
    <w:div w:id="684867801">
      <w:bodyDiv w:val="1"/>
      <w:marLeft w:val="0"/>
      <w:marRight w:val="0"/>
      <w:marTop w:val="0"/>
      <w:marBottom w:val="0"/>
      <w:divBdr>
        <w:top w:val="none" w:sz="0" w:space="0" w:color="auto"/>
        <w:left w:val="none" w:sz="0" w:space="0" w:color="auto"/>
        <w:bottom w:val="none" w:sz="0" w:space="0" w:color="auto"/>
        <w:right w:val="none" w:sz="0" w:space="0" w:color="auto"/>
      </w:divBdr>
    </w:div>
    <w:div w:id="769811764">
      <w:bodyDiv w:val="1"/>
      <w:marLeft w:val="0"/>
      <w:marRight w:val="0"/>
      <w:marTop w:val="0"/>
      <w:marBottom w:val="0"/>
      <w:divBdr>
        <w:top w:val="none" w:sz="0" w:space="0" w:color="auto"/>
        <w:left w:val="none" w:sz="0" w:space="0" w:color="auto"/>
        <w:bottom w:val="none" w:sz="0" w:space="0" w:color="auto"/>
        <w:right w:val="none" w:sz="0" w:space="0" w:color="auto"/>
      </w:divBdr>
      <w:divsChild>
        <w:div w:id="313946771">
          <w:marLeft w:val="0"/>
          <w:marRight w:val="0"/>
          <w:marTop w:val="0"/>
          <w:marBottom w:val="0"/>
          <w:divBdr>
            <w:top w:val="none" w:sz="0" w:space="0" w:color="auto"/>
            <w:left w:val="none" w:sz="0" w:space="0" w:color="auto"/>
            <w:bottom w:val="none" w:sz="0" w:space="0" w:color="auto"/>
            <w:right w:val="none" w:sz="0" w:space="0" w:color="auto"/>
          </w:divBdr>
          <w:divsChild>
            <w:div w:id="273370615">
              <w:marLeft w:val="0"/>
              <w:marRight w:val="0"/>
              <w:marTop w:val="0"/>
              <w:marBottom w:val="0"/>
              <w:divBdr>
                <w:top w:val="none" w:sz="0" w:space="0" w:color="auto"/>
                <w:left w:val="none" w:sz="0" w:space="0" w:color="auto"/>
                <w:bottom w:val="none" w:sz="0" w:space="0" w:color="auto"/>
                <w:right w:val="none" w:sz="0" w:space="0" w:color="auto"/>
              </w:divBdr>
              <w:divsChild>
                <w:div w:id="1124080168">
                  <w:marLeft w:val="0"/>
                  <w:marRight w:val="0"/>
                  <w:marTop w:val="0"/>
                  <w:marBottom w:val="0"/>
                  <w:divBdr>
                    <w:top w:val="none" w:sz="0" w:space="0" w:color="auto"/>
                    <w:left w:val="none" w:sz="0" w:space="0" w:color="auto"/>
                    <w:bottom w:val="none" w:sz="0" w:space="0" w:color="auto"/>
                    <w:right w:val="none" w:sz="0" w:space="0" w:color="auto"/>
                  </w:divBdr>
                  <w:divsChild>
                    <w:div w:id="1202859897">
                      <w:marLeft w:val="0"/>
                      <w:marRight w:val="0"/>
                      <w:marTop w:val="0"/>
                      <w:marBottom w:val="0"/>
                      <w:divBdr>
                        <w:top w:val="none" w:sz="0" w:space="0" w:color="auto"/>
                        <w:left w:val="none" w:sz="0" w:space="0" w:color="auto"/>
                        <w:bottom w:val="none" w:sz="0" w:space="0" w:color="auto"/>
                        <w:right w:val="none" w:sz="0" w:space="0" w:color="auto"/>
                      </w:divBdr>
                      <w:divsChild>
                        <w:div w:id="1893073922">
                          <w:marLeft w:val="0"/>
                          <w:marRight w:val="0"/>
                          <w:marTop w:val="0"/>
                          <w:marBottom w:val="0"/>
                          <w:divBdr>
                            <w:top w:val="none" w:sz="0" w:space="0" w:color="auto"/>
                            <w:left w:val="none" w:sz="0" w:space="0" w:color="auto"/>
                            <w:bottom w:val="none" w:sz="0" w:space="0" w:color="auto"/>
                            <w:right w:val="none" w:sz="0" w:space="0" w:color="auto"/>
                          </w:divBdr>
                          <w:divsChild>
                            <w:div w:id="490634298">
                              <w:marLeft w:val="0"/>
                              <w:marRight w:val="0"/>
                              <w:marTop w:val="0"/>
                              <w:marBottom w:val="0"/>
                              <w:divBdr>
                                <w:top w:val="none" w:sz="0" w:space="0" w:color="auto"/>
                                <w:left w:val="none" w:sz="0" w:space="0" w:color="auto"/>
                                <w:bottom w:val="none" w:sz="0" w:space="0" w:color="auto"/>
                                <w:right w:val="none" w:sz="0" w:space="0" w:color="auto"/>
                              </w:divBdr>
                              <w:divsChild>
                                <w:div w:id="158084120">
                                  <w:marLeft w:val="0"/>
                                  <w:marRight w:val="0"/>
                                  <w:marTop w:val="0"/>
                                  <w:marBottom w:val="0"/>
                                  <w:divBdr>
                                    <w:top w:val="none" w:sz="0" w:space="0" w:color="auto"/>
                                    <w:left w:val="none" w:sz="0" w:space="0" w:color="auto"/>
                                    <w:bottom w:val="none" w:sz="0" w:space="0" w:color="auto"/>
                                    <w:right w:val="none" w:sz="0" w:space="0" w:color="auto"/>
                                  </w:divBdr>
                                  <w:divsChild>
                                    <w:div w:id="90533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956058">
      <w:bodyDiv w:val="1"/>
      <w:marLeft w:val="0"/>
      <w:marRight w:val="0"/>
      <w:marTop w:val="0"/>
      <w:marBottom w:val="0"/>
      <w:divBdr>
        <w:top w:val="none" w:sz="0" w:space="0" w:color="auto"/>
        <w:left w:val="none" w:sz="0" w:space="0" w:color="auto"/>
        <w:bottom w:val="none" w:sz="0" w:space="0" w:color="auto"/>
        <w:right w:val="none" w:sz="0" w:space="0" w:color="auto"/>
      </w:divBdr>
    </w:div>
    <w:div w:id="1076561303">
      <w:bodyDiv w:val="1"/>
      <w:marLeft w:val="0"/>
      <w:marRight w:val="0"/>
      <w:marTop w:val="0"/>
      <w:marBottom w:val="0"/>
      <w:divBdr>
        <w:top w:val="none" w:sz="0" w:space="0" w:color="auto"/>
        <w:left w:val="none" w:sz="0" w:space="0" w:color="auto"/>
        <w:bottom w:val="none" w:sz="0" w:space="0" w:color="auto"/>
        <w:right w:val="none" w:sz="0" w:space="0" w:color="auto"/>
      </w:divBdr>
    </w:div>
    <w:div w:id="1138650875">
      <w:bodyDiv w:val="1"/>
      <w:marLeft w:val="0"/>
      <w:marRight w:val="0"/>
      <w:marTop w:val="0"/>
      <w:marBottom w:val="0"/>
      <w:divBdr>
        <w:top w:val="none" w:sz="0" w:space="0" w:color="auto"/>
        <w:left w:val="none" w:sz="0" w:space="0" w:color="auto"/>
        <w:bottom w:val="none" w:sz="0" w:space="0" w:color="auto"/>
        <w:right w:val="none" w:sz="0" w:space="0" w:color="auto"/>
      </w:divBdr>
      <w:divsChild>
        <w:div w:id="125202124">
          <w:marLeft w:val="0"/>
          <w:marRight w:val="0"/>
          <w:marTop w:val="0"/>
          <w:marBottom w:val="0"/>
          <w:divBdr>
            <w:top w:val="none" w:sz="0" w:space="0" w:color="auto"/>
            <w:left w:val="none" w:sz="0" w:space="0" w:color="auto"/>
            <w:bottom w:val="none" w:sz="0" w:space="0" w:color="auto"/>
            <w:right w:val="none" w:sz="0" w:space="0" w:color="auto"/>
          </w:divBdr>
          <w:divsChild>
            <w:div w:id="143130747">
              <w:marLeft w:val="0"/>
              <w:marRight w:val="0"/>
              <w:marTop w:val="0"/>
              <w:marBottom w:val="0"/>
              <w:divBdr>
                <w:top w:val="none" w:sz="0" w:space="0" w:color="auto"/>
                <w:left w:val="none" w:sz="0" w:space="0" w:color="auto"/>
                <w:bottom w:val="none" w:sz="0" w:space="0" w:color="auto"/>
                <w:right w:val="none" w:sz="0" w:space="0" w:color="auto"/>
              </w:divBdr>
              <w:divsChild>
                <w:div w:id="9990379">
                  <w:marLeft w:val="0"/>
                  <w:marRight w:val="0"/>
                  <w:marTop w:val="0"/>
                  <w:marBottom w:val="0"/>
                  <w:divBdr>
                    <w:top w:val="none" w:sz="0" w:space="0" w:color="auto"/>
                    <w:left w:val="none" w:sz="0" w:space="0" w:color="auto"/>
                    <w:bottom w:val="none" w:sz="0" w:space="0" w:color="auto"/>
                    <w:right w:val="none" w:sz="0" w:space="0" w:color="auto"/>
                  </w:divBdr>
                  <w:divsChild>
                    <w:div w:id="626084896">
                      <w:marLeft w:val="0"/>
                      <w:marRight w:val="0"/>
                      <w:marTop w:val="0"/>
                      <w:marBottom w:val="0"/>
                      <w:divBdr>
                        <w:top w:val="none" w:sz="0" w:space="0" w:color="auto"/>
                        <w:left w:val="none" w:sz="0" w:space="0" w:color="auto"/>
                        <w:bottom w:val="none" w:sz="0" w:space="0" w:color="auto"/>
                        <w:right w:val="none" w:sz="0" w:space="0" w:color="auto"/>
                      </w:divBdr>
                      <w:divsChild>
                        <w:div w:id="815143562">
                          <w:marLeft w:val="0"/>
                          <w:marRight w:val="0"/>
                          <w:marTop w:val="0"/>
                          <w:marBottom w:val="0"/>
                          <w:divBdr>
                            <w:top w:val="none" w:sz="0" w:space="0" w:color="auto"/>
                            <w:left w:val="none" w:sz="0" w:space="0" w:color="auto"/>
                            <w:bottom w:val="none" w:sz="0" w:space="0" w:color="auto"/>
                            <w:right w:val="none" w:sz="0" w:space="0" w:color="auto"/>
                          </w:divBdr>
                          <w:divsChild>
                            <w:div w:id="1836844704">
                              <w:marLeft w:val="0"/>
                              <w:marRight w:val="0"/>
                              <w:marTop w:val="0"/>
                              <w:marBottom w:val="0"/>
                              <w:divBdr>
                                <w:top w:val="none" w:sz="0" w:space="0" w:color="auto"/>
                                <w:left w:val="none" w:sz="0" w:space="0" w:color="auto"/>
                                <w:bottom w:val="none" w:sz="0" w:space="0" w:color="auto"/>
                                <w:right w:val="none" w:sz="0" w:space="0" w:color="auto"/>
                              </w:divBdr>
                              <w:divsChild>
                                <w:div w:id="160316173">
                                  <w:marLeft w:val="0"/>
                                  <w:marRight w:val="0"/>
                                  <w:marTop w:val="0"/>
                                  <w:marBottom w:val="0"/>
                                  <w:divBdr>
                                    <w:top w:val="none" w:sz="0" w:space="0" w:color="auto"/>
                                    <w:left w:val="none" w:sz="0" w:space="0" w:color="auto"/>
                                    <w:bottom w:val="none" w:sz="0" w:space="0" w:color="auto"/>
                                    <w:right w:val="none" w:sz="0" w:space="0" w:color="auto"/>
                                  </w:divBdr>
                                  <w:divsChild>
                                    <w:div w:id="39107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9113413">
      <w:bodyDiv w:val="1"/>
      <w:marLeft w:val="0"/>
      <w:marRight w:val="0"/>
      <w:marTop w:val="0"/>
      <w:marBottom w:val="0"/>
      <w:divBdr>
        <w:top w:val="none" w:sz="0" w:space="0" w:color="auto"/>
        <w:left w:val="none" w:sz="0" w:space="0" w:color="auto"/>
        <w:bottom w:val="none" w:sz="0" w:space="0" w:color="auto"/>
        <w:right w:val="none" w:sz="0" w:space="0" w:color="auto"/>
      </w:divBdr>
      <w:divsChild>
        <w:div w:id="1255675510">
          <w:marLeft w:val="0"/>
          <w:marRight w:val="0"/>
          <w:marTop w:val="0"/>
          <w:marBottom w:val="0"/>
          <w:divBdr>
            <w:top w:val="none" w:sz="0" w:space="0" w:color="auto"/>
            <w:left w:val="none" w:sz="0" w:space="0" w:color="auto"/>
            <w:bottom w:val="none" w:sz="0" w:space="0" w:color="auto"/>
            <w:right w:val="none" w:sz="0" w:space="0" w:color="auto"/>
          </w:divBdr>
          <w:divsChild>
            <w:div w:id="1906988380">
              <w:marLeft w:val="0"/>
              <w:marRight w:val="0"/>
              <w:marTop w:val="0"/>
              <w:marBottom w:val="0"/>
              <w:divBdr>
                <w:top w:val="none" w:sz="0" w:space="0" w:color="auto"/>
                <w:left w:val="none" w:sz="0" w:space="0" w:color="auto"/>
                <w:bottom w:val="none" w:sz="0" w:space="0" w:color="auto"/>
                <w:right w:val="none" w:sz="0" w:space="0" w:color="auto"/>
              </w:divBdr>
            </w:div>
          </w:divsChild>
        </w:div>
        <w:div w:id="1128430474">
          <w:marLeft w:val="0"/>
          <w:marRight w:val="0"/>
          <w:marTop w:val="0"/>
          <w:marBottom w:val="0"/>
          <w:divBdr>
            <w:top w:val="none" w:sz="0" w:space="0" w:color="auto"/>
            <w:left w:val="none" w:sz="0" w:space="0" w:color="auto"/>
            <w:bottom w:val="none" w:sz="0" w:space="0" w:color="auto"/>
            <w:right w:val="none" w:sz="0" w:space="0" w:color="auto"/>
          </w:divBdr>
          <w:divsChild>
            <w:div w:id="1024749738">
              <w:marLeft w:val="0"/>
              <w:marRight w:val="0"/>
              <w:marTop w:val="0"/>
              <w:marBottom w:val="0"/>
              <w:divBdr>
                <w:top w:val="none" w:sz="0" w:space="0" w:color="auto"/>
                <w:left w:val="none" w:sz="0" w:space="0" w:color="auto"/>
                <w:bottom w:val="none" w:sz="0" w:space="0" w:color="auto"/>
                <w:right w:val="none" w:sz="0" w:space="0" w:color="auto"/>
              </w:divBdr>
            </w:div>
          </w:divsChild>
        </w:div>
        <w:div w:id="284314711">
          <w:marLeft w:val="0"/>
          <w:marRight w:val="0"/>
          <w:marTop w:val="0"/>
          <w:marBottom w:val="0"/>
          <w:divBdr>
            <w:top w:val="none" w:sz="0" w:space="0" w:color="auto"/>
            <w:left w:val="none" w:sz="0" w:space="0" w:color="auto"/>
            <w:bottom w:val="none" w:sz="0" w:space="0" w:color="auto"/>
            <w:right w:val="none" w:sz="0" w:space="0" w:color="auto"/>
          </w:divBdr>
        </w:div>
        <w:div w:id="976955307">
          <w:marLeft w:val="0"/>
          <w:marRight w:val="0"/>
          <w:marTop w:val="0"/>
          <w:marBottom w:val="0"/>
          <w:divBdr>
            <w:top w:val="none" w:sz="0" w:space="0" w:color="auto"/>
            <w:left w:val="none" w:sz="0" w:space="0" w:color="auto"/>
            <w:bottom w:val="none" w:sz="0" w:space="0" w:color="auto"/>
            <w:right w:val="none" w:sz="0" w:space="0" w:color="auto"/>
          </w:divBdr>
        </w:div>
      </w:divsChild>
    </w:div>
    <w:div w:id="1729188771">
      <w:bodyDiv w:val="1"/>
      <w:marLeft w:val="0"/>
      <w:marRight w:val="0"/>
      <w:marTop w:val="0"/>
      <w:marBottom w:val="0"/>
      <w:divBdr>
        <w:top w:val="none" w:sz="0" w:space="0" w:color="auto"/>
        <w:left w:val="none" w:sz="0" w:space="0" w:color="auto"/>
        <w:bottom w:val="none" w:sz="0" w:space="0" w:color="auto"/>
        <w:right w:val="none" w:sz="0" w:space="0" w:color="auto"/>
      </w:divBdr>
    </w:div>
    <w:div w:id="1790276705">
      <w:bodyDiv w:val="1"/>
      <w:marLeft w:val="0"/>
      <w:marRight w:val="0"/>
      <w:marTop w:val="0"/>
      <w:marBottom w:val="0"/>
      <w:divBdr>
        <w:top w:val="none" w:sz="0" w:space="0" w:color="auto"/>
        <w:left w:val="none" w:sz="0" w:space="0" w:color="auto"/>
        <w:bottom w:val="none" w:sz="0" w:space="0" w:color="auto"/>
        <w:right w:val="none" w:sz="0" w:space="0" w:color="auto"/>
      </w:divBdr>
    </w:div>
    <w:div w:id="1794783892">
      <w:bodyDiv w:val="1"/>
      <w:marLeft w:val="0"/>
      <w:marRight w:val="0"/>
      <w:marTop w:val="0"/>
      <w:marBottom w:val="0"/>
      <w:divBdr>
        <w:top w:val="none" w:sz="0" w:space="0" w:color="auto"/>
        <w:left w:val="none" w:sz="0" w:space="0" w:color="auto"/>
        <w:bottom w:val="none" w:sz="0" w:space="0" w:color="auto"/>
        <w:right w:val="none" w:sz="0" w:space="0" w:color="auto"/>
      </w:divBdr>
    </w:div>
    <w:div w:id="2032950843">
      <w:bodyDiv w:val="1"/>
      <w:marLeft w:val="0"/>
      <w:marRight w:val="0"/>
      <w:marTop w:val="0"/>
      <w:marBottom w:val="0"/>
      <w:divBdr>
        <w:top w:val="none" w:sz="0" w:space="0" w:color="auto"/>
        <w:left w:val="none" w:sz="0" w:space="0" w:color="auto"/>
        <w:bottom w:val="none" w:sz="0" w:space="0" w:color="auto"/>
        <w:right w:val="none" w:sz="0" w:space="0" w:color="auto"/>
      </w:divBdr>
    </w:div>
    <w:div w:id="2089882340">
      <w:bodyDiv w:val="1"/>
      <w:marLeft w:val="0"/>
      <w:marRight w:val="0"/>
      <w:marTop w:val="0"/>
      <w:marBottom w:val="0"/>
      <w:divBdr>
        <w:top w:val="none" w:sz="0" w:space="0" w:color="auto"/>
        <w:left w:val="none" w:sz="0" w:space="0" w:color="auto"/>
        <w:bottom w:val="none" w:sz="0" w:space="0" w:color="auto"/>
        <w:right w:val="none" w:sz="0" w:space="0" w:color="auto"/>
      </w:divBdr>
    </w:div>
    <w:div w:id="209218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s://moodle.uwtsd.ac.uk/course/view.php?id=10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454A95-5B0A-465D-949E-9EA9B6843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2749</Words>
  <Characters>15675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Guy (2404993)</dc:creator>
  <cp:keywords/>
  <dc:description/>
  <cp:lastModifiedBy>Chris Guy (2404993)</cp:lastModifiedBy>
  <cp:revision>2</cp:revision>
  <dcterms:created xsi:type="dcterms:W3CDTF">2025-03-16T21:51:00Z</dcterms:created>
  <dcterms:modified xsi:type="dcterms:W3CDTF">2025-03-16T21:51:00Z</dcterms:modified>
</cp:coreProperties>
</file>