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F9D290" w14:textId="577E7B71" w:rsidR="007D2374" w:rsidRDefault="007D2374" w:rsidP="007D2374">
      <w:pPr>
        <w:pStyle w:val="NormalWeb"/>
        <w:spacing w:before="0" w:beforeAutospacing="0" w:after="0" w:afterAutospacing="0"/>
        <w:ind w:left="-180" w:right="-334"/>
      </w:pPr>
      <w:r>
        <w:rPr>
          <w:noProof/>
          <w:lang w:val="en-US" w:eastAsia="en-US"/>
        </w:rPr>
        <w:drawing>
          <wp:inline distT="0" distB="0" distL="0" distR="0" wp14:anchorId="413DFC03" wp14:editId="3D35E427">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80F9F20" w14:textId="77777777" w:rsidR="007D2374" w:rsidRDefault="007D2374" w:rsidP="007D2374">
      <w:pPr>
        <w:pStyle w:val="NormalWeb"/>
        <w:spacing w:before="0" w:beforeAutospacing="0" w:after="0" w:afterAutospacing="0"/>
        <w:ind w:left="-180" w:right="-334"/>
      </w:pPr>
    </w:p>
    <w:p w14:paraId="3A586D0A" w14:textId="77777777" w:rsidR="007D2374" w:rsidRDefault="007D2374" w:rsidP="007D2374">
      <w:pPr>
        <w:pStyle w:val="NormalWeb"/>
        <w:spacing w:before="0" w:beforeAutospacing="0" w:after="0" w:afterAutospacing="0"/>
        <w:ind w:left="-180" w:right="-334"/>
      </w:pPr>
    </w:p>
    <w:p w14:paraId="6D5BDE04" w14:textId="77777777" w:rsidR="007D2374" w:rsidRDefault="007D2374" w:rsidP="007D237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86120EF" w14:textId="77777777" w:rsidR="007D2374" w:rsidRPr="00230F35" w:rsidRDefault="007D2374" w:rsidP="007D237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13956CD" w14:textId="77777777" w:rsidR="007D2374" w:rsidRPr="00230F35" w:rsidRDefault="007D2374" w:rsidP="007D2374">
      <w:pPr>
        <w:rPr>
          <w:rFonts w:ascii="Arial" w:hAnsi="Arial" w:cs="Arial"/>
          <w:sz w:val="28"/>
          <w:szCs w:val="28"/>
          <w:lang w:val="cy-GB"/>
        </w:rPr>
      </w:pPr>
    </w:p>
    <w:p w14:paraId="4FC3D88E" w14:textId="77777777" w:rsidR="007D2374" w:rsidRDefault="007D2374" w:rsidP="007D2374">
      <w:pPr>
        <w:pStyle w:val="Heading3"/>
        <w:jc w:val="center"/>
        <w:rPr>
          <w:lang w:val="cy-GB"/>
        </w:rPr>
      </w:pPr>
      <w:r>
        <w:rPr>
          <w:lang w:val="cy-GB"/>
        </w:rPr>
        <w:t>THIS SHEET MUST BE THE FIRST PAGE OF THE ASSIGNMENT YOU ARE SUBMITTING  (DO NOT SEND AS A SEPARATE FILE)</w:t>
      </w:r>
    </w:p>
    <w:p w14:paraId="27579083" w14:textId="77777777" w:rsidR="007D2374" w:rsidRDefault="007D2374" w:rsidP="007D237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48"/>
        <w:gridCol w:w="419"/>
        <w:gridCol w:w="1486"/>
        <w:gridCol w:w="279"/>
        <w:gridCol w:w="1784"/>
      </w:tblGrid>
      <w:tr w:rsidR="007D2374" w:rsidRPr="00230F35" w14:paraId="3C794378" w14:textId="77777777" w:rsidTr="007D2374">
        <w:trPr>
          <w:trHeight w:val="614"/>
        </w:trPr>
        <w:tc>
          <w:tcPr>
            <w:tcW w:w="8856" w:type="dxa"/>
            <w:gridSpan w:val="5"/>
          </w:tcPr>
          <w:p w14:paraId="654FABA8" w14:textId="77777777"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D2374" w:rsidRPr="00230F35" w14:paraId="0B054183" w14:textId="77777777" w:rsidTr="007D2374">
        <w:trPr>
          <w:trHeight w:val="718"/>
        </w:trPr>
        <w:tc>
          <w:tcPr>
            <w:tcW w:w="8856" w:type="dxa"/>
            <w:gridSpan w:val="5"/>
          </w:tcPr>
          <w:p w14:paraId="131E1A9A" w14:textId="39D0EBDD" w:rsidR="007D2374"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Gabrielle Mooney</w:t>
            </w:r>
          </w:p>
          <w:p w14:paraId="04EF4EC8" w14:textId="77777777" w:rsidR="007D2374" w:rsidRPr="00230F35" w:rsidRDefault="007D2374" w:rsidP="007D2374">
            <w:pPr>
              <w:pStyle w:val="NormalWeb"/>
              <w:spacing w:before="0" w:beforeAutospacing="0" w:after="0" w:afterAutospacing="0"/>
              <w:ind w:right="34"/>
              <w:rPr>
                <w:rFonts w:ascii="Arial" w:hAnsi="Arial" w:cs="Arial"/>
                <w:sz w:val="22"/>
                <w:szCs w:val="22"/>
              </w:rPr>
            </w:pPr>
          </w:p>
          <w:p w14:paraId="6BADF10C" w14:textId="1EF53D0D"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1905543@student.uwtsd.ac.uk</w:t>
            </w:r>
          </w:p>
        </w:tc>
      </w:tr>
      <w:tr w:rsidR="007D2374" w:rsidRPr="00230F35" w14:paraId="0F83472F" w14:textId="77777777" w:rsidTr="007D2374">
        <w:trPr>
          <w:trHeight w:val="849"/>
        </w:trPr>
        <w:tc>
          <w:tcPr>
            <w:tcW w:w="4788" w:type="dxa"/>
          </w:tcPr>
          <w:p w14:paraId="63AF04A5" w14:textId="4133E54D"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4C5227C6" w14:textId="77777777" w:rsidR="007D2374" w:rsidRPr="00230F35" w:rsidRDefault="007D2374" w:rsidP="007D2374">
            <w:pPr>
              <w:pStyle w:val="NormalWeb"/>
              <w:spacing w:before="0" w:beforeAutospacing="0" w:after="0" w:afterAutospacing="0"/>
              <w:ind w:right="34"/>
              <w:rPr>
                <w:rFonts w:ascii="Arial" w:hAnsi="Arial" w:cs="Arial"/>
                <w:sz w:val="22"/>
                <w:szCs w:val="22"/>
              </w:rPr>
            </w:pPr>
          </w:p>
          <w:p w14:paraId="06CCBE1C" w14:textId="7FE06BFC" w:rsidR="007D2374"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for the Study of Ancient Religions</w:t>
            </w:r>
          </w:p>
          <w:p w14:paraId="33FD6917" w14:textId="77777777" w:rsidR="007D2374" w:rsidRPr="00230F35" w:rsidRDefault="007D2374" w:rsidP="007D2374">
            <w:pPr>
              <w:pStyle w:val="NormalWeb"/>
              <w:spacing w:before="0" w:beforeAutospacing="0" w:after="0" w:afterAutospacing="0"/>
              <w:ind w:right="34"/>
              <w:rPr>
                <w:rFonts w:ascii="Arial" w:hAnsi="Arial" w:cs="Arial"/>
                <w:sz w:val="22"/>
                <w:szCs w:val="22"/>
              </w:rPr>
            </w:pPr>
          </w:p>
        </w:tc>
        <w:tc>
          <w:tcPr>
            <w:tcW w:w="2266" w:type="dxa"/>
            <w:gridSpan w:val="3"/>
          </w:tcPr>
          <w:p w14:paraId="5F9B9ABB" w14:textId="77777777" w:rsidR="007D2374"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F8BDF42" w14:textId="77777777" w:rsidR="007D2374" w:rsidRDefault="007D2374" w:rsidP="007D2374">
            <w:pPr>
              <w:pStyle w:val="NormalWeb"/>
              <w:spacing w:before="0" w:beforeAutospacing="0" w:after="0" w:afterAutospacing="0"/>
              <w:ind w:right="34"/>
              <w:rPr>
                <w:rFonts w:ascii="Arial" w:hAnsi="Arial" w:cs="Arial"/>
                <w:sz w:val="22"/>
                <w:szCs w:val="22"/>
              </w:rPr>
            </w:pPr>
          </w:p>
          <w:p w14:paraId="1BB55B9E" w14:textId="6400D352" w:rsidR="007D2374" w:rsidRPr="00230F35" w:rsidRDefault="007D2374" w:rsidP="007D2374">
            <w:pPr>
              <w:pStyle w:val="NormalWeb"/>
              <w:spacing w:before="0" w:beforeAutospacing="0" w:after="0" w:afterAutospacing="0"/>
              <w:ind w:right="34"/>
              <w:rPr>
                <w:rFonts w:ascii="Arial" w:hAnsi="Arial" w:cs="Arial"/>
                <w:sz w:val="22"/>
                <w:szCs w:val="22"/>
              </w:rPr>
            </w:pPr>
            <w:r>
              <w:rPr>
                <w:rFonts w:ascii="Arial" w:hAnsi="Arial" w:cs="Arial"/>
                <w:sz w:val="22"/>
                <w:szCs w:val="22"/>
              </w:rPr>
              <w:t>1905543</w:t>
            </w:r>
          </w:p>
        </w:tc>
        <w:tc>
          <w:tcPr>
            <w:tcW w:w="1802" w:type="dxa"/>
          </w:tcPr>
          <w:p w14:paraId="17888216" w14:textId="77777777"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F3369E" w14:textId="77777777" w:rsidR="007D2374" w:rsidRPr="00230F35" w:rsidRDefault="007D2374" w:rsidP="007D2374">
            <w:pPr>
              <w:pStyle w:val="NormalWeb"/>
              <w:spacing w:before="0" w:beforeAutospacing="0" w:after="0" w:afterAutospacing="0"/>
              <w:ind w:right="34"/>
              <w:rPr>
                <w:rFonts w:ascii="Arial" w:hAnsi="Arial" w:cs="Arial"/>
                <w:sz w:val="22"/>
                <w:szCs w:val="22"/>
              </w:rPr>
            </w:pPr>
            <w:r w:rsidRPr="007D2374">
              <w:rPr>
                <w:rFonts w:ascii="Arial" w:hAnsi="Arial" w:cs="Arial"/>
                <w:b/>
                <w:sz w:val="22"/>
                <w:szCs w:val="22"/>
              </w:rPr>
              <w:t>Yes</w:t>
            </w:r>
            <w:r w:rsidRPr="00230F35">
              <w:rPr>
                <w:rFonts w:ascii="Arial" w:hAnsi="Arial" w:cs="Arial"/>
                <w:sz w:val="22"/>
                <w:szCs w:val="22"/>
              </w:rPr>
              <w:t>/</w:t>
            </w:r>
            <w:r w:rsidRPr="007D2374">
              <w:rPr>
                <w:rFonts w:ascii="Arial" w:hAnsi="Arial" w:cs="Arial"/>
                <w:dstrike/>
                <w:sz w:val="22"/>
                <w:szCs w:val="22"/>
              </w:rPr>
              <w:t>No</w:t>
            </w:r>
          </w:p>
        </w:tc>
      </w:tr>
      <w:tr w:rsidR="007D2374" w:rsidRPr="00230F35" w14:paraId="728B7F0A" w14:textId="77777777" w:rsidTr="007D2374">
        <w:trPr>
          <w:trHeight w:val="1139"/>
        </w:trPr>
        <w:tc>
          <w:tcPr>
            <w:tcW w:w="8856" w:type="dxa"/>
            <w:gridSpan w:val="5"/>
          </w:tcPr>
          <w:p w14:paraId="3A4E8C40" w14:textId="7C572508"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AA2445">
              <w:rPr>
                <w:rFonts w:ascii="Arial" w:hAnsi="Arial" w:cs="Arial"/>
                <w:sz w:val="22"/>
                <w:szCs w:val="22"/>
              </w:rPr>
              <w:t>Short Essay – Sacred Texts in Ancient Religions</w:t>
            </w:r>
          </w:p>
          <w:p w14:paraId="7267333C" w14:textId="77777777" w:rsidR="007D2374" w:rsidRPr="00230F35" w:rsidRDefault="007D2374" w:rsidP="007D2374">
            <w:pPr>
              <w:pStyle w:val="NormalWeb"/>
              <w:spacing w:before="0" w:beforeAutospacing="0" w:after="0" w:afterAutospacing="0"/>
              <w:ind w:right="34"/>
              <w:rPr>
                <w:rFonts w:ascii="Arial" w:hAnsi="Arial" w:cs="Arial"/>
                <w:sz w:val="22"/>
                <w:szCs w:val="22"/>
              </w:rPr>
            </w:pPr>
          </w:p>
          <w:p w14:paraId="7C2589A4" w14:textId="77777777" w:rsidR="007D2374" w:rsidRDefault="007D2374" w:rsidP="007D2374">
            <w:pPr>
              <w:pStyle w:val="NormalWeb"/>
              <w:spacing w:before="0" w:beforeAutospacing="0" w:after="0" w:afterAutospacing="0"/>
              <w:ind w:right="34"/>
              <w:rPr>
                <w:rFonts w:ascii="Arial" w:hAnsi="Arial" w:cs="Arial"/>
                <w:sz w:val="22"/>
                <w:szCs w:val="22"/>
              </w:rPr>
            </w:pPr>
          </w:p>
          <w:p w14:paraId="471E5ABA" w14:textId="2D7FA7C0"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A2445">
              <w:rPr>
                <w:rFonts w:ascii="Arial" w:hAnsi="Arial" w:cs="Arial"/>
                <w:sz w:val="22"/>
                <w:szCs w:val="22"/>
              </w:rPr>
              <w:t xml:space="preserve"> 31/01/2020 (differentiated date)</w:t>
            </w:r>
          </w:p>
        </w:tc>
      </w:tr>
      <w:tr w:rsidR="007D2374" w:rsidRPr="00230F35" w14:paraId="3FFFC6AB" w14:textId="77777777" w:rsidTr="007D2374">
        <w:trPr>
          <w:trHeight w:val="978"/>
        </w:trPr>
        <w:tc>
          <w:tcPr>
            <w:tcW w:w="8856" w:type="dxa"/>
            <w:gridSpan w:val="5"/>
            <w:tcBorders>
              <w:bottom w:val="single" w:sz="4" w:space="0" w:color="000000"/>
            </w:tcBorders>
          </w:tcPr>
          <w:p w14:paraId="6C958AEE" w14:textId="1F9398BC" w:rsidR="007D2374" w:rsidRPr="00230F35" w:rsidRDefault="007D2374" w:rsidP="00AA244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AA2445">
              <w:rPr>
                <w:rFonts w:ascii="Arial" w:hAnsi="Arial" w:cs="Arial"/>
                <w:sz w:val="22"/>
                <w:szCs w:val="22"/>
              </w:rPr>
              <w:fldChar w:fldCharType="begin">
                <w:ffData>
                  <w:name w:val="Check15"/>
                  <w:enabled/>
                  <w:calcOnExit w:val="0"/>
                  <w:checkBox>
                    <w:sizeAuto/>
                    <w:default w:val="1"/>
                  </w:checkBox>
                </w:ffData>
              </w:fldChar>
            </w:r>
            <w:bookmarkStart w:id="2" w:name="Check15"/>
            <w:r w:rsidR="00AA2445">
              <w:rPr>
                <w:rFonts w:ascii="Arial" w:hAnsi="Arial" w:cs="Arial"/>
                <w:sz w:val="22"/>
                <w:szCs w:val="22"/>
              </w:rPr>
              <w:instrText xml:space="preserve"> FORMCHECKBOX </w:instrText>
            </w:r>
            <w:r w:rsidR="00AA2445">
              <w:rPr>
                <w:rFonts w:ascii="Arial" w:hAnsi="Arial" w:cs="Arial"/>
                <w:sz w:val="22"/>
                <w:szCs w:val="22"/>
              </w:rPr>
            </w:r>
            <w:r w:rsidR="00AA244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D2374" w:rsidRPr="00230F35" w14:paraId="23B41530" w14:textId="77777777" w:rsidTr="007D2374">
        <w:trPr>
          <w:trHeight w:val="978"/>
        </w:trPr>
        <w:tc>
          <w:tcPr>
            <w:tcW w:w="8856" w:type="dxa"/>
            <w:gridSpan w:val="5"/>
            <w:shd w:val="clear" w:color="auto" w:fill="D9D9D9"/>
          </w:tcPr>
          <w:p w14:paraId="527571DA" w14:textId="77777777" w:rsidR="007D2374" w:rsidRPr="00230F35"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E9D88F7" w14:textId="766BB63A" w:rsidR="007D2374" w:rsidRDefault="007D2374" w:rsidP="007D23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A2445">
              <w:rPr>
                <w:rFonts w:ascii="Arial" w:hAnsi="Arial" w:cs="Arial"/>
                <w:noProof/>
                <w:sz w:val="22"/>
                <w:szCs w:val="22"/>
                <w:lang w:val="en-US" w:eastAsia="en-US"/>
              </w:rPr>
              <w:drawing>
                <wp:inline distT="0" distB="0" distL="0" distR="0" wp14:anchorId="1D3AB38D" wp14:editId="2AC0AFD7">
                  <wp:extent cx="2514600" cy="3327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bbysig2.png"/>
                          <pic:cNvPicPr/>
                        </pic:nvPicPr>
                        <pic:blipFill>
                          <a:blip r:embed="rId9">
                            <a:extLst>
                              <a:ext uri="{28A0092B-C50C-407E-A947-70E740481C1C}">
                                <a14:useLocalDpi xmlns:a14="http://schemas.microsoft.com/office/drawing/2010/main" val="0"/>
                              </a:ext>
                            </a:extLst>
                          </a:blip>
                          <a:stretch>
                            <a:fillRect/>
                          </a:stretch>
                        </pic:blipFill>
                        <pic:spPr>
                          <a:xfrm>
                            <a:off x="0" y="0"/>
                            <a:ext cx="2516429" cy="332943"/>
                          </a:xfrm>
                          <a:prstGeom prst="rect">
                            <a:avLst/>
                          </a:prstGeom>
                        </pic:spPr>
                      </pic:pic>
                    </a:graphicData>
                  </a:graphic>
                </wp:inline>
              </w:drawing>
            </w:r>
            <w:r w:rsidRPr="00230F35">
              <w:rPr>
                <w:rFonts w:ascii="Arial" w:hAnsi="Arial" w:cs="Arial"/>
                <w:sz w:val="22"/>
                <w:szCs w:val="22"/>
              </w:rPr>
              <w:t>……………</w:t>
            </w:r>
          </w:p>
          <w:p w14:paraId="7C9C6496" w14:textId="77777777" w:rsidR="007D2374" w:rsidRDefault="007D2374" w:rsidP="007D237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16CBCE3F" w14:textId="77777777" w:rsidR="007D2374" w:rsidRPr="00230F35" w:rsidRDefault="007D2374" w:rsidP="007D237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D2374" w:rsidRPr="00230F35" w14:paraId="7862EC55" w14:textId="77777777" w:rsidTr="007D2374">
        <w:trPr>
          <w:trHeight w:val="3972"/>
        </w:trPr>
        <w:tc>
          <w:tcPr>
            <w:tcW w:w="8856" w:type="dxa"/>
            <w:gridSpan w:val="5"/>
          </w:tcPr>
          <w:p w14:paraId="4E9DA528" w14:textId="77777777" w:rsidR="007D2374" w:rsidRDefault="007D2374" w:rsidP="007D2374">
            <w:pPr>
              <w:rPr>
                <w:rFonts w:ascii="Arial" w:hAnsi="Arial"/>
                <w:b/>
              </w:rPr>
            </w:pPr>
          </w:p>
          <w:p w14:paraId="10D5DDC1" w14:textId="77777777" w:rsidR="007D2374" w:rsidRPr="00116CE6" w:rsidRDefault="007D2374" w:rsidP="007D237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7D2374" w:rsidRPr="00116CE6" w14:paraId="312AA27F" w14:textId="77777777" w:rsidTr="007D2374">
              <w:tc>
                <w:tcPr>
                  <w:tcW w:w="6970" w:type="dxa"/>
                </w:tcPr>
                <w:p w14:paraId="77A8F001" w14:textId="77777777" w:rsidR="007D2374" w:rsidRPr="00116CE6" w:rsidRDefault="007D2374" w:rsidP="007D2374">
                  <w:pPr>
                    <w:rPr>
                      <w:rFonts w:ascii="Arial" w:hAnsi="Arial"/>
                      <w:sz w:val="20"/>
                      <w:szCs w:val="20"/>
                    </w:rPr>
                  </w:pPr>
                </w:p>
                <w:p w14:paraId="270C4DBA" w14:textId="77777777" w:rsidR="007D2374" w:rsidRPr="00116CE6" w:rsidRDefault="007D2374" w:rsidP="007D237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E0E99AF" w14:textId="77777777" w:rsidR="007D2374" w:rsidRPr="00116CE6" w:rsidRDefault="007D2374" w:rsidP="007D2374">
                  <w:pPr>
                    <w:rPr>
                      <w:rFonts w:ascii="Arial" w:hAnsi="Arial"/>
                      <w:sz w:val="20"/>
                      <w:szCs w:val="20"/>
                    </w:rPr>
                  </w:pPr>
                </w:p>
              </w:tc>
            </w:tr>
            <w:tr w:rsidR="007D2374" w:rsidRPr="00116CE6" w14:paraId="1487FD17" w14:textId="77777777" w:rsidTr="007D2374">
              <w:tc>
                <w:tcPr>
                  <w:tcW w:w="6970" w:type="dxa"/>
                </w:tcPr>
                <w:p w14:paraId="4BA8A665" w14:textId="77777777" w:rsidR="007D2374" w:rsidRPr="00116CE6" w:rsidRDefault="007D2374" w:rsidP="007D2374">
                  <w:pPr>
                    <w:rPr>
                      <w:rFonts w:ascii="Arial" w:hAnsi="Arial"/>
                      <w:sz w:val="20"/>
                      <w:szCs w:val="20"/>
                    </w:rPr>
                  </w:pPr>
                </w:p>
                <w:p w14:paraId="20045CBE" w14:textId="77777777" w:rsidR="007D2374" w:rsidRPr="00116CE6" w:rsidRDefault="007D2374" w:rsidP="007D237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26695A6" w14:textId="77777777" w:rsidR="007D2374" w:rsidRPr="00116CE6" w:rsidRDefault="007D2374" w:rsidP="007D2374">
                  <w:pPr>
                    <w:rPr>
                      <w:rFonts w:ascii="Arial" w:hAnsi="Arial"/>
                      <w:sz w:val="20"/>
                      <w:szCs w:val="20"/>
                    </w:rPr>
                  </w:pPr>
                </w:p>
              </w:tc>
            </w:tr>
            <w:tr w:rsidR="007D2374" w:rsidRPr="00116CE6" w14:paraId="36273510" w14:textId="77777777" w:rsidTr="007D2374">
              <w:tc>
                <w:tcPr>
                  <w:tcW w:w="6970" w:type="dxa"/>
                </w:tcPr>
                <w:p w14:paraId="40051187" w14:textId="77777777" w:rsidR="007D2374" w:rsidRPr="00116CE6" w:rsidRDefault="007D2374" w:rsidP="007D2374">
                  <w:pPr>
                    <w:rPr>
                      <w:rFonts w:ascii="Arial" w:hAnsi="Arial"/>
                      <w:sz w:val="20"/>
                      <w:szCs w:val="20"/>
                    </w:rPr>
                  </w:pPr>
                </w:p>
                <w:p w14:paraId="1D7E4E66" w14:textId="77777777" w:rsidR="007D2374" w:rsidRPr="00116CE6" w:rsidRDefault="007D2374" w:rsidP="007D237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192572E" w14:textId="77777777" w:rsidR="007D2374" w:rsidRPr="00116CE6" w:rsidRDefault="007D2374" w:rsidP="007D2374">
                  <w:pPr>
                    <w:rPr>
                      <w:rFonts w:ascii="Arial" w:hAnsi="Arial"/>
                      <w:sz w:val="20"/>
                      <w:szCs w:val="20"/>
                    </w:rPr>
                  </w:pPr>
                </w:p>
              </w:tc>
            </w:tr>
            <w:tr w:rsidR="007D2374" w:rsidRPr="00116CE6" w14:paraId="55DA211A" w14:textId="77777777" w:rsidTr="007D2374">
              <w:tc>
                <w:tcPr>
                  <w:tcW w:w="6970" w:type="dxa"/>
                </w:tcPr>
                <w:p w14:paraId="192B66E1" w14:textId="77777777" w:rsidR="007D2374" w:rsidRDefault="007D2374" w:rsidP="007D2374">
                  <w:pPr>
                    <w:rPr>
                      <w:rFonts w:ascii="Arial" w:hAnsi="Arial"/>
                      <w:sz w:val="20"/>
                      <w:szCs w:val="20"/>
                    </w:rPr>
                  </w:pPr>
                </w:p>
                <w:p w14:paraId="311684D4" w14:textId="77777777" w:rsidR="007D2374" w:rsidRPr="00022345" w:rsidRDefault="007D2374" w:rsidP="007D2374">
                  <w:pPr>
                    <w:rPr>
                      <w:rFonts w:ascii="Arial" w:hAnsi="Arial"/>
                      <w:b/>
                      <w:sz w:val="20"/>
                      <w:szCs w:val="20"/>
                    </w:rPr>
                  </w:pPr>
                  <w:r w:rsidRPr="00022345">
                    <w:rPr>
                      <w:rFonts w:ascii="Arial" w:hAnsi="Arial"/>
                      <w:b/>
                      <w:sz w:val="20"/>
                      <w:szCs w:val="20"/>
                    </w:rPr>
                    <w:t>Final Mark</w:t>
                  </w:r>
                </w:p>
                <w:p w14:paraId="47F2909B" w14:textId="77777777" w:rsidR="007D2374" w:rsidRPr="00116CE6" w:rsidRDefault="007D2374" w:rsidP="007D2374">
                  <w:pPr>
                    <w:rPr>
                      <w:rFonts w:ascii="Arial" w:hAnsi="Arial"/>
                      <w:sz w:val="20"/>
                      <w:szCs w:val="20"/>
                    </w:rPr>
                  </w:pPr>
                </w:p>
              </w:tc>
              <w:tc>
                <w:tcPr>
                  <w:tcW w:w="1660" w:type="dxa"/>
                </w:tcPr>
                <w:p w14:paraId="3FA2711C" w14:textId="77777777" w:rsidR="007D2374" w:rsidRPr="00116CE6" w:rsidRDefault="007D2374" w:rsidP="007D2374">
                  <w:pPr>
                    <w:rPr>
                      <w:rFonts w:ascii="Arial" w:hAnsi="Arial"/>
                      <w:sz w:val="20"/>
                      <w:szCs w:val="20"/>
                    </w:rPr>
                  </w:pPr>
                </w:p>
              </w:tc>
            </w:tr>
          </w:tbl>
          <w:p w14:paraId="2C34CBCC" w14:textId="77777777" w:rsidR="007D2374" w:rsidRDefault="007D2374" w:rsidP="007D2374">
            <w:pPr>
              <w:pStyle w:val="NormalWeb"/>
              <w:spacing w:before="0" w:beforeAutospacing="0" w:after="0" w:afterAutospacing="0"/>
              <w:ind w:left="142" w:right="34"/>
              <w:rPr>
                <w:rFonts w:ascii="Arial" w:hAnsi="Arial" w:cs="Arial"/>
                <w:b/>
                <w:sz w:val="22"/>
                <w:szCs w:val="22"/>
              </w:rPr>
            </w:pPr>
          </w:p>
          <w:p w14:paraId="007B136D" w14:textId="77777777" w:rsidR="007D2374" w:rsidRPr="00230F35" w:rsidRDefault="007D2374" w:rsidP="007D237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A4E690" w14:textId="77777777" w:rsidR="007D2374" w:rsidRDefault="007D2374" w:rsidP="007D2374">
            <w:pPr>
              <w:pStyle w:val="NormalWeb"/>
              <w:spacing w:before="0" w:beforeAutospacing="0" w:after="0" w:afterAutospacing="0"/>
              <w:rPr>
                <w:rFonts w:ascii="Arial" w:hAnsi="Arial" w:cs="Arial"/>
                <w:b/>
                <w:sz w:val="22"/>
                <w:szCs w:val="22"/>
              </w:rPr>
            </w:pPr>
          </w:p>
          <w:p w14:paraId="2D2DCB00" w14:textId="77777777" w:rsidR="007D2374" w:rsidRDefault="007D2374" w:rsidP="007D2374">
            <w:pPr>
              <w:pStyle w:val="NormalWeb"/>
              <w:spacing w:before="0" w:beforeAutospacing="0" w:after="0" w:afterAutospacing="0"/>
              <w:rPr>
                <w:rFonts w:ascii="Arial" w:hAnsi="Arial" w:cs="Arial"/>
                <w:b/>
                <w:sz w:val="22"/>
                <w:szCs w:val="22"/>
              </w:rPr>
            </w:pPr>
          </w:p>
          <w:p w14:paraId="50D1962E" w14:textId="77777777" w:rsidR="007D2374" w:rsidRDefault="007D2374" w:rsidP="007D2374">
            <w:pPr>
              <w:pStyle w:val="NormalWeb"/>
              <w:spacing w:before="0" w:beforeAutospacing="0" w:after="0" w:afterAutospacing="0"/>
              <w:rPr>
                <w:rFonts w:ascii="Arial" w:hAnsi="Arial" w:cs="Arial"/>
                <w:b/>
                <w:sz w:val="22"/>
                <w:szCs w:val="22"/>
              </w:rPr>
            </w:pPr>
          </w:p>
          <w:p w14:paraId="137B365F" w14:textId="77777777" w:rsidR="007D2374" w:rsidRDefault="007D2374" w:rsidP="007D2374">
            <w:pPr>
              <w:pStyle w:val="NormalWeb"/>
              <w:spacing w:before="0" w:beforeAutospacing="0" w:after="0" w:afterAutospacing="0"/>
              <w:rPr>
                <w:rFonts w:ascii="Arial" w:hAnsi="Arial" w:cs="Arial"/>
                <w:b/>
                <w:sz w:val="22"/>
                <w:szCs w:val="22"/>
              </w:rPr>
            </w:pPr>
          </w:p>
          <w:p w14:paraId="78E19999" w14:textId="77777777" w:rsidR="007D2374" w:rsidRDefault="007D2374" w:rsidP="007D2374">
            <w:pPr>
              <w:pStyle w:val="NormalWeb"/>
              <w:spacing w:before="0" w:beforeAutospacing="0" w:after="0" w:afterAutospacing="0"/>
              <w:rPr>
                <w:rFonts w:ascii="Arial" w:hAnsi="Arial" w:cs="Arial"/>
                <w:b/>
                <w:sz w:val="22"/>
                <w:szCs w:val="22"/>
              </w:rPr>
            </w:pPr>
          </w:p>
          <w:p w14:paraId="01CE808A" w14:textId="77777777" w:rsidR="007D2374" w:rsidRPr="00230F35" w:rsidRDefault="007D2374" w:rsidP="007D237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A25EEA5" w14:textId="77777777" w:rsidR="007D2374" w:rsidRDefault="007D2374" w:rsidP="007D237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C4118D8" w14:textId="77777777" w:rsidR="007D2374" w:rsidRPr="00001C3B" w:rsidRDefault="007D2374" w:rsidP="007D2374">
            <w:pPr>
              <w:pStyle w:val="NormalWeb"/>
              <w:rPr>
                <w:rFonts w:ascii="Arial" w:hAnsi="Arial" w:cs="Arial"/>
                <w:sz w:val="22"/>
                <w:szCs w:val="22"/>
              </w:rPr>
            </w:pPr>
          </w:p>
        </w:tc>
      </w:tr>
      <w:tr w:rsidR="007D2374" w:rsidRPr="00230F35" w14:paraId="122CEA45" w14:textId="77777777" w:rsidTr="007D2374">
        <w:trPr>
          <w:trHeight w:val="492"/>
        </w:trPr>
        <w:tc>
          <w:tcPr>
            <w:tcW w:w="6768" w:type="dxa"/>
            <w:gridSpan w:val="3"/>
          </w:tcPr>
          <w:p w14:paraId="06117F3B" w14:textId="77777777" w:rsidR="007D2374" w:rsidRPr="00230F35" w:rsidRDefault="007D2374" w:rsidP="007D237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84AA1C5" w14:textId="77777777" w:rsidR="007D2374" w:rsidRPr="00230F35" w:rsidRDefault="007D2374" w:rsidP="007D2374">
            <w:pPr>
              <w:pStyle w:val="NormalWeb"/>
              <w:spacing w:after="0"/>
              <w:ind w:left="142" w:right="34"/>
              <w:rPr>
                <w:rFonts w:ascii="Arial" w:hAnsi="Arial" w:cs="Arial"/>
                <w:sz w:val="22"/>
                <w:szCs w:val="22"/>
              </w:rPr>
            </w:pPr>
            <w:r w:rsidRPr="00230F35">
              <w:rPr>
                <w:rFonts w:ascii="Arial" w:hAnsi="Arial" w:cs="Arial"/>
                <w:sz w:val="22"/>
                <w:szCs w:val="22"/>
              </w:rPr>
              <w:t>Date:</w:t>
            </w:r>
          </w:p>
        </w:tc>
      </w:tr>
      <w:tr w:rsidR="007D2374" w:rsidRPr="002F467C" w14:paraId="3D95FD8C" w14:textId="77777777" w:rsidTr="007D2374">
        <w:tc>
          <w:tcPr>
            <w:tcW w:w="8856" w:type="dxa"/>
            <w:gridSpan w:val="5"/>
          </w:tcPr>
          <w:p w14:paraId="60241B87" w14:textId="77777777" w:rsidR="007D2374" w:rsidRPr="00230F35" w:rsidRDefault="007D2374" w:rsidP="007D2374">
            <w:pPr>
              <w:pStyle w:val="NormalWeb"/>
              <w:spacing w:before="0" w:beforeAutospacing="0" w:after="0" w:afterAutospacing="0"/>
              <w:ind w:right="-334"/>
              <w:rPr>
                <w:rFonts w:ascii="Arial" w:hAnsi="Arial" w:cs="Arial"/>
                <w:bCs/>
                <w:i/>
                <w:sz w:val="22"/>
                <w:szCs w:val="22"/>
              </w:rPr>
            </w:pPr>
          </w:p>
          <w:p w14:paraId="6440E84D" w14:textId="77777777" w:rsidR="007D2374" w:rsidRPr="00230F35" w:rsidRDefault="007D2374" w:rsidP="007D237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91CBF25" w14:textId="77777777" w:rsidR="007D2374" w:rsidRPr="00230F35" w:rsidRDefault="007D2374" w:rsidP="007D2374">
            <w:pPr>
              <w:pStyle w:val="NormalWeb"/>
              <w:spacing w:before="0" w:beforeAutospacing="0" w:after="0" w:afterAutospacing="0"/>
              <w:ind w:right="-334"/>
              <w:rPr>
                <w:rFonts w:ascii="Arial" w:hAnsi="Arial" w:cs="Arial"/>
                <w:b/>
                <w:bCs/>
                <w:sz w:val="22"/>
                <w:szCs w:val="22"/>
              </w:rPr>
            </w:pPr>
          </w:p>
          <w:p w14:paraId="4EDDBADE"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B56BAFB"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394FEAFA"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49F650B6"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0983326F"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09327769"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701BBBA0"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72F9EA13"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7895CBF7"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739A9BED"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0D5CD64D"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tc>
      </w:tr>
      <w:tr w:rsidR="007D2374" w:rsidRPr="002F467C" w14:paraId="36AEC286" w14:textId="77777777" w:rsidTr="007D2374">
        <w:trPr>
          <w:trHeight w:val="720"/>
        </w:trPr>
        <w:tc>
          <w:tcPr>
            <w:tcW w:w="5211" w:type="dxa"/>
            <w:gridSpan w:val="2"/>
          </w:tcPr>
          <w:p w14:paraId="3E2CB8D4"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4BB761B"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D2374" w:rsidRPr="002F467C" w14:paraId="6FA7AE51" w14:textId="77777777" w:rsidTr="007D2374">
        <w:trPr>
          <w:trHeight w:val="720"/>
        </w:trPr>
        <w:tc>
          <w:tcPr>
            <w:tcW w:w="8856" w:type="dxa"/>
            <w:gridSpan w:val="5"/>
          </w:tcPr>
          <w:p w14:paraId="69696AEA" w14:textId="77777777" w:rsidR="007D2374" w:rsidRPr="00B34964" w:rsidRDefault="007D2374" w:rsidP="007D2374">
            <w:pPr>
              <w:rPr>
                <w:rFonts w:ascii="Arial" w:hAnsi="Arial" w:cs="Arial"/>
                <w:b/>
                <w:sz w:val="22"/>
                <w:szCs w:val="22"/>
              </w:rPr>
            </w:pPr>
            <w:r w:rsidRPr="00B34964">
              <w:rPr>
                <w:rFonts w:ascii="Arial" w:hAnsi="Arial" w:cs="Arial"/>
                <w:b/>
                <w:sz w:val="22"/>
                <w:szCs w:val="22"/>
              </w:rPr>
              <w:t>External Examiner’s comments (if relevant)</w:t>
            </w:r>
          </w:p>
          <w:p w14:paraId="0C3783DA"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48CA0ACD"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0A0D34B1"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37AB1217"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38E1C124"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47BB522D"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784C68DA"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2F7B6875"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p w14:paraId="2C63119E" w14:textId="77777777" w:rsidR="007D2374" w:rsidRPr="00230F35" w:rsidRDefault="007D2374" w:rsidP="007D2374">
            <w:pPr>
              <w:pStyle w:val="NormalWeb"/>
              <w:spacing w:before="0" w:beforeAutospacing="0" w:after="0" w:afterAutospacing="0"/>
              <w:ind w:right="-334"/>
              <w:rPr>
                <w:rFonts w:ascii="Arial" w:hAnsi="Arial" w:cs="Arial"/>
                <w:bCs/>
                <w:sz w:val="22"/>
                <w:szCs w:val="22"/>
              </w:rPr>
            </w:pPr>
          </w:p>
        </w:tc>
      </w:tr>
      <w:tr w:rsidR="007D2374" w:rsidRPr="002F467C" w14:paraId="6F0088A4" w14:textId="77777777" w:rsidTr="007D2374">
        <w:trPr>
          <w:trHeight w:val="720"/>
        </w:trPr>
        <w:tc>
          <w:tcPr>
            <w:tcW w:w="5211" w:type="dxa"/>
            <w:gridSpan w:val="2"/>
          </w:tcPr>
          <w:p w14:paraId="0ED7440D" w14:textId="77777777" w:rsidR="007D2374" w:rsidRPr="00230F35" w:rsidRDefault="007D2374" w:rsidP="007D237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35A6C7A" w14:textId="77777777" w:rsidR="007D2374" w:rsidRPr="00230F35" w:rsidRDefault="007D2374" w:rsidP="007D2374">
            <w:pPr>
              <w:rPr>
                <w:rFonts w:ascii="Arial" w:hAnsi="Arial" w:cs="Arial"/>
                <w:sz w:val="22"/>
                <w:szCs w:val="22"/>
              </w:rPr>
            </w:pPr>
            <w:r w:rsidRPr="00230F35">
              <w:rPr>
                <w:rFonts w:ascii="Arial" w:hAnsi="Arial" w:cs="Arial"/>
                <w:sz w:val="22"/>
                <w:szCs w:val="22"/>
              </w:rPr>
              <w:t>Date:</w:t>
            </w:r>
          </w:p>
        </w:tc>
      </w:tr>
    </w:tbl>
    <w:p w14:paraId="0286F364" w14:textId="77777777" w:rsidR="007D2374" w:rsidRPr="00D67BF8" w:rsidRDefault="007D2374" w:rsidP="007D2374">
      <w:pPr>
        <w:pStyle w:val="NormalWeb"/>
        <w:spacing w:before="0" w:beforeAutospacing="0" w:after="0" w:afterAutospacing="0"/>
        <w:ind w:right="-334"/>
        <w:rPr>
          <w:rFonts w:ascii="Trebuchet MS" w:hAnsi="Trebuchet MS" w:cs="Tahoma"/>
          <w:bCs/>
          <w:sz w:val="24"/>
          <w:szCs w:val="24"/>
        </w:rPr>
      </w:pPr>
    </w:p>
    <w:p w14:paraId="2A527EA3" w14:textId="77777777" w:rsidR="007D2374" w:rsidRDefault="007D2374" w:rsidP="002B5CBD">
      <w:pPr>
        <w:spacing w:line="480" w:lineRule="auto"/>
      </w:pPr>
    </w:p>
    <w:p w14:paraId="4006BB6D" w14:textId="77777777" w:rsidR="002B5CBD" w:rsidRDefault="002B5CBD" w:rsidP="002B5CBD">
      <w:pPr>
        <w:spacing w:line="480" w:lineRule="auto"/>
      </w:pPr>
      <w:r>
        <w:t>TMAR – CLCL7003 – Short Essay</w:t>
      </w:r>
    </w:p>
    <w:p w14:paraId="5D5121A8" w14:textId="77777777" w:rsidR="002B5CBD" w:rsidRDefault="002B5CBD" w:rsidP="002B5CBD">
      <w:pPr>
        <w:spacing w:line="480" w:lineRule="auto"/>
      </w:pPr>
    </w:p>
    <w:p w14:paraId="0C851ACD" w14:textId="77777777" w:rsidR="002B5CBD" w:rsidRDefault="002B5CBD" w:rsidP="002B5CBD">
      <w:pPr>
        <w:spacing w:line="480" w:lineRule="auto"/>
      </w:pPr>
      <w:r>
        <w:t>Sacred Texts in Ancient Religions</w:t>
      </w:r>
    </w:p>
    <w:p w14:paraId="3EFB9905" w14:textId="552A35B3" w:rsidR="003C5237" w:rsidRDefault="003C5237" w:rsidP="002B5CBD">
      <w:pPr>
        <w:spacing w:line="480" w:lineRule="auto"/>
      </w:pPr>
      <w:r>
        <w:t>Word Count: 2565</w:t>
      </w:r>
    </w:p>
    <w:p w14:paraId="6961EC1C" w14:textId="77777777" w:rsidR="002B5CBD" w:rsidRDefault="002B5CBD" w:rsidP="002B5CBD">
      <w:pPr>
        <w:spacing w:line="480" w:lineRule="auto"/>
        <w:rPr>
          <w:i/>
        </w:rPr>
      </w:pPr>
    </w:p>
    <w:p w14:paraId="6CABCC81" w14:textId="77777777" w:rsidR="002B5CBD" w:rsidRDefault="002B5CBD" w:rsidP="002B5CBD">
      <w:pPr>
        <w:spacing w:line="480" w:lineRule="auto"/>
      </w:pPr>
      <w:r>
        <w:rPr>
          <w:i/>
        </w:rPr>
        <w:t>Introduction</w:t>
      </w:r>
    </w:p>
    <w:p w14:paraId="15D16501" w14:textId="6BFCD267" w:rsidR="00D947A5" w:rsidRDefault="002B5CBD" w:rsidP="002B5CBD">
      <w:pPr>
        <w:spacing w:line="480" w:lineRule="auto"/>
      </w:pPr>
      <w:r>
        <w:t>This essay examines the role of orality in sacred texts with reference to examples from the religions of Ancient Greece.   First, a definition and discussion of what is a sacred text is offered.  Second, orality in a spiritual or ritual context is considered in relation to written religion.  There are competing views of the relative importance of oral versus written religion or spirituality in other ancient and enduring, modern religions</w:t>
      </w:r>
      <w:r>
        <w:rPr>
          <w:rStyle w:val="FootnoteReference"/>
        </w:rPr>
        <w:footnoteReference w:id="1"/>
      </w:r>
      <w:r>
        <w:t xml:space="preserve"> and it is worth framing those before moving onto to consider the case of Ancient Greece.  Third, the concept of ‘religion’ itself in the context of Ancient Greece is </w:t>
      </w:r>
      <w:r w:rsidR="00D947A5">
        <w:t>examined, with reference to the unique political nature of the country at the time and the modern assumptions made in regard of the change from oral to literate culture</w:t>
      </w:r>
      <w:r w:rsidR="00D947A5">
        <w:rPr>
          <w:rStyle w:val="FootnoteReference"/>
        </w:rPr>
        <w:footnoteReference w:id="2"/>
      </w:r>
      <w:r w:rsidR="00D947A5">
        <w:t xml:space="preserve">.   </w:t>
      </w:r>
      <w:r w:rsidR="00D947A5" w:rsidRPr="008874E5">
        <w:t xml:space="preserve">Then, using extant examples from the Ancient </w:t>
      </w:r>
      <w:r w:rsidR="006B48E8" w:rsidRPr="008874E5">
        <w:t>Greek corpus</w:t>
      </w:r>
      <w:r w:rsidR="00D947A5" w:rsidRPr="008874E5">
        <w:t>, the influence and ‘voiceprint’ of the oral is recognised and analysed.</w:t>
      </w:r>
      <w:r w:rsidR="00D947A5">
        <w:t xml:space="preserve">  Finally, conclusions are offered.  </w:t>
      </w:r>
    </w:p>
    <w:p w14:paraId="1D1C9FD2" w14:textId="77777777" w:rsidR="00D947A5" w:rsidRDefault="00D947A5" w:rsidP="002B5CBD">
      <w:pPr>
        <w:spacing w:line="480" w:lineRule="auto"/>
      </w:pPr>
    </w:p>
    <w:p w14:paraId="6E2C0790" w14:textId="49F40C4D" w:rsidR="00D947A5" w:rsidRDefault="00D947A5" w:rsidP="002B5CBD">
      <w:pPr>
        <w:spacing w:line="480" w:lineRule="auto"/>
      </w:pPr>
      <w:r>
        <w:t xml:space="preserve">It will be come apparent that oral traditions of Ancient Greek religious practice last well into the literate age and impact upon the construction and use of written </w:t>
      </w:r>
      <w:r w:rsidR="00F3629F">
        <w:t xml:space="preserve">and inscribed texts that have a ritual and spiritual </w:t>
      </w:r>
      <w:r w:rsidR="006B48E8">
        <w:t>content</w:t>
      </w:r>
      <w:r w:rsidR="008874E5">
        <w:t>.</w:t>
      </w:r>
    </w:p>
    <w:p w14:paraId="4934776E" w14:textId="77777777" w:rsidR="006B48E8" w:rsidRDefault="006B48E8" w:rsidP="002B5CBD">
      <w:pPr>
        <w:spacing w:line="480" w:lineRule="auto"/>
        <w:rPr>
          <w:i/>
        </w:rPr>
      </w:pPr>
    </w:p>
    <w:p w14:paraId="1DBBFD33" w14:textId="77777777" w:rsidR="00B13D55" w:rsidRDefault="006B48E8" w:rsidP="002B5CBD">
      <w:pPr>
        <w:spacing w:line="480" w:lineRule="auto"/>
      </w:pPr>
      <w:r w:rsidRPr="002D668D">
        <w:rPr>
          <w:i/>
        </w:rPr>
        <w:t>What is a sacred text?</w:t>
      </w:r>
    </w:p>
    <w:p w14:paraId="24069482" w14:textId="77777777" w:rsidR="00233143" w:rsidRDefault="00B13D55" w:rsidP="00B13D55">
      <w:pPr>
        <w:spacing w:line="480" w:lineRule="auto"/>
      </w:pPr>
      <w:r>
        <w:t>Pyysi</w:t>
      </w:r>
      <w:r w:rsidR="005C5BD1">
        <w:rPr>
          <w:rFonts w:ascii="Cambria" w:hAnsi="Cambria"/>
          <w:lang w:val="en-US"/>
        </w:rPr>
        <w:t>ä</w:t>
      </w:r>
      <w:r w:rsidR="00050786">
        <w:rPr>
          <w:rFonts w:ascii="Cambria" w:hAnsi="Cambria"/>
          <w:lang w:val="en-US"/>
        </w:rPr>
        <w:t>i</w:t>
      </w:r>
      <w:r>
        <w:t>nen makes the point that t</w:t>
      </w:r>
      <w:r w:rsidRPr="00B13D55">
        <w:t xml:space="preserve">he notion of a 'sacred text' is </w:t>
      </w:r>
      <w:r w:rsidR="005C5BD1">
        <w:t>prevalent in the academic study of religion(s)</w:t>
      </w:r>
      <w:r w:rsidR="005C5BD1">
        <w:rPr>
          <w:rStyle w:val="FootnoteReference"/>
        </w:rPr>
        <w:footnoteReference w:id="3"/>
      </w:r>
      <w:r w:rsidR="005C5BD1">
        <w:t>.</w:t>
      </w:r>
      <w:r w:rsidRPr="00B13D55">
        <w:t xml:space="preserve"> </w:t>
      </w:r>
      <w:r w:rsidR="00050786">
        <w:t>She argues that phrases such as 'sacred text', 'holy book', and 's</w:t>
      </w:r>
      <w:r w:rsidRPr="00B13D55">
        <w:t xml:space="preserve">cripture' </w:t>
      </w:r>
      <w:r w:rsidR="00050786">
        <w:t>relate to the designation of some texts as having a special status in society.</w:t>
      </w:r>
      <w:r w:rsidRPr="00B13D55">
        <w:t xml:space="preserve"> </w:t>
      </w:r>
      <w:r w:rsidR="00050786">
        <w:t>These texts are thought to be</w:t>
      </w:r>
      <w:r w:rsidRPr="00B13D55">
        <w:t xml:space="preserve"> the foundation of all kno</w:t>
      </w:r>
      <w:r w:rsidR="00050786">
        <w:t xml:space="preserve">wledge about what is </w:t>
      </w:r>
      <w:r w:rsidRPr="00B13D55">
        <w:t>real</w:t>
      </w:r>
      <w:r w:rsidR="00050786">
        <w:t xml:space="preserve"> in the ultimate, objective sense</w:t>
      </w:r>
      <w:r w:rsidRPr="00B13D55">
        <w:t>.</w:t>
      </w:r>
      <w:r w:rsidR="00050786">
        <w:t xml:space="preserve">   Some have considered that the idea of a sacred text derives from the ancient Mesopotam</w:t>
      </w:r>
      <w:r w:rsidR="000D63BE">
        <w:t xml:space="preserve">ian concept of a heavenly book - </w:t>
      </w:r>
      <w:r w:rsidR="00050786">
        <w:t>that is the canonised embodiment of divine wisdom</w:t>
      </w:r>
      <w:r w:rsidR="00050786">
        <w:rPr>
          <w:rStyle w:val="FootnoteReference"/>
        </w:rPr>
        <w:footnoteReference w:id="4"/>
      </w:r>
      <w:r w:rsidR="00050786">
        <w:t>.</w:t>
      </w:r>
      <w:r w:rsidR="000D63BE">
        <w:t xml:space="preserve"> If this were so then the notion of sacred texts would only belong to the monotheistic religions. </w:t>
      </w:r>
    </w:p>
    <w:p w14:paraId="4DF80B1B" w14:textId="789912B0" w:rsidR="00233143" w:rsidRDefault="006B25CC" w:rsidP="00B13D55">
      <w:pPr>
        <w:spacing w:line="480" w:lineRule="auto"/>
      </w:pPr>
      <w:r>
        <w:t>However, a cursory look at the extant, epigraphic material from the culture of Ancient Greece, from the end of</w:t>
      </w:r>
      <w:r w:rsidR="00BB517D">
        <w:t xml:space="preserve"> the Geometric period (circa 750 BCE</w:t>
      </w:r>
      <w:r>
        <w:t>) until the late antiquity reveals the existence of an abundance of ‘texts’ that deal with religious matters</w:t>
      </w:r>
      <w:r>
        <w:rPr>
          <w:rStyle w:val="FootnoteReference"/>
        </w:rPr>
        <w:footnoteReference w:id="5"/>
      </w:r>
      <w:r>
        <w:t xml:space="preserve">.  </w:t>
      </w:r>
      <w:r w:rsidR="00FD595E">
        <w:t>Heinrech</w:t>
      </w:r>
      <w:r w:rsidR="00961300">
        <w:t>s notes that there</w:t>
      </w:r>
      <w:r w:rsidR="008D37B4">
        <w:t xml:space="preserve"> are:</w:t>
      </w:r>
      <w:r w:rsidR="00961300">
        <w:t xml:space="preserve"> sacred calendars, information regulating cults and rituals, oracles, dedications to the divine, priesthood sales, statutes of sacred organisations, records of healing miracles and divine epiphanies, curse tablets, amulets with spells and p</w:t>
      </w:r>
      <w:r w:rsidR="008D37B4">
        <w:t>rayers inscribed upon them, and the so-called ‘Orphic’ gold plates (that offered descriptions of the underworld and advice to the dead)</w:t>
      </w:r>
      <w:r w:rsidR="008D37B4">
        <w:rPr>
          <w:rStyle w:val="FootnoteReference"/>
        </w:rPr>
        <w:footnoteReference w:id="6"/>
      </w:r>
      <w:r w:rsidR="008D37B4">
        <w:t xml:space="preserve">.  Magical </w:t>
      </w:r>
      <w:r w:rsidR="003C5237">
        <w:t>papyri</w:t>
      </w:r>
      <w:r w:rsidR="008D37B4">
        <w:t xml:space="preserve">, with spells and instructions, can be considered in their own class and range from individual texts to whole collections.  </w:t>
      </w:r>
    </w:p>
    <w:p w14:paraId="64C5C8AD" w14:textId="0EAF77CE" w:rsidR="00B13D55" w:rsidRPr="0042070A" w:rsidRDefault="00577D9F" w:rsidP="00B13D55">
      <w:pPr>
        <w:spacing w:line="480" w:lineRule="auto"/>
      </w:pPr>
      <w:r>
        <w:t>So, even though Ancient Greek spirituality, for reasons that will be discussed below, is not a centralised, religion of a ‘holy book’, it is instead a diverse engagement with the divine that is reflected in the material record and also</w:t>
      </w:r>
      <w:r w:rsidR="008E79FF">
        <w:t xml:space="preserve"> in Greek literature and arts.  In the latter some sacred texts are referred to that either no longer exist or were considered so venerable they were never written down</w:t>
      </w:r>
      <w:r w:rsidR="008E79FF">
        <w:rPr>
          <w:rStyle w:val="FootnoteReference"/>
        </w:rPr>
        <w:footnoteReference w:id="7"/>
      </w:r>
      <w:r w:rsidR="008E79FF">
        <w:t xml:space="preserve">.  Scholars have termed these the </w:t>
      </w:r>
      <w:r w:rsidR="008E79FF">
        <w:rPr>
          <w:i/>
        </w:rPr>
        <w:t>Hieroi Logoi</w:t>
      </w:r>
      <w:r w:rsidR="004F0D0B">
        <w:t xml:space="preserve"> </w:t>
      </w:r>
      <w:r w:rsidR="008E79FF">
        <w:t>and their obvious elusiveness has led to debate as to what should be included in the group</w:t>
      </w:r>
      <w:r w:rsidR="008E79FF">
        <w:rPr>
          <w:rStyle w:val="FootnoteReference"/>
        </w:rPr>
        <w:footnoteReference w:id="8"/>
      </w:r>
      <w:r w:rsidR="0042070A">
        <w:t xml:space="preserve">.  Henreichs makes the point that </w:t>
      </w:r>
      <w:r w:rsidR="0042070A">
        <w:rPr>
          <w:lang w:val="en-US"/>
        </w:rPr>
        <w:t>ancient authors considered these</w:t>
      </w:r>
      <w:r w:rsidR="0042070A" w:rsidRPr="0042070A">
        <w:rPr>
          <w:lang w:val="en-US"/>
        </w:rPr>
        <w:t xml:space="preserve"> texts </w:t>
      </w:r>
      <w:r w:rsidR="0042070A">
        <w:rPr>
          <w:lang w:val="en-US"/>
        </w:rPr>
        <w:t>to be a</w:t>
      </w:r>
      <w:r w:rsidR="0042070A" w:rsidRPr="0042070A">
        <w:rPr>
          <w:lang w:val="en-US"/>
        </w:rPr>
        <w:t xml:space="preserve"> profoundly </w:t>
      </w:r>
      <w:r w:rsidR="0042070A">
        <w:rPr>
          <w:lang w:val="en-US"/>
        </w:rPr>
        <w:t>mysterious</w:t>
      </w:r>
      <w:r w:rsidR="0042070A" w:rsidRPr="0042070A">
        <w:rPr>
          <w:lang w:val="en-US"/>
        </w:rPr>
        <w:t xml:space="preserve"> form of sacred discourse</w:t>
      </w:r>
      <w:r w:rsidR="0042070A">
        <w:rPr>
          <w:lang w:val="en-US"/>
        </w:rPr>
        <w:t>, and so exclusive that “</w:t>
      </w:r>
      <w:r w:rsidR="00233143">
        <w:rPr>
          <w:lang w:val="en-US"/>
        </w:rPr>
        <w:t>Herodo</w:t>
      </w:r>
      <w:r w:rsidR="0042070A">
        <w:rPr>
          <w:lang w:val="en-US"/>
        </w:rPr>
        <w:t xml:space="preserve">tus and </w:t>
      </w:r>
      <w:r w:rsidR="0042070A" w:rsidRPr="0042070A">
        <w:rPr>
          <w:lang w:val="en-US"/>
        </w:rPr>
        <w:t>Pausanias refused to reveal</w:t>
      </w:r>
      <w:r w:rsidR="0042070A">
        <w:rPr>
          <w:lang w:val="en-US"/>
        </w:rPr>
        <w:t xml:space="preserve"> the contents of a single </w:t>
      </w:r>
      <w:r w:rsidR="0042070A">
        <w:rPr>
          <w:i/>
          <w:lang w:val="en-US"/>
        </w:rPr>
        <w:t>Hieros Logos</w:t>
      </w:r>
      <w:r w:rsidR="0042070A">
        <w:rPr>
          <w:lang w:val="en-US"/>
        </w:rPr>
        <w:t>”</w:t>
      </w:r>
      <w:r w:rsidR="0042070A">
        <w:rPr>
          <w:rStyle w:val="FootnoteReference"/>
          <w:lang w:val="en-US"/>
        </w:rPr>
        <w:footnoteReference w:id="9"/>
      </w:r>
      <w:r w:rsidR="0042070A">
        <w:rPr>
          <w:lang w:val="en-US"/>
        </w:rPr>
        <w:t>.</w:t>
      </w:r>
      <w:r w:rsidR="004F0D0B">
        <w:rPr>
          <w:lang w:val="en-US"/>
        </w:rPr>
        <w:t xml:space="preserve">  These t</w:t>
      </w:r>
      <w:r w:rsidR="000C76C9">
        <w:rPr>
          <w:lang w:val="en-US"/>
        </w:rPr>
        <w:t>exts were held in high regard and it is obvious in some examples – for instance</w:t>
      </w:r>
      <w:r w:rsidR="008B7351">
        <w:rPr>
          <w:lang w:val="en-US"/>
        </w:rPr>
        <w:t xml:space="preserve"> curses and oracles – that they were meant be spoken or contain a record of orality or betray an oral aspect of their history.  Thus, the interaction between oral and written sacredness is worth considering.</w:t>
      </w:r>
    </w:p>
    <w:p w14:paraId="7622493C" w14:textId="77777777" w:rsidR="00961300" w:rsidRDefault="00961300" w:rsidP="00B13D55">
      <w:pPr>
        <w:spacing w:line="480" w:lineRule="auto"/>
      </w:pPr>
    </w:p>
    <w:p w14:paraId="7914FB61" w14:textId="2028A239" w:rsidR="006B48E8" w:rsidRDefault="006B48E8" w:rsidP="002B5CBD">
      <w:pPr>
        <w:spacing w:line="480" w:lineRule="auto"/>
        <w:rPr>
          <w:i/>
        </w:rPr>
      </w:pPr>
      <w:r>
        <w:rPr>
          <w:i/>
        </w:rPr>
        <w:t xml:space="preserve">Oral versus Written Religion </w:t>
      </w:r>
    </w:p>
    <w:p w14:paraId="6FCE27FC" w14:textId="59A106D7" w:rsidR="005166A1" w:rsidRPr="00855DD5" w:rsidRDefault="00CB2E58" w:rsidP="002B5CBD">
      <w:pPr>
        <w:spacing w:line="480" w:lineRule="auto"/>
        <w:rPr>
          <w:lang w:val="en-CA"/>
        </w:rPr>
      </w:pPr>
      <w:r>
        <w:t>Goody – in his work on writing and the organisation of society</w:t>
      </w:r>
      <w:r>
        <w:rPr>
          <w:rStyle w:val="FootnoteReference"/>
        </w:rPr>
        <w:footnoteReference w:id="10"/>
      </w:r>
      <w:r>
        <w:t xml:space="preserve"> </w:t>
      </w:r>
      <w:r w:rsidR="005166A1">
        <w:t>takes a</w:t>
      </w:r>
      <w:r>
        <w:t xml:space="preserve"> comparative approach in exploring oral and written religions.  </w:t>
      </w:r>
      <w:r w:rsidR="005166A1">
        <w:t>He</w:t>
      </w:r>
      <w:r>
        <w:t xml:space="preserve"> compares and contrasts</w:t>
      </w:r>
      <w:r w:rsidR="005166A1">
        <w:t xml:space="preserve"> what he terms</w:t>
      </w:r>
      <w:r>
        <w:t xml:space="preserve"> </w:t>
      </w:r>
      <w:r w:rsidR="005166A1">
        <w:t>“African and Eurasian” features</w:t>
      </w:r>
      <w:r w:rsidR="005166A1">
        <w:rPr>
          <w:rStyle w:val="FootnoteReference"/>
        </w:rPr>
        <w:footnoteReference w:id="11"/>
      </w:r>
      <w:r w:rsidR="005166A1">
        <w:t xml:space="preserve">.  For Eurasian he employs </w:t>
      </w:r>
      <w:r>
        <w:t>the Judaeo-Christian traditions</w:t>
      </w:r>
      <w:r w:rsidR="005166A1">
        <w:t xml:space="preserve"> and aspects of Middle East religions </w:t>
      </w:r>
      <w:r>
        <w:t xml:space="preserve"> –</w:t>
      </w:r>
      <w:r w:rsidR="005166A1">
        <w:t xml:space="preserve"> as </w:t>
      </w:r>
      <w:r>
        <w:t>exemplar</w:t>
      </w:r>
      <w:r w:rsidR="005166A1">
        <w:t xml:space="preserve">s of </w:t>
      </w:r>
      <w:r>
        <w:t>written sacred</w:t>
      </w:r>
      <w:r w:rsidR="005166A1">
        <w:t>ness</w:t>
      </w:r>
      <w:r>
        <w:t>, religions of ‘the Book’</w:t>
      </w:r>
      <w:r w:rsidR="005166A1">
        <w:t xml:space="preserve">.  The African </w:t>
      </w:r>
      <w:r w:rsidR="006B391F">
        <w:t>spirituality is</w:t>
      </w:r>
      <w:r w:rsidR="005166A1">
        <w:t xml:space="preserve"> used to highlight the oral tradition.</w:t>
      </w:r>
      <w:r w:rsidR="006B391F">
        <w:t xml:space="preserve"> In Goody’s view written religions, as they are written down and therefore have the capacity for a distribution wider than their oral counterparts, work from a more universal, generalised, abstract base.  On the other hand, oral traditions are tied to context and the immediacy of speech and action.  They also rely on the memory of their officiates and adherents</w:t>
      </w:r>
      <w:r w:rsidR="006B391F">
        <w:rPr>
          <w:rStyle w:val="FootnoteReference"/>
        </w:rPr>
        <w:footnoteReference w:id="12"/>
      </w:r>
      <w:r w:rsidR="006B391F">
        <w:t>.</w:t>
      </w:r>
      <w:r w:rsidR="00A81A29">
        <w:t xml:space="preserve"> </w:t>
      </w:r>
      <w:r w:rsidR="00855DD5">
        <w:rPr>
          <w:lang w:val="en-CA"/>
        </w:rPr>
        <w:t xml:space="preserve">  This leaves orality in religion open </w:t>
      </w:r>
      <w:r w:rsidR="00A81A29" w:rsidRPr="00A81A29">
        <w:rPr>
          <w:lang w:val="en-CA"/>
        </w:rPr>
        <w:t>to change and loss in terms of memory, something may be felt obsolete and therefore will be lost or adapted to changing circumstances.  Writing in religion provides the opportunity to be a record of memory and a guide to it</w:t>
      </w:r>
      <w:r w:rsidR="00855DD5">
        <w:rPr>
          <w:lang w:val="en-CA"/>
        </w:rPr>
        <w:t>.</w:t>
      </w:r>
    </w:p>
    <w:p w14:paraId="318FBB5C" w14:textId="77777777" w:rsidR="0092505C" w:rsidRDefault="0092505C" w:rsidP="0092505C">
      <w:pPr>
        <w:rPr>
          <w:rFonts w:eastAsia="Times New Roman" w:cs="Times New Roman"/>
          <w:lang w:val="en-CA"/>
        </w:rPr>
      </w:pPr>
    </w:p>
    <w:p w14:paraId="72137E7A" w14:textId="306ABCB8" w:rsidR="0092505C" w:rsidRDefault="0092505C" w:rsidP="003D4CC5">
      <w:pPr>
        <w:spacing w:line="480" w:lineRule="auto"/>
        <w:rPr>
          <w:rFonts w:eastAsia="Times New Roman" w:cs="Times New Roman"/>
          <w:lang w:val="en-CA"/>
        </w:rPr>
      </w:pPr>
      <w:r>
        <w:rPr>
          <w:rFonts w:eastAsia="Times New Roman" w:cs="Times New Roman"/>
          <w:lang w:val="en-CA"/>
        </w:rPr>
        <w:t xml:space="preserve">There are differences in specialisations and role enactment. </w:t>
      </w:r>
      <w:r w:rsidR="003D4CC5">
        <w:rPr>
          <w:rFonts w:eastAsia="Times New Roman" w:cs="Times New Roman"/>
          <w:lang w:val="en-CA"/>
        </w:rPr>
        <w:t>Goody argues that in a written religion, the priest has special status, as the privileged interpreter of sacred texts</w:t>
      </w:r>
      <w:r w:rsidR="003D4CC5">
        <w:rPr>
          <w:rStyle w:val="FootnoteReference"/>
          <w:rFonts w:eastAsia="Times New Roman" w:cs="Times New Roman"/>
          <w:lang w:val="en-CA"/>
        </w:rPr>
        <w:footnoteReference w:id="13"/>
      </w:r>
      <w:r w:rsidR="003D4CC5">
        <w:rPr>
          <w:rFonts w:eastAsia="Times New Roman" w:cs="Times New Roman"/>
          <w:lang w:val="en-CA"/>
        </w:rPr>
        <w:t xml:space="preserve">. </w:t>
      </w:r>
      <w:r>
        <w:rPr>
          <w:rFonts w:eastAsia="Times New Roman" w:cs="Times New Roman"/>
          <w:lang w:val="en-CA"/>
        </w:rPr>
        <w:t>The priesthood in the written religions</w:t>
      </w:r>
      <w:r w:rsidR="003D4CC5">
        <w:rPr>
          <w:rFonts w:eastAsia="Times New Roman" w:cs="Times New Roman"/>
          <w:lang w:val="en-CA"/>
        </w:rPr>
        <w:t>, such as Christianity and Judaism,</w:t>
      </w:r>
      <w:r>
        <w:rPr>
          <w:rFonts w:eastAsia="Times New Roman" w:cs="Times New Roman"/>
          <w:lang w:val="en-CA"/>
        </w:rPr>
        <w:t xml:space="preserve"> have exercised power </w:t>
      </w:r>
      <w:r w:rsidR="003D4CC5">
        <w:rPr>
          <w:rFonts w:eastAsia="Times New Roman" w:cs="Times New Roman"/>
          <w:lang w:val="en-CA"/>
        </w:rPr>
        <w:t xml:space="preserve">and control </w:t>
      </w:r>
      <w:r>
        <w:rPr>
          <w:rFonts w:eastAsia="Times New Roman" w:cs="Times New Roman"/>
          <w:lang w:val="en-CA"/>
        </w:rPr>
        <w:t>through their roles as gatekeepers to literacy and teaching.</w:t>
      </w:r>
      <w:r w:rsidR="003D4CC5">
        <w:rPr>
          <w:rFonts w:eastAsia="Times New Roman" w:cs="Times New Roman"/>
          <w:lang w:val="en-CA"/>
        </w:rPr>
        <w:t xml:space="preserve">  The priests of oral religions also can exercise this kind of power through rituals, rit</w:t>
      </w:r>
      <w:r w:rsidR="004B7963">
        <w:rPr>
          <w:rFonts w:eastAsia="Times New Roman" w:cs="Times New Roman"/>
          <w:lang w:val="en-CA"/>
        </w:rPr>
        <w:t>es of passage and initiations, for example</w:t>
      </w:r>
      <w:r w:rsidR="006A3371">
        <w:rPr>
          <w:rFonts w:eastAsia="Times New Roman" w:cs="Times New Roman"/>
          <w:lang w:val="en-CA"/>
        </w:rPr>
        <w:t xml:space="preserve"> the cult of m</w:t>
      </w:r>
      <w:r w:rsidR="004B7963">
        <w:rPr>
          <w:rFonts w:eastAsia="Times New Roman" w:cs="Times New Roman"/>
          <w:lang w:val="en-CA"/>
        </w:rPr>
        <w:t>ysteries at Eleusis in Greece</w:t>
      </w:r>
      <w:r w:rsidR="004B7963">
        <w:rPr>
          <w:rStyle w:val="FootnoteReference"/>
          <w:rFonts w:eastAsia="Times New Roman" w:cs="Times New Roman"/>
          <w:lang w:val="en-CA"/>
        </w:rPr>
        <w:footnoteReference w:id="14"/>
      </w:r>
      <w:r w:rsidR="004B7963">
        <w:rPr>
          <w:rFonts w:eastAsia="Times New Roman" w:cs="Times New Roman"/>
          <w:lang w:val="en-CA"/>
        </w:rPr>
        <w:t xml:space="preserve">.  </w:t>
      </w:r>
    </w:p>
    <w:p w14:paraId="0EFDB4A0" w14:textId="6656F7FC" w:rsidR="00855DD5" w:rsidRDefault="004B7963" w:rsidP="00855DD5">
      <w:pPr>
        <w:spacing w:line="480" w:lineRule="auto"/>
        <w:rPr>
          <w:rFonts w:eastAsia="Times New Roman" w:cs="Times New Roman"/>
          <w:lang w:val="en-CA"/>
        </w:rPr>
      </w:pPr>
      <w:r>
        <w:rPr>
          <w:rFonts w:eastAsia="Times New Roman" w:cs="Times New Roman"/>
          <w:lang w:val="en-CA"/>
        </w:rPr>
        <w:t>There is an argument that written religions, by the fact they are written and thus provide a ‘fixed’ orthodoxy for belief, also offer, for whatever reasons, a breeding ground for dissent and the development of a radical departure from said orthodoxy.  For example, the European reformation movement against Roman Catholicism that started in the 16</w:t>
      </w:r>
      <w:r w:rsidRPr="004B7963">
        <w:rPr>
          <w:rFonts w:eastAsia="Times New Roman" w:cs="Times New Roman"/>
          <w:vertAlign w:val="superscript"/>
          <w:lang w:val="en-CA"/>
        </w:rPr>
        <w:t>th</w:t>
      </w:r>
      <w:r>
        <w:rPr>
          <w:rFonts w:eastAsia="Times New Roman" w:cs="Times New Roman"/>
          <w:lang w:val="en-CA"/>
        </w:rPr>
        <w:t xml:space="preserve"> century CE.  A movement, which through both oral and written media, developed its own orthodoxy</w:t>
      </w:r>
      <w:r w:rsidR="00D0115A">
        <w:rPr>
          <w:rStyle w:val="FootnoteReference"/>
          <w:rFonts w:eastAsia="Times New Roman" w:cs="Times New Roman"/>
          <w:lang w:val="en-CA"/>
        </w:rPr>
        <w:footnoteReference w:id="15"/>
      </w:r>
      <w:r>
        <w:rPr>
          <w:rFonts w:eastAsia="Times New Roman" w:cs="Times New Roman"/>
          <w:lang w:val="en-CA"/>
        </w:rPr>
        <w:t>.</w:t>
      </w:r>
      <w:r w:rsidR="00D0115A">
        <w:rPr>
          <w:rFonts w:eastAsia="Times New Roman" w:cs="Times New Roman"/>
          <w:lang w:val="en-CA"/>
        </w:rPr>
        <w:t xml:space="preserve">  </w:t>
      </w:r>
      <w:r w:rsidR="00A81A29">
        <w:rPr>
          <w:rFonts w:eastAsia="Times New Roman" w:cs="Times New Roman"/>
          <w:lang w:val="en-CA"/>
        </w:rPr>
        <w:t>Written religion, whether the text is considered a foundation text, an interpretation or a dissenting movement, promotes normative behaviour.  The prayer for a particular ceremony or ritual, once it is written down, will be that read or recited wherever it is to be performed in time and space.  Oral spirituality retains a contextual, adaptive stance.  For Goody, this distinction promotes written religions to possess a greater force for unity and a stronger sense of the ethical</w:t>
      </w:r>
      <w:r w:rsidR="00A81A29">
        <w:rPr>
          <w:rStyle w:val="FootnoteReference"/>
          <w:rFonts w:eastAsia="Times New Roman" w:cs="Times New Roman"/>
          <w:lang w:val="en-CA"/>
        </w:rPr>
        <w:footnoteReference w:id="16"/>
      </w:r>
      <w:r w:rsidR="00855DD5">
        <w:rPr>
          <w:rFonts w:eastAsia="Times New Roman" w:cs="Times New Roman"/>
          <w:lang w:val="en-CA"/>
        </w:rPr>
        <w:t>.</w:t>
      </w:r>
    </w:p>
    <w:p w14:paraId="31745BD5" w14:textId="77777777" w:rsidR="006351DE" w:rsidRDefault="006351DE" w:rsidP="00855DD5">
      <w:pPr>
        <w:spacing w:line="480" w:lineRule="auto"/>
        <w:rPr>
          <w:rFonts w:eastAsia="Times New Roman" w:cs="Times New Roman"/>
          <w:highlight w:val="yellow"/>
          <w:lang w:val="en-CA"/>
        </w:rPr>
      </w:pPr>
    </w:p>
    <w:p w14:paraId="7CAB9EFA" w14:textId="264F2486" w:rsidR="00855DD5" w:rsidRDefault="00CA644C" w:rsidP="00855DD5">
      <w:pPr>
        <w:spacing w:line="480" w:lineRule="auto"/>
        <w:rPr>
          <w:rFonts w:eastAsia="Times New Roman" w:cs="Times New Roman"/>
          <w:lang w:val="en-US"/>
        </w:rPr>
      </w:pPr>
      <w:r>
        <w:rPr>
          <w:rFonts w:eastAsia="Times New Roman" w:cs="Times New Roman"/>
          <w:lang w:val="en-CA"/>
        </w:rPr>
        <w:t>Finkelberg has argued that Goody’s comparison of written versus oral religions betrays a bias of hierarchy in the study of religions which promotes the former over the latter</w:t>
      </w:r>
      <w:r w:rsidR="001C150F">
        <w:rPr>
          <w:rFonts w:eastAsia="Times New Roman" w:cs="Times New Roman"/>
          <w:lang w:val="en-CA"/>
        </w:rPr>
        <w:t>, as somehow culturally more elite, more modern and implying higher levels of rationalism</w:t>
      </w:r>
      <w:r>
        <w:rPr>
          <w:rStyle w:val="FootnoteReference"/>
          <w:rFonts w:eastAsia="Times New Roman" w:cs="Times New Roman"/>
          <w:lang w:val="en-CA"/>
        </w:rPr>
        <w:footnoteReference w:id="17"/>
      </w:r>
      <w:r>
        <w:rPr>
          <w:rFonts w:eastAsia="Times New Roman" w:cs="Times New Roman"/>
          <w:lang w:val="en-CA"/>
        </w:rPr>
        <w:t xml:space="preserve">.  </w:t>
      </w:r>
      <w:r w:rsidR="001C150F">
        <w:rPr>
          <w:rFonts w:eastAsia="Times New Roman" w:cs="Times New Roman"/>
          <w:lang w:val="en-CA"/>
        </w:rPr>
        <w:t>She notes that this hierarchy is a by-product of ‘technological determinism’ – a pervading view that the means of communication within a society will dictate its cultural behaviours – and argues that this approach denies the possible existence of choice</w:t>
      </w:r>
      <w:r w:rsidR="001C150F">
        <w:rPr>
          <w:rStyle w:val="FootnoteReference"/>
          <w:rFonts w:eastAsia="Times New Roman" w:cs="Times New Roman"/>
          <w:lang w:val="en-CA"/>
        </w:rPr>
        <w:footnoteReference w:id="18"/>
      </w:r>
      <w:r w:rsidR="001C150F">
        <w:rPr>
          <w:rFonts w:eastAsia="Times New Roman" w:cs="Times New Roman"/>
          <w:lang w:val="en-CA"/>
        </w:rPr>
        <w:t xml:space="preserve">.  </w:t>
      </w:r>
      <w:r w:rsidR="006D3DA3">
        <w:rPr>
          <w:rFonts w:eastAsia="Times New Roman" w:cs="Times New Roman"/>
          <w:lang w:val="en-CA"/>
        </w:rPr>
        <w:t>Finkelberg especially highlights the case of Ancient Greece in making the point that the change from oral to literate tradition was not a foregone event but occurred “</w:t>
      </w:r>
      <w:r w:rsidR="006D3DA3" w:rsidRPr="006D3DA3">
        <w:rPr>
          <w:rFonts w:eastAsia="Times New Roman" w:cs="Times New Roman"/>
          <w:lang w:val="en-US"/>
        </w:rPr>
        <w:t>within the limits of the civilization’s historical memory</w:t>
      </w:r>
      <w:r w:rsidR="006D3DA3">
        <w:rPr>
          <w:rFonts w:eastAsia="Times New Roman" w:cs="Times New Roman"/>
          <w:lang w:val="en-US"/>
        </w:rPr>
        <w:t>” and that the poetic forms of expression (designed to recited) lasted long after the introduction of written prose</w:t>
      </w:r>
      <w:r w:rsidR="006D3DA3">
        <w:rPr>
          <w:rStyle w:val="FootnoteReference"/>
          <w:rFonts w:eastAsia="Times New Roman" w:cs="Times New Roman"/>
          <w:lang w:val="en-US"/>
        </w:rPr>
        <w:footnoteReference w:id="19"/>
      </w:r>
      <w:r w:rsidR="006D3DA3">
        <w:rPr>
          <w:rFonts w:eastAsia="Times New Roman" w:cs="Times New Roman"/>
          <w:lang w:val="en-US"/>
        </w:rPr>
        <w:t>.   The next section will explore this theme within the context of Ancient Greek Religion.</w:t>
      </w:r>
    </w:p>
    <w:p w14:paraId="63A803A7" w14:textId="77777777" w:rsidR="00D929C3" w:rsidRDefault="00D929C3" w:rsidP="00D929C3">
      <w:pPr>
        <w:spacing w:line="480" w:lineRule="auto"/>
        <w:rPr>
          <w:i/>
        </w:rPr>
      </w:pPr>
    </w:p>
    <w:p w14:paraId="5C34224F" w14:textId="571507FD" w:rsidR="00BB517D" w:rsidRDefault="00D929C3" w:rsidP="00D929C3">
      <w:pPr>
        <w:spacing w:line="480" w:lineRule="auto"/>
      </w:pPr>
      <w:r>
        <w:rPr>
          <w:i/>
        </w:rPr>
        <w:t xml:space="preserve">What is religion in Ancient Greece? </w:t>
      </w:r>
    </w:p>
    <w:p w14:paraId="2974FE6D" w14:textId="073BE460" w:rsidR="002B5938" w:rsidRDefault="002B5938" w:rsidP="00D929C3">
      <w:pPr>
        <w:spacing w:line="480" w:lineRule="auto"/>
      </w:pPr>
      <w:r>
        <w:t>A</w:t>
      </w:r>
      <w:r w:rsidRPr="00BB517D">
        <w:t xml:space="preserve"> </w:t>
      </w:r>
      <w:r>
        <w:t>‘religion’ can be characterised as</w:t>
      </w:r>
      <w:r w:rsidRPr="00BB517D">
        <w:t xml:space="preserve"> </w:t>
      </w:r>
      <w:r>
        <w:t>“</w:t>
      </w:r>
      <w:r w:rsidRPr="00BB517D">
        <w:t>a set of beliefs and practices espoused by its adherents as a matter of conscious choice, more or less to the exclusion of others</w:t>
      </w:r>
      <w:r>
        <w:t>”</w:t>
      </w:r>
      <w:r>
        <w:rPr>
          <w:rStyle w:val="FootnoteReference"/>
        </w:rPr>
        <w:footnoteReference w:id="20"/>
      </w:r>
      <w:r>
        <w:t xml:space="preserve">.  Even though there was a diversity of divine concepts in Ancient Greece (that reflected perhaps the </w:t>
      </w:r>
      <w:r>
        <w:rPr>
          <w:i/>
        </w:rPr>
        <w:t xml:space="preserve">poleis </w:t>
      </w:r>
      <w:r>
        <w:t>or city-state culture), Greeks were familiar with this notion of religion.  However, this notion did not really apply until late antiquity</w:t>
      </w:r>
      <w:r w:rsidR="00AC4052">
        <w:rPr>
          <w:rStyle w:val="FootnoteReference"/>
        </w:rPr>
        <w:footnoteReference w:id="21"/>
      </w:r>
      <w:r>
        <w:t xml:space="preserve">.  </w:t>
      </w:r>
      <w:r w:rsidR="00AC4052">
        <w:t xml:space="preserve">However, taking a cue from </w:t>
      </w:r>
      <w:hyperlink r:id="rId10" w:history="1">
        <w:r w:rsidR="00AC4052" w:rsidRPr="00BB517D">
          <w:rPr>
            <w:rStyle w:val="Hyperlink"/>
          </w:rPr>
          <w:t>Herodotus (1)</w:t>
        </w:r>
      </w:hyperlink>
      <w:r w:rsidR="00AC4052" w:rsidRPr="00BB517D">
        <w:t xml:space="preserve"> (8. 144. 2), who characterizes ‘Greekness’ (τὸ ϵ̔</w:t>
      </w:r>
      <w:r w:rsidR="00AC4052">
        <w:t>λληνικόν) as the existence of common temples, rituals, descent, language, and customs, these commonalities can be recognised as being part of one system</w:t>
      </w:r>
      <w:r w:rsidR="00AC4052">
        <w:rPr>
          <w:rStyle w:val="FootnoteReference"/>
        </w:rPr>
        <w:footnoteReference w:id="22"/>
      </w:r>
      <w:r w:rsidR="00AC4052">
        <w:t xml:space="preserve">.  </w:t>
      </w:r>
    </w:p>
    <w:p w14:paraId="1FB4F465" w14:textId="77777777" w:rsidR="00AC4052" w:rsidRDefault="00AC4052" w:rsidP="00D929C3">
      <w:pPr>
        <w:spacing w:line="480" w:lineRule="auto"/>
      </w:pPr>
    </w:p>
    <w:p w14:paraId="7C107F09" w14:textId="6D7E4C1C" w:rsidR="00AC4052" w:rsidRDefault="00AC4052" w:rsidP="00D929C3">
      <w:pPr>
        <w:spacing w:line="480" w:lineRule="auto"/>
      </w:pPr>
      <w:r>
        <w:t>Thus, despite the lack of canonical dogma and ritual, there is, as alluded to above, a substantial body of sacred thought and practice</w:t>
      </w:r>
      <w:r>
        <w:rPr>
          <w:rStyle w:val="FootnoteReference"/>
        </w:rPr>
        <w:footnoteReference w:id="23"/>
      </w:r>
      <w:r w:rsidR="000B1A3D">
        <w:t xml:space="preserve"> that survived and thrived through the oral and literate periods of Greek history.  </w:t>
      </w:r>
    </w:p>
    <w:p w14:paraId="1239C2A6" w14:textId="77777777" w:rsidR="002F0CA0" w:rsidRDefault="002F0CA0" w:rsidP="00D929C3">
      <w:pPr>
        <w:spacing w:line="480" w:lineRule="auto"/>
      </w:pPr>
    </w:p>
    <w:p w14:paraId="213AC04A" w14:textId="548F9B63" w:rsidR="000B1A3D" w:rsidRDefault="000B1A3D" w:rsidP="00D929C3">
      <w:pPr>
        <w:spacing w:line="480" w:lineRule="auto"/>
      </w:pPr>
      <w:r>
        <w:t>Finkleberg notes</w:t>
      </w:r>
      <w:r>
        <w:rPr>
          <w:rStyle w:val="FootnoteReference"/>
        </w:rPr>
        <w:footnoteReference w:id="24"/>
      </w:r>
      <w:r>
        <w:t xml:space="preserve"> Eric Havelock’s classification of Greek civilisation into:</w:t>
      </w:r>
    </w:p>
    <w:p w14:paraId="0B8D91E8" w14:textId="385E79BB" w:rsidR="000B1A3D" w:rsidRDefault="000B1A3D" w:rsidP="000B1A3D">
      <w:pPr>
        <w:pStyle w:val="ListParagraph"/>
        <w:numPr>
          <w:ilvl w:val="0"/>
          <w:numId w:val="3"/>
        </w:numPr>
        <w:spacing w:line="480" w:lineRule="auto"/>
      </w:pPr>
      <w:r>
        <w:t>Oral, pre-Platonic</w:t>
      </w:r>
    </w:p>
    <w:p w14:paraId="4F48557D" w14:textId="6A1C0971" w:rsidR="000B1A3D" w:rsidRDefault="000B1A3D" w:rsidP="000B1A3D">
      <w:pPr>
        <w:pStyle w:val="ListParagraph"/>
        <w:numPr>
          <w:ilvl w:val="0"/>
          <w:numId w:val="3"/>
        </w:numPr>
        <w:spacing w:line="480" w:lineRule="auto"/>
      </w:pPr>
      <w:r>
        <w:t>Transitional (Plato as the figurehead of that)</w:t>
      </w:r>
    </w:p>
    <w:p w14:paraId="50A32E2F" w14:textId="7BA5F14B" w:rsidR="000B1A3D" w:rsidRDefault="000B1A3D" w:rsidP="000B1A3D">
      <w:pPr>
        <w:pStyle w:val="ListParagraph"/>
        <w:numPr>
          <w:ilvl w:val="0"/>
          <w:numId w:val="3"/>
        </w:numPr>
        <w:spacing w:line="480" w:lineRule="auto"/>
      </w:pPr>
      <w:r>
        <w:t>Literate, Post-Platonic</w:t>
      </w:r>
    </w:p>
    <w:p w14:paraId="74598247" w14:textId="1648A610" w:rsidR="000B1A3D" w:rsidRDefault="000B1A3D" w:rsidP="00514B6E">
      <w:pPr>
        <w:spacing w:line="480" w:lineRule="auto"/>
        <w:rPr>
          <w:lang w:val="en-US"/>
        </w:rPr>
      </w:pPr>
      <w:r>
        <w:t>She points to the popularity of this periodic breakdown in classical studies as a view of the domination of literacy in later Greek periods</w:t>
      </w:r>
      <w:r>
        <w:rPr>
          <w:rStyle w:val="FootnoteReference"/>
        </w:rPr>
        <w:footnoteReference w:id="25"/>
      </w:r>
      <w:r w:rsidR="002F0CA0">
        <w:t>.  O’Donnell has questioned whether the extant material a</w:t>
      </w:r>
      <w:r w:rsidR="003D2BDD">
        <w:t xml:space="preserve">llows for such sharp boundaries, </w:t>
      </w:r>
      <w:r w:rsidR="002F0CA0">
        <w:t>making the obvious point that change brings complexity</w:t>
      </w:r>
      <w:r w:rsidR="002F0CA0">
        <w:rPr>
          <w:rStyle w:val="FootnoteReference"/>
        </w:rPr>
        <w:footnoteReference w:id="26"/>
      </w:r>
      <w:r w:rsidR="002F0CA0">
        <w:t>.</w:t>
      </w:r>
      <w:r w:rsidR="003D2BDD">
        <w:t xml:space="preserve">  It appears that the categorisation relies on one work by Plato, </w:t>
      </w:r>
      <w:r w:rsidR="003D2BDD" w:rsidRPr="003D2BDD">
        <w:rPr>
          <w:i/>
          <w:lang w:val="en-US"/>
        </w:rPr>
        <w:t xml:space="preserve">Phaedrus </w:t>
      </w:r>
      <w:r w:rsidR="003D2BDD">
        <w:rPr>
          <w:i/>
          <w:lang w:val="en-US"/>
        </w:rPr>
        <w:t>(</w:t>
      </w:r>
      <w:r w:rsidR="003D2BDD" w:rsidRPr="003D2BDD">
        <w:rPr>
          <w:i/>
          <w:lang w:val="en-US"/>
        </w:rPr>
        <w:t>274b–277a</w:t>
      </w:r>
      <w:r w:rsidR="003D2BDD">
        <w:rPr>
          <w:i/>
          <w:lang w:val="en-US"/>
        </w:rPr>
        <w:t>)</w:t>
      </w:r>
      <w:r w:rsidR="00514B6E">
        <w:rPr>
          <w:lang w:val="en-US"/>
        </w:rPr>
        <w:t>, and some have thought that the work privileges speech over writing</w:t>
      </w:r>
      <w:r w:rsidR="00514B6E">
        <w:rPr>
          <w:rStyle w:val="FootnoteReference"/>
          <w:lang w:val="en-US"/>
        </w:rPr>
        <w:footnoteReference w:id="27"/>
      </w:r>
      <w:r w:rsidR="00514B6E">
        <w:rPr>
          <w:lang w:val="en-US"/>
        </w:rPr>
        <w:t>.  For example, he has Socrates say writing:  “</w:t>
      </w:r>
      <w:r w:rsidR="00514B6E" w:rsidRPr="00514B6E">
        <w:rPr>
          <w:lang w:val="en-US"/>
        </w:rPr>
        <w:t>will</w:t>
      </w:r>
      <w:r w:rsidR="00514B6E">
        <w:rPr>
          <w:lang w:val="en-US"/>
        </w:rPr>
        <w:t xml:space="preserve"> </w:t>
      </w:r>
      <w:r w:rsidR="00514B6E" w:rsidRPr="00514B6E">
        <w:rPr>
          <w:lang w:val="en-US"/>
        </w:rPr>
        <w:t>create forgetfulness in the souls of those who learn it, because they</w:t>
      </w:r>
      <w:r w:rsidR="00514B6E">
        <w:rPr>
          <w:lang w:val="en-US"/>
        </w:rPr>
        <w:t xml:space="preserve"> </w:t>
      </w:r>
      <w:r w:rsidR="00514B6E" w:rsidRPr="00514B6E">
        <w:rPr>
          <w:lang w:val="en-US"/>
        </w:rPr>
        <w:t>will not use their memories” (</w:t>
      </w:r>
      <w:r w:rsidR="00514B6E">
        <w:rPr>
          <w:i/>
          <w:lang w:val="en-US"/>
        </w:rPr>
        <w:t xml:space="preserve">Phaedrus </w:t>
      </w:r>
      <w:r w:rsidR="00514B6E">
        <w:rPr>
          <w:i/>
          <w:u w:val="single"/>
          <w:lang w:val="en-US"/>
        </w:rPr>
        <w:t>275a</w:t>
      </w:r>
      <w:r w:rsidR="00514B6E" w:rsidRPr="00514B6E">
        <w:rPr>
          <w:lang w:val="en-US"/>
        </w:rPr>
        <w:t>).</w:t>
      </w:r>
      <w:r w:rsidR="00514B6E">
        <w:rPr>
          <w:lang w:val="en-US"/>
        </w:rPr>
        <w:t xml:space="preserve">  Plato sees writing as a developing attribute of mass culture, something that would make knowledge, the word, accessible to all in an indiscriminate way.  His view does not support the elitist </w:t>
      </w:r>
      <w:r w:rsidR="00C04C00">
        <w:rPr>
          <w:lang w:val="en-US"/>
        </w:rPr>
        <w:t xml:space="preserve">one of the primacy of writing over </w:t>
      </w:r>
      <w:r w:rsidR="003C5237">
        <w:rPr>
          <w:lang w:val="en-US"/>
        </w:rPr>
        <w:t>orality;</w:t>
      </w:r>
      <w:r w:rsidR="00C04C00">
        <w:rPr>
          <w:lang w:val="en-US"/>
        </w:rPr>
        <w:t xml:space="preserve"> rather he is attempting to downgrade the value of writing, perhaps from a desire to retain control of the higher knowledge</w:t>
      </w:r>
      <w:r w:rsidR="00C04C00">
        <w:rPr>
          <w:rStyle w:val="FootnoteReference"/>
          <w:lang w:val="en-US"/>
        </w:rPr>
        <w:footnoteReference w:id="28"/>
      </w:r>
      <w:r w:rsidR="00C04C00">
        <w:rPr>
          <w:lang w:val="en-US"/>
        </w:rPr>
        <w:t xml:space="preserve">. </w:t>
      </w:r>
    </w:p>
    <w:p w14:paraId="34E0D847" w14:textId="30D5FE1A" w:rsidR="00930F6F" w:rsidRDefault="004E7EA5" w:rsidP="000B1A3D">
      <w:pPr>
        <w:spacing w:line="480" w:lineRule="auto"/>
        <w:rPr>
          <w:lang w:val="en-US"/>
        </w:rPr>
      </w:pPr>
      <w:r>
        <w:rPr>
          <w:lang w:val="en-US"/>
        </w:rPr>
        <w:t>Orality, then, was held in high regard in regard to texts that might be considered sacred in Ancient Greece.  One only has to think of the Homeric Poems and the</w:t>
      </w:r>
      <w:r w:rsidR="007E1FDB">
        <w:rPr>
          <w:lang w:val="en-US"/>
        </w:rPr>
        <w:t>ir wide and deep influence.  In another paper, Finkelberg points to their codification in 6</w:t>
      </w:r>
      <w:r w:rsidR="007E1FDB" w:rsidRPr="007E1FDB">
        <w:rPr>
          <w:vertAlign w:val="superscript"/>
          <w:lang w:val="en-US"/>
        </w:rPr>
        <w:t>th</w:t>
      </w:r>
      <w:r w:rsidR="007E1FDB">
        <w:rPr>
          <w:lang w:val="en-US"/>
        </w:rPr>
        <w:t xml:space="preserve"> century BCE, recitation at the prestigious </w:t>
      </w:r>
      <w:r w:rsidR="007E1FDB">
        <w:rPr>
          <w:i/>
          <w:lang w:val="en-US"/>
        </w:rPr>
        <w:t xml:space="preserve">Panatheniac </w:t>
      </w:r>
      <w:r w:rsidR="007E1FDB">
        <w:rPr>
          <w:lang w:val="en-US"/>
        </w:rPr>
        <w:t>festivals, and use in education as an indication that the Greeks considered them a foundation text</w:t>
      </w:r>
      <w:r w:rsidR="007E1FDB">
        <w:rPr>
          <w:rStyle w:val="FootnoteReference"/>
          <w:lang w:val="en-US"/>
        </w:rPr>
        <w:footnoteReference w:id="29"/>
      </w:r>
      <w:r w:rsidR="007E1FDB">
        <w:rPr>
          <w:lang w:val="en-US"/>
        </w:rPr>
        <w:t xml:space="preserve">.  There are other examples </w:t>
      </w:r>
      <w:r w:rsidR="00930F6F">
        <w:rPr>
          <w:lang w:val="en-US"/>
        </w:rPr>
        <w:t>that</w:t>
      </w:r>
      <w:r w:rsidR="007E1FDB">
        <w:rPr>
          <w:lang w:val="en-US"/>
        </w:rPr>
        <w:t xml:space="preserve"> highlight the impact and influence of orality.</w:t>
      </w:r>
    </w:p>
    <w:p w14:paraId="1C81EAE9" w14:textId="77777777" w:rsidR="00930F6F" w:rsidRDefault="00930F6F" w:rsidP="000B1A3D">
      <w:pPr>
        <w:spacing w:line="480" w:lineRule="auto"/>
        <w:rPr>
          <w:lang w:val="en-US"/>
        </w:rPr>
      </w:pPr>
    </w:p>
    <w:p w14:paraId="5DC11D04" w14:textId="2958206E" w:rsidR="007E1FDB" w:rsidRDefault="00930F6F" w:rsidP="000B1A3D">
      <w:pPr>
        <w:spacing w:line="480" w:lineRule="auto"/>
        <w:rPr>
          <w:i/>
        </w:rPr>
      </w:pPr>
      <w:r>
        <w:rPr>
          <w:i/>
        </w:rPr>
        <w:t>The influence of Orality</w:t>
      </w:r>
    </w:p>
    <w:p w14:paraId="680B8889" w14:textId="6D199DFA" w:rsidR="00414F56" w:rsidRDefault="00930F6F" w:rsidP="000B1A3D">
      <w:pPr>
        <w:spacing w:line="480" w:lineRule="auto"/>
        <w:rPr>
          <w:lang w:val="en-US"/>
        </w:rPr>
      </w:pPr>
      <w:r>
        <w:t>Consider the position of oracles as part of the ‘body’ of sacred Greek texts.</w:t>
      </w:r>
      <w:r w:rsidR="00414F56">
        <w:t xml:space="preserve">  Henreichs notes that “</w:t>
      </w:r>
      <w:r w:rsidR="00414F56">
        <w:rPr>
          <w:lang w:val="en-US"/>
        </w:rPr>
        <w:t>[l]</w:t>
      </w:r>
      <w:r w:rsidR="00414F56" w:rsidRPr="00414F56">
        <w:rPr>
          <w:lang w:val="en-US"/>
        </w:rPr>
        <w:t xml:space="preserve">ike most ritual texts, oracles </w:t>
      </w:r>
      <w:r w:rsidR="00414F56">
        <w:rPr>
          <w:lang w:val="en-US"/>
        </w:rPr>
        <w:t>are intrinsically oral…”</w:t>
      </w:r>
      <w:r w:rsidR="00414F56">
        <w:rPr>
          <w:rStyle w:val="FootnoteReference"/>
          <w:lang w:val="en-US"/>
        </w:rPr>
        <w:footnoteReference w:id="30"/>
      </w:r>
      <w:r w:rsidR="00414F56">
        <w:rPr>
          <w:lang w:val="en-US"/>
        </w:rPr>
        <w:t xml:space="preserve">.  That is, they </w:t>
      </w:r>
      <w:r w:rsidR="0018121F">
        <w:rPr>
          <w:lang w:val="en-US"/>
        </w:rPr>
        <w:t>‘</w:t>
      </w:r>
      <w:r w:rsidR="00414F56">
        <w:rPr>
          <w:lang w:val="en-US"/>
        </w:rPr>
        <w:t xml:space="preserve">speak to </w:t>
      </w:r>
      <w:r w:rsidR="0018121F">
        <w:rPr>
          <w:lang w:val="en-US"/>
        </w:rPr>
        <w:t>humans in their own voice about some issue</w:t>
      </w:r>
      <w:r w:rsidR="0018121F">
        <w:rPr>
          <w:rStyle w:val="FootnoteReference"/>
          <w:lang w:val="en-US"/>
        </w:rPr>
        <w:footnoteReference w:id="31"/>
      </w:r>
      <w:r w:rsidR="0018121F">
        <w:rPr>
          <w:lang w:val="en-US"/>
        </w:rPr>
        <w:t xml:space="preserve">.  </w:t>
      </w:r>
      <w:r w:rsidR="00CD0599">
        <w:rPr>
          <w:lang w:val="en-US"/>
        </w:rPr>
        <w:t>At the same time the oracle is recited by the priest or ritual expert and this recreates the divine voice through a human one. Fontenrose notes that though the division between the oracular and the written was blurred, for the duration of the classical period, oracles were mainly communicated and distributed through speech</w:t>
      </w:r>
      <w:r w:rsidR="00CD0599">
        <w:rPr>
          <w:rStyle w:val="FootnoteReference"/>
          <w:lang w:val="en-US"/>
        </w:rPr>
        <w:footnoteReference w:id="32"/>
      </w:r>
      <w:r w:rsidR="00CD0599">
        <w:rPr>
          <w:lang w:val="en-US"/>
        </w:rPr>
        <w:t xml:space="preserve">.  The Delphic Oracle, for example, particularly responded via the spoken word and was believed to be most effect when it spoke for itself, either directly (as </w:t>
      </w:r>
      <w:r w:rsidR="003D4405">
        <w:rPr>
          <w:lang w:val="en-US"/>
        </w:rPr>
        <w:t>in formulaic phrases of the sort “the god said in an oracle”) or through a human proxy</w:t>
      </w:r>
      <w:r w:rsidR="003D4405">
        <w:rPr>
          <w:rStyle w:val="FootnoteReference"/>
          <w:lang w:val="en-US"/>
        </w:rPr>
        <w:footnoteReference w:id="33"/>
      </w:r>
      <w:r w:rsidR="003D4405">
        <w:rPr>
          <w:lang w:val="en-US"/>
        </w:rPr>
        <w:t>.</w:t>
      </w:r>
    </w:p>
    <w:p w14:paraId="7547E391" w14:textId="77777777" w:rsidR="003D4405" w:rsidRDefault="003D4405" w:rsidP="000B1A3D">
      <w:pPr>
        <w:spacing w:line="480" w:lineRule="auto"/>
      </w:pPr>
    </w:p>
    <w:p w14:paraId="09615733" w14:textId="04042D56" w:rsidR="003D4405" w:rsidRDefault="003D4405" w:rsidP="00035095">
      <w:pPr>
        <w:spacing w:line="480" w:lineRule="auto"/>
        <w:rPr>
          <w:lang w:val="en-US"/>
        </w:rPr>
      </w:pPr>
      <w:r>
        <w:t xml:space="preserve">Another example of the impact of orality in the material, written, sacred corpus is </w:t>
      </w:r>
      <w:r w:rsidR="00930F6F">
        <w:rPr>
          <w:lang w:val="en-US"/>
        </w:rPr>
        <w:t>Curses</w:t>
      </w:r>
      <w:r>
        <w:rPr>
          <w:lang w:val="en-US"/>
        </w:rPr>
        <w:t xml:space="preserve">. </w:t>
      </w:r>
      <w:r w:rsidRPr="00D229A8">
        <w:rPr>
          <w:lang w:val="en-US"/>
        </w:rPr>
        <w:t>Eid</w:t>
      </w:r>
      <w:r w:rsidR="00D229A8" w:rsidRPr="00D229A8">
        <w:rPr>
          <w:lang w:val="en-US"/>
        </w:rPr>
        <w:t>inow</w:t>
      </w:r>
      <w:r w:rsidRPr="00D229A8">
        <w:rPr>
          <w:rStyle w:val="FootnoteReference"/>
          <w:lang w:val="en-US"/>
        </w:rPr>
        <w:footnoteReference w:id="34"/>
      </w:r>
      <w:r w:rsidR="00D229A8" w:rsidRPr="00D229A8">
        <w:rPr>
          <w:lang w:val="en-US"/>
        </w:rPr>
        <w:t xml:space="preserve"> argues that </w:t>
      </w:r>
      <w:r w:rsidRPr="00D229A8">
        <w:rPr>
          <w:lang w:val="en-US"/>
        </w:rPr>
        <w:t>the practice of writing binding curses</w:t>
      </w:r>
      <w:r w:rsidR="00D229A8" w:rsidRPr="00D229A8">
        <w:rPr>
          <w:lang w:val="en-US"/>
        </w:rPr>
        <w:t xml:space="preserve"> or </w:t>
      </w:r>
      <w:r w:rsidR="00D229A8" w:rsidRPr="00D229A8">
        <w:rPr>
          <w:i/>
          <w:lang w:val="en-US"/>
        </w:rPr>
        <w:t>katadesmoi</w:t>
      </w:r>
      <w:r w:rsidR="00D229A8" w:rsidRPr="00D229A8">
        <w:rPr>
          <w:lang w:val="en-US"/>
        </w:rPr>
        <w:t>,</w:t>
      </w:r>
      <w:r w:rsidRPr="003D4405">
        <w:rPr>
          <w:lang w:val="en-US"/>
        </w:rPr>
        <w:t xml:space="preserve"> grew out of</w:t>
      </w:r>
      <w:r w:rsidR="00D229A8">
        <w:rPr>
          <w:lang w:val="en-US"/>
        </w:rPr>
        <w:t xml:space="preserve"> </w:t>
      </w:r>
      <w:r w:rsidRPr="003D4405">
        <w:rPr>
          <w:lang w:val="en-US"/>
        </w:rPr>
        <w:t>oral tradi</w:t>
      </w:r>
      <w:r w:rsidR="00D229A8">
        <w:rPr>
          <w:lang w:val="en-US"/>
        </w:rPr>
        <w:t>tion.  There is literary evidence</w:t>
      </w:r>
      <w:r w:rsidRPr="003D4405">
        <w:rPr>
          <w:lang w:val="en-US"/>
        </w:rPr>
        <w:t xml:space="preserve"> that binding songs were being</w:t>
      </w:r>
      <w:r w:rsidR="00D229A8">
        <w:rPr>
          <w:lang w:val="en-US"/>
        </w:rPr>
        <w:t xml:space="preserve"> used, in Athens at least, some</w:t>
      </w:r>
      <w:r w:rsidRPr="003D4405">
        <w:rPr>
          <w:lang w:val="en-US"/>
        </w:rPr>
        <w:t xml:space="preserve"> fifty years before the </w:t>
      </w:r>
      <w:r w:rsidR="00D229A8">
        <w:rPr>
          <w:lang w:val="en-US"/>
        </w:rPr>
        <w:t xml:space="preserve">date ascribed to the </w:t>
      </w:r>
      <w:r w:rsidRPr="003D4405">
        <w:rPr>
          <w:lang w:val="en-US"/>
        </w:rPr>
        <w:t xml:space="preserve">first Attic tablets. </w:t>
      </w:r>
      <w:r w:rsidR="00D229A8">
        <w:rPr>
          <w:lang w:val="en-US"/>
        </w:rPr>
        <w:t xml:space="preserve">In </w:t>
      </w:r>
      <w:r w:rsidRPr="003D4405">
        <w:rPr>
          <w:lang w:val="en-US"/>
        </w:rPr>
        <w:t xml:space="preserve">Aeschylus’ </w:t>
      </w:r>
      <w:r w:rsidRPr="00D229A8">
        <w:rPr>
          <w:i/>
          <w:lang w:val="en-US"/>
        </w:rPr>
        <w:t>Eumenides</w:t>
      </w:r>
      <w:r w:rsidRPr="003D4405">
        <w:rPr>
          <w:lang w:val="en-US"/>
        </w:rPr>
        <w:t xml:space="preserve"> </w:t>
      </w:r>
      <w:r w:rsidR="00D229A8">
        <w:rPr>
          <w:lang w:val="en-US"/>
        </w:rPr>
        <w:t xml:space="preserve">an </w:t>
      </w:r>
      <w:r w:rsidRPr="003D4405">
        <w:rPr>
          <w:lang w:val="en-US"/>
        </w:rPr>
        <w:t xml:space="preserve">oral binding curse, </w:t>
      </w:r>
      <w:r w:rsidR="00D229A8">
        <w:rPr>
          <w:lang w:val="en-US"/>
        </w:rPr>
        <w:t xml:space="preserve">is </w:t>
      </w:r>
      <w:r w:rsidRPr="003D4405">
        <w:rPr>
          <w:lang w:val="en-US"/>
        </w:rPr>
        <w:t>issued by the Furies</w:t>
      </w:r>
      <w:r w:rsidR="00D229A8">
        <w:rPr>
          <w:lang w:val="en-US"/>
        </w:rPr>
        <w:t xml:space="preserve"> </w:t>
      </w:r>
      <w:r w:rsidRPr="003D4405">
        <w:rPr>
          <w:lang w:val="en-US"/>
        </w:rPr>
        <w:t xml:space="preserve">against the defendant Orestes, </w:t>
      </w:r>
      <w:r w:rsidR="00D229A8">
        <w:rPr>
          <w:lang w:val="en-US"/>
        </w:rPr>
        <w:t>being tried for his</w:t>
      </w:r>
      <w:r w:rsidRPr="003D4405">
        <w:rPr>
          <w:lang w:val="en-US"/>
        </w:rPr>
        <w:t xml:space="preserve"> </w:t>
      </w:r>
      <w:r w:rsidR="00D229A8">
        <w:rPr>
          <w:lang w:val="en-US"/>
        </w:rPr>
        <w:t xml:space="preserve">Mother’s </w:t>
      </w:r>
      <w:r w:rsidRPr="003D4405">
        <w:rPr>
          <w:lang w:val="en-US"/>
        </w:rPr>
        <w:t>murder</w:t>
      </w:r>
      <w:r w:rsidR="00D229A8">
        <w:rPr>
          <w:rStyle w:val="FootnoteReference"/>
          <w:lang w:val="en-US"/>
        </w:rPr>
        <w:footnoteReference w:id="35"/>
      </w:r>
      <w:r w:rsidR="00D229A8">
        <w:rPr>
          <w:lang w:val="en-US"/>
        </w:rPr>
        <w:t>.  The development of written curse texts does not mean the end of the oral element.  There are curses in verse and,</w:t>
      </w:r>
      <w:r w:rsidRPr="003D4405">
        <w:rPr>
          <w:lang w:val="en-US"/>
        </w:rPr>
        <w:t xml:space="preserve"> in the Greek Magical Papyri, </w:t>
      </w:r>
      <w:r w:rsidR="00D229A8">
        <w:rPr>
          <w:lang w:val="en-US"/>
        </w:rPr>
        <w:t>creation instructions for</w:t>
      </w:r>
      <w:r w:rsidRPr="003D4405">
        <w:rPr>
          <w:lang w:val="en-US"/>
        </w:rPr>
        <w:t xml:space="preserve"> curses that</w:t>
      </w:r>
      <w:r w:rsidR="00D229A8">
        <w:rPr>
          <w:lang w:val="en-US"/>
        </w:rPr>
        <w:t xml:space="preserve"> encompass</w:t>
      </w:r>
      <w:r w:rsidRPr="003D4405">
        <w:rPr>
          <w:lang w:val="en-US"/>
        </w:rPr>
        <w:t xml:space="preserve"> both oral and written </w:t>
      </w:r>
      <w:r w:rsidR="00D229A8">
        <w:rPr>
          <w:lang w:val="en-US"/>
        </w:rPr>
        <w:t>aspects</w:t>
      </w:r>
      <w:r w:rsidRPr="003D4405">
        <w:rPr>
          <w:lang w:val="en-US"/>
        </w:rPr>
        <w:t>.</w:t>
      </w:r>
      <w:r w:rsidR="00035095">
        <w:rPr>
          <w:lang w:val="en-US"/>
        </w:rPr>
        <w:t xml:space="preserve">  </w:t>
      </w:r>
      <w:r w:rsidR="00035095" w:rsidRPr="00035095">
        <w:rPr>
          <w:lang w:val="en-US"/>
        </w:rPr>
        <w:t>The archaeological</w:t>
      </w:r>
      <w:r w:rsidR="00035095">
        <w:rPr>
          <w:lang w:val="en-US"/>
        </w:rPr>
        <w:t xml:space="preserve"> </w:t>
      </w:r>
      <w:r w:rsidR="00035095" w:rsidRPr="00035095">
        <w:rPr>
          <w:lang w:val="en-US"/>
        </w:rPr>
        <w:t xml:space="preserve">record </w:t>
      </w:r>
      <w:r w:rsidR="00035095">
        <w:rPr>
          <w:lang w:val="en-US"/>
        </w:rPr>
        <w:t xml:space="preserve">confirms the popularity of </w:t>
      </w:r>
      <w:r w:rsidR="00035095" w:rsidRPr="00035095">
        <w:rPr>
          <w:lang w:val="en-US"/>
        </w:rPr>
        <w:t>curs</w:t>
      </w:r>
      <w:r w:rsidR="00035095">
        <w:rPr>
          <w:lang w:val="en-US"/>
        </w:rPr>
        <w:t>e tablets: over 1600 have been recovered from all over the Gr</w:t>
      </w:r>
      <w:r w:rsidR="00035095" w:rsidRPr="00035095">
        <w:rPr>
          <w:lang w:val="en-US"/>
        </w:rPr>
        <w:t xml:space="preserve">eco-Roman world, dating from around the end of the </w:t>
      </w:r>
      <w:r w:rsidR="00035095">
        <w:rPr>
          <w:lang w:val="en-US"/>
        </w:rPr>
        <w:t>6</w:t>
      </w:r>
      <w:r w:rsidR="00035095" w:rsidRPr="00035095">
        <w:rPr>
          <w:vertAlign w:val="superscript"/>
          <w:lang w:val="en-US"/>
        </w:rPr>
        <w:t>th</w:t>
      </w:r>
      <w:r w:rsidR="00035095">
        <w:rPr>
          <w:lang w:val="en-US"/>
        </w:rPr>
        <w:t xml:space="preserve"> </w:t>
      </w:r>
      <w:r w:rsidR="00035095" w:rsidRPr="00035095">
        <w:rPr>
          <w:lang w:val="en-US"/>
        </w:rPr>
        <w:t xml:space="preserve">century </w:t>
      </w:r>
      <w:r w:rsidR="00035095">
        <w:rPr>
          <w:lang w:val="en-US"/>
        </w:rPr>
        <w:t xml:space="preserve">BCE </w:t>
      </w:r>
      <w:r w:rsidR="00035095" w:rsidRPr="00035095">
        <w:rPr>
          <w:lang w:val="en-US"/>
        </w:rPr>
        <w:t xml:space="preserve">to the </w:t>
      </w:r>
      <w:r w:rsidR="00035095">
        <w:rPr>
          <w:lang w:val="en-US"/>
        </w:rPr>
        <w:t>8th century CE</w:t>
      </w:r>
      <w:r w:rsidR="00035095">
        <w:rPr>
          <w:rStyle w:val="FootnoteReference"/>
          <w:lang w:val="en-US"/>
        </w:rPr>
        <w:footnoteReference w:id="36"/>
      </w:r>
      <w:r w:rsidR="00035095" w:rsidRPr="00035095">
        <w:rPr>
          <w:lang w:val="en-US"/>
        </w:rPr>
        <w:t>.</w:t>
      </w:r>
    </w:p>
    <w:p w14:paraId="2CF3A988" w14:textId="77777777" w:rsidR="00EC784D" w:rsidRDefault="00EC784D" w:rsidP="00035095">
      <w:pPr>
        <w:spacing w:line="480" w:lineRule="auto"/>
        <w:rPr>
          <w:lang w:val="en-US"/>
        </w:rPr>
      </w:pPr>
    </w:p>
    <w:p w14:paraId="1ABB9AEE" w14:textId="3770ADD3" w:rsidR="00EC784D" w:rsidRDefault="00EC784D" w:rsidP="00035095">
      <w:pPr>
        <w:spacing w:line="480" w:lineRule="auto"/>
        <w:rPr>
          <w:rFonts w:ascii="Palatino Linotype" w:eastAsia="Times New Roman" w:hAnsi="Palatino Linotype"/>
        </w:rPr>
      </w:pPr>
      <w:r>
        <w:rPr>
          <w:lang w:val="en-US"/>
        </w:rPr>
        <w:t>A final example might be considered to show how orality is sometimes hidden within sacred, written texts. Lupu in their study of Greek law shows that what are termed ‘informative texts’ abound in relation to religious activities.</w:t>
      </w:r>
      <w:r>
        <w:rPr>
          <w:rFonts w:ascii="Palatino Linotype" w:eastAsia="Times New Roman" w:hAnsi="Palatino Linotype"/>
        </w:rPr>
        <w:t xml:space="preserve">  There are, for example, calendars, funding informati</w:t>
      </w:r>
      <w:r w:rsidR="0075722E">
        <w:rPr>
          <w:rFonts w:ascii="Palatino Linotype" w:eastAsia="Times New Roman" w:hAnsi="Palatino Linotype"/>
        </w:rPr>
        <w:t>on</w:t>
      </w:r>
      <w:r>
        <w:rPr>
          <w:rFonts w:ascii="Palatino Linotype" w:eastAsia="Times New Roman" w:hAnsi="Palatino Linotype"/>
        </w:rPr>
        <w:t xml:space="preserve">, dedications, </w:t>
      </w:r>
      <w:r w:rsidR="0075722E">
        <w:rPr>
          <w:rFonts w:ascii="Palatino Linotype" w:eastAsia="Times New Roman" w:hAnsi="Palatino Linotype"/>
        </w:rPr>
        <w:t xml:space="preserve">statutes, and cult and </w:t>
      </w:r>
      <w:r>
        <w:rPr>
          <w:rFonts w:ascii="Palatino Linotype" w:eastAsia="Times New Roman" w:hAnsi="Palatino Linotype"/>
        </w:rPr>
        <w:t>sanctuary regulations</w:t>
      </w:r>
      <w:r w:rsidR="0075722E">
        <w:rPr>
          <w:rFonts w:ascii="Palatino Linotype" w:eastAsia="Times New Roman" w:hAnsi="Palatino Linotype"/>
        </w:rPr>
        <w:t xml:space="preserve"> and are in a sense administrative aids to the prosecution of religious and sacred sites</w:t>
      </w:r>
      <w:r w:rsidR="0075722E">
        <w:rPr>
          <w:rStyle w:val="FootnoteReference"/>
          <w:rFonts w:ascii="Palatino Linotype" w:eastAsia="Times New Roman" w:hAnsi="Palatino Linotype"/>
        </w:rPr>
        <w:footnoteReference w:id="37"/>
      </w:r>
      <w:r w:rsidR="0075722E">
        <w:rPr>
          <w:rFonts w:ascii="Palatino Linotype" w:eastAsia="Times New Roman" w:hAnsi="Palatino Linotype"/>
        </w:rPr>
        <w:t xml:space="preserve">.  </w:t>
      </w:r>
    </w:p>
    <w:p w14:paraId="4AB2CC40" w14:textId="49040870" w:rsidR="0075722E" w:rsidRDefault="0075722E" w:rsidP="008C05CE">
      <w:pPr>
        <w:spacing w:line="480" w:lineRule="auto"/>
        <w:rPr>
          <w:rFonts w:ascii="Palatino Linotype" w:hAnsi="Palatino Linotype" w:cs="Times New Roman"/>
          <w:lang w:val="en-US"/>
        </w:rPr>
      </w:pPr>
      <w:r>
        <w:rPr>
          <w:lang w:val="en-US"/>
        </w:rPr>
        <w:t>The writing down and thus preservation of prescriptive, ‘how to’, guidelines or instructions in relation to ritu</w:t>
      </w:r>
      <w:r w:rsidR="007C6FA4">
        <w:rPr>
          <w:lang w:val="en-US"/>
        </w:rPr>
        <w:t xml:space="preserve">al is rare.  One example of their preservation is </w:t>
      </w:r>
      <w:r>
        <w:rPr>
          <w:lang w:val="en-US"/>
        </w:rPr>
        <w:t xml:space="preserve">on a </w:t>
      </w:r>
      <w:r>
        <w:rPr>
          <w:rFonts w:ascii="Palatino Linotype" w:hAnsi="Palatino Linotype" w:cs="Times New Roman"/>
          <w:lang w:val="en-CA"/>
        </w:rPr>
        <w:t>5</w:t>
      </w:r>
      <w:r w:rsidRPr="0075722E">
        <w:rPr>
          <w:rFonts w:ascii="Palatino Linotype" w:hAnsi="Palatino Linotype" w:cs="Times New Roman"/>
          <w:vertAlign w:val="superscript"/>
          <w:lang w:val="en-CA"/>
        </w:rPr>
        <w:t>th</w:t>
      </w:r>
      <w:r>
        <w:rPr>
          <w:rFonts w:ascii="Palatino Linotype" w:hAnsi="Palatino Linotype" w:cs="Times New Roman"/>
          <w:lang w:val="en-CA"/>
        </w:rPr>
        <w:t xml:space="preserve"> century</w:t>
      </w:r>
      <w:r w:rsidR="008C05CE">
        <w:rPr>
          <w:rFonts w:ascii="Palatino Linotype" w:hAnsi="Palatino Linotype" w:cs="Times New Roman"/>
          <w:lang w:val="en-CA"/>
        </w:rPr>
        <w:t xml:space="preserve"> BCE</w:t>
      </w:r>
      <w:r w:rsidRPr="00E16DE0">
        <w:rPr>
          <w:rFonts w:ascii="Palatino Linotype" w:hAnsi="Palatino Linotype" w:cs="Times New Roman"/>
          <w:lang w:val="en-CA"/>
        </w:rPr>
        <w:t xml:space="preserve"> tablet from Selinus, Sicily</w:t>
      </w:r>
      <w:r>
        <w:rPr>
          <w:rStyle w:val="FootnoteReference"/>
          <w:rFonts w:ascii="Palatino Linotype" w:hAnsi="Palatino Linotype" w:cs="Times New Roman"/>
          <w:lang w:val="en-CA"/>
        </w:rPr>
        <w:footnoteReference w:id="38"/>
      </w:r>
      <w:r w:rsidR="007C6FA4">
        <w:rPr>
          <w:rFonts w:ascii="Palatino Linotype" w:hAnsi="Palatino Linotype" w:cs="Times New Roman"/>
          <w:lang w:val="en-CA"/>
        </w:rPr>
        <w:t>.</w:t>
      </w:r>
      <w:r>
        <w:rPr>
          <w:rFonts w:ascii="Palatino Linotype" w:hAnsi="Palatino Linotype" w:cs="Times New Roman"/>
          <w:lang w:val="en-CA"/>
        </w:rPr>
        <w:t xml:space="preserve"> </w:t>
      </w:r>
      <w:r w:rsidR="007C6FA4">
        <w:rPr>
          <w:rFonts w:ascii="Palatino Linotype" w:hAnsi="Palatino Linotype" w:cs="Times New Roman"/>
          <w:lang w:val="en-CA"/>
        </w:rPr>
        <w:t>I</w:t>
      </w:r>
      <w:r w:rsidR="008C05CE">
        <w:rPr>
          <w:rFonts w:ascii="Palatino Linotype" w:hAnsi="Palatino Linotype" w:cs="Times New Roman"/>
          <w:lang w:val="en-CA"/>
        </w:rPr>
        <w:t xml:space="preserve">t provides ritual details related to the </w:t>
      </w:r>
      <w:r w:rsidR="008C05CE" w:rsidRPr="008C05CE">
        <w:rPr>
          <w:rFonts w:ascii="Palatino Linotype" w:hAnsi="Palatino Linotype" w:cs="Times New Roman"/>
          <w:lang w:val="en-US"/>
        </w:rPr>
        <w:t>off</w:t>
      </w:r>
      <w:r w:rsidR="008C05CE">
        <w:rPr>
          <w:rFonts w:ascii="Palatino Linotype" w:hAnsi="Palatino Linotype" w:cs="Times New Roman"/>
          <w:lang w:val="en-US"/>
        </w:rPr>
        <w:t>ering of sacrifices before the festival of</w:t>
      </w:r>
      <w:r w:rsidR="007C6FA4">
        <w:rPr>
          <w:rFonts w:ascii="Palatino Linotype" w:hAnsi="Palatino Linotype" w:cs="Times New Roman"/>
          <w:lang w:val="en-US"/>
        </w:rPr>
        <w:t xml:space="preserve"> </w:t>
      </w:r>
      <w:r w:rsidR="008C05CE" w:rsidRPr="008C05CE">
        <w:rPr>
          <w:rFonts w:ascii="Palatino Linotype" w:hAnsi="Palatino Linotype" w:cs="Times New Roman"/>
          <w:lang w:val="en-US"/>
        </w:rPr>
        <w:t>the Kotytia</w:t>
      </w:r>
      <w:r w:rsidR="008C05CE">
        <w:rPr>
          <w:rFonts w:ascii="Palatino Linotype" w:hAnsi="Palatino Linotype" w:cs="Times New Roman"/>
          <w:lang w:val="en-US"/>
        </w:rPr>
        <w:t xml:space="preserve">, and some details are </w:t>
      </w:r>
      <w:r w:rsidR="007C6FA4">
        <w:rPr>
          <w:rFonts w:ascii="Palatino Linotype" w:hAnsi="Palatino Linotype" w:cs="Times New Roman"/>
          <w:lang w:val="en-US"/>
        </w:rPr>
        <w:t xml:space="preserve">specific and </w:t>
      </w:r>
      <w:r w:rsidR="008C05CE">
        <w:rPr>
          <w:rFonts w:ascii="Palatino Linotype" w:hAnsi="Palatino Linotype" w:cs="Times New Roman"/>
          <w:lang w:val="en-US"/>
        </w:rPr>
        <w:t>graphic – “</w:t>
      </w:r>
      <w:r w:rsidR="007C6FA4" w:rsidRPr="007C6FA4">
        <w:rPr>
          <w:rFonts w:ascii="Palatino Linotype" w:hAnsi="Palatino Linotype" w:cs="Times New Roman"/>
          <w:lang w:val="en-US"/>
        </w:rPr>
        <w:t>and then they shall sacrifice a full</w:t>
      </w:r>
      <w:r w:rsidR="007C6FA4">
        <w:rPr>
          <w:rFonts w:ascii="Palatino Linotype" w:hAnsi="Palatino Linotype" w:cs="Times New Roman"/>
          <w:lang w:val="en-US"/>
        </w:rPr>
        <w:t>-</w:t>
      </w:r>
      <w:r w:rsidR="007C6FA4" w:rsidRPr="007C6FA4">
        <w:rPr>
          <w:rFonts w:ascii="Palatino Linotype" w:hAnsi="Palatino Linotype" w:cs="Times New Roman"/>
          <w:lang w:val="en-US"/>
        </w:rPr>
        <w:t>grown</w:t>
      </w:r>
      <w:r w:rsidR="007C6FA4">
        <w:rPr>
          <w:rFonts w:ascii="Palatino Linotype" w:hAnsi="Palatino Linotype" w:cs="Times New Roman"/>
          <w:lang w:val="en-US"/>
        </w:rPr>
        <w:t xml:space="preserve"> {victim]”</w:t>
      </w:r>
      <w:r w:rsidR="007C6FA4">
        <w:rPr>
          <w:rStyle w:val="FootnoteReference"/>
          <w:rFonts w:ascii="Palatino Linotype" w:hAnsi="Palatino Linotype" w:cs="Times New Roman"/>
          <w:lang w:val="en-US"/>
        </w:rPr>
        <w:footnoteReference w:id="39"/>
      </w:r>
      <w:r w:rsidR="007C6FA4">
        <w:rPr>
          <w:rFonts w:ascii="Palatino Linotype" w:hAnsi="Palatino Linotype" w:cs="Times New Roman"/>
          <w:lang w:val="en-US"/>
        </w:rPr>
        <w:t>.  However, Lupu argues that text still assumes “</w:t>
      </w:r>
      <w:r w:rsidR="007C6FA4" w:rsidRPr="007C6FA4">
        <w:rPr>
          <w:rFonts w:ascii="Palatino Linotype" w:hAnsi="Palatino Linotype" w:cs="Times New Roman"/>
          <w:lang w:val="en-US"/>
        </w:rPr>
        <w:t>a basic familiarity with ordinary cult practice</w:t>
      </w:r>
      <w:r w:rsidR="007C6FA4">
        <w:rPr>
          <w:rFonts w:ascii="Palatino Linotype" w:hAnsi="Palatino Linotype" w:cs="Times New Roman"/>
          <w:lang w:val="en-US"/>
        </w:rPr>
        <w:t>”</w:t>
      </w:r>
      <w:r w:rsidR="007C6FA4">
        <w:rPr>
          <w:rStyle w:val="FootnoteReference"/>
          <w:rFonts w:ascii="Palatino Linotype" w:hAnsi="Palatino Linotype" w:cs="Times New Roman"/>
          <w:lang w:val="en-US"/>
        </w:rPr>
        <w:footnoteReference w:id="40"/>
      </w:r>
      <w:r w:rsidR="00082783">
        <w:rPr>
          <w:rFonts w:ascii="Palatino Linotype" w:hAnsi="Palatino Linotype" w:cs="Times New Roman"/>
          <w:lang w:val="en-US"/>
        </w:rPr>
        <w:t xml:space="preserve">.  This </w:t>
      </w:r>
      <w:r w:rsidR="007C6FA4">
        <w:rPr>
          <w:rFonts w:ascii="Palatino Linotype" w:hAnsi="Palatino Linotype" w:cs="Times New Roman"/>
          <w:lang w:val="en-US"/>
        </w:rPr>
        <w:t>familiarity would have been communicated orally and expected to be committed to memory by officiates, perhaps via regular practice.  Lupu thinks the writing down of ritual detail in the Sicilian example may be owing to the complex nature of the particular processes involved</w:t>
      </w:r>
      <w:r w:rsidR="00082783">
        <w:rPr>
          <w:rStyle w:val="FootnoteReference"/>
          <w:rFonts w:ascii="Palatino Linotype" w:hAnsi="Palatino Linotype" w:cs="Times New Roman"/>
          <w:lang w:val="en-US"/>
        </w:rPr>
        <w:footnoteReference w:id="41"/>
      </w:r>
      <w:r w:rsidR="007C6FA4">
        <w:rPr>
          <w:rFonts w:ascii="Palatino Linotype" w:hAnsi="Palatino Linotype" w:cs="Times New Roman"/>
          <w:lang w:val="en-US"/>
        </w:rPr>
        <w:t>.</w:t>
      </w:r>
      <w:r w:rsidR="00082783">
        <w:rPr>
          <w:rFonts w:ascii="Palatino Linotype" w:hAnsi="Palatino Linotype" w:cs="Times New Roman"/>
          <w:lang w:val="en-US"/>
        </w:rPr>
        <w:t xml:space="preserve">  </w:t>
      </w:r>
    </w:p>
    <w:p w14:paraId="62F5BD35" w14:textId="77777777" w:rsidR="00082783" w:rsidRDefault="00082783" w:rsidP="008C05CE">
      <w:pPr>
        <w:spacing w:line="480" w:lineRule="auto"/>
        <w:rPr>
          <w:rFonts w:ascii="Palatino Linotype" w:hAnsi="Palatino Linotype" w:cs="Times New Roman"/>
          <w:i/>
          <w:lang w:val="en-US"/>
        </w:rPr>
      </w:pPr>
    </w:p>
    <w:p w14:paraId="4DBDE50A" w14:textId="45302484" w:rsidR="007C6FA4" w:rsidRDefault="00082783" w:rsidP="008C05CE">
      <w:pPr>
        <w:spacing w:line="480" w:lineRule="auto"/>
        <w:rPr>
          <w:rFonts w:ascii="Palatino Linotype" w:hAnsi="Palatino Linotype" w:cs="Times New Roman"/>
          <w:i/>
          <w:lang w:val="en-US"/>
        </w:rPr>
      </w:pPr>
      <w:r>
        <w:rPr>
          <w:rFonts w:ascii="Palatino Linotype" w:hAnsi="Palatino Linotype" w:cs="Times New Roman"/>
          <w:i/>
          <w:lang w:val="en-US"/>
        </w:rPr>
        <w:t>Conclusions</w:t>
      </w:r>
    </w:p>
    <w:p w14:paraId="387D0ABB" w14:textId="74C83EA8" w:rsidR="003D4405" w:rsidRPr="008874E5" w:rsidRDefault="00082783" w:rsidP="000B1A3D">
      <w:pPr>
        <w:spacing w:line="480" w:lineRule="auto"/>
        <w:rPr>
          <w:rFonts w:ascii="Palatino Linotype" w:hAnsi="Palatino Linotype" w:cs="Times New Roman"/>
          <w:lang w:val="en-US"/>
        </w:rPr>
      </w:pPr>
      <w:r>
        <w:rPr>
          <w:rFonts w:ascii="Palatino Linotype" w:hAnsi="Palatino Linotype" w:cs="Times New Roman"/>
          <w:lang w:val="en-US"/>
        </w:rPr>
        <w:t xml:space="preserve">This essay has examined the role of orality in sacred, written texts.  The pervasive influence of the oral compositions known as the Homeric Poems – that acted as a foundation text when written down – has been highlighted.  Other examples of sacred compositions, designed to be spoken or performed, such as oracles and curses, point to the role orality has in giving life and power to the texts.  The original </w:t>
      </w:r>
      <w:r w:rsidR="00CF3FD2">
        <w:rPr>
          <w:rFonts w:ascii="Palatino Linotype" w:hAnsi="Palatino Linotype" w:cs="Times New Roman"/>
          <w:lang w:val="en-US"/>
        </w:rPr>
        <w:t>actors who interacted with these texts would have expected and assumed the oral aspects of them.  The rareness of extant prescriptive ritual texts implies that basic ritual practice was still the preserve of memorized oral tradition and only special details or deviations were thought necessary to commit to word.</w:t>
      </w:r>
      <w:r>
        <w:rPr>
          <w:rFonts w:ascii="Palatino Linotype" w:hAnsi="Palatino Linotype" w:cs="Times New Roman"/>
          <w:lang w:val="en-US"/>
        </w:rPr>
        <w:t xml:space="preserve"> </w:t>
      </w:r>
    </w:p>
    <w:p w14:paraId="30117988" w14:textId="77777777" w:rsidR="003D4405" w:rsidRDefault="003D4405" w:rsidP="000B1A3D">
      <w:pPr>
        <w:spacing w:line="480" w:lineRule="auto"/>
        <w:rPr>
          <w:lang w:val="en-US"/>
        </w:rPr>
      </w:pPr>
    </w:p>
    <w:p w14:paraId="483571B6" w14:textId="45582B62" w:rsidR="00D603A8" w:rsidRPr="00D603A8" w:rsidRDefault="00D603A8" w:rsidP="006B48E8">
      <w:pPr>
        <w:spacing w:line="480" w:lineRule="auto"/>
        <w:rPr>
          <w:i/>
          <w:lang w:val="en-CA"/>
        </w:rPr>
      </w:pPr>
      <w:r w:rsidRPr="00D603A8">
        <w:rPr>
          <w:i/>
          <w:lang w:val="en-CA"/>
        </w:rPr>
        <w:t>References</w:t>
      </w:r>
    </w:p>
    <w:p w14:paraId="4AD208CD" w14:textId="673B0157" w:rsidR="00D603A8" w:rsidRPr="00D603A8" w:rsidRDefault="00D603A8" w:rsidP="006B48E8">
      <w:pPr>
        <w:spacing w:line="480" w:lineRule="auto"/>
        <w:rPr>
          <w:lang w:val="en-CA"/>
        </w:rPr>
      </w:pPr>
      <w:r w:rsidRPr="00D603A8">
        <w:rPr>
          <w:lang w:val="en-CA"/>
        </w:rPr>
        <w:t>Beard, M. 'Writing and Religion', in S. I. Johnston (ed.) </w:t>
      </w:r>
      <w:r w:rsidRPr="00D603A8">
        <w:rPr>
          <w:i/>
          <w:iCs/>
          <w:lang w:val="en-CA"/>
        </w:rPr>
        <w:t>Ancient Religions</w:t>
      </w:r>
      <w:r w:rsidRPr="00D603A8">
        <w:rPr>
          <w:lang w:val="en-CA"/>
        </w:rPr>
        <w:t xml:space="preserve">. </w:t>
      </w:r>
      <w:r w:rsidR="00285912">
        <w:rPr>
          <w:lang w:val="en-CA"/>
        </w:rPr>
        <w:t>(</w:t>
      </w:r>
      <w:r w:rsidRPr="00D603A8">
        <w:rPr>
          <w:lang w:val="en-CA"/>
        </w:rPr>
        <w:t>Cambridge MA: Harvard University Press, 2007</w:t>
      </w:r>
      <w:r w:rsidR="00285912">
        <w:rPr>
          <w:lang w:val="en-CA"/>
        </w:rPr>
        <w:t>)</w:t>
      </w:r>
      <w:r w:rsidRPr="00D603A8">
        <w:rPr>
          <w:lang w:val="en-CA"/>
        </w:rPr>
        <w:t xml:space="preserve">, </w:t>
      </w:r>
      <w:r w:rsidR="00285912">
        <w:rPr>
          <w:lang w:val="en-CA"/>
        </w:rPr>
        <w:t>pp.</w:t>
      </w:r>
      <w:r w:rsidRPr="00D603A8">
        <w:rPr>
          <w:lang w:val="en-CA"/>
        </w:rPr>
        <w:t>127-138.</w:t>
      </w:r>
    </w:p>
    <w:p w14:paraId="246B3BD2" w14:textId="24033B1C" w:rsidR="006B48E8" w:rsidRDefault="006B48E8" w:rsidP="006B48E8">
      <w:pPr>
        <w:spacing w:line="480" w:lineRule="auto"/>
        <w:rPr>
          <w:lang w:val="en-CA"/>
        </w:rPr>
      </w:pPr>
      <w:r w:rsidRPr="006B48E8">
        <w:rPr>
          <w:lang w:val="en-CA"/>
        </w:rPr>
        <w:t>Bryant, J. M. ‘</w:t>
      </w:r>
      <w:r w:rsidRPr="00233143">
        <w:rPr>
          <w:lang w:val="en-CA"/>
        </w:rPr>
        <w:t>Intellectuals and Religion in Ancient Greece: Notes on a Weberian Theme</w:t>
      </w:r>
      <w:r w:rsidRPr="006B48E8">
        <w:rPr>
          <w:lang w:val="en-CA"/>
        </w:rPr>
        <w:t xml:space="preserve">’ </w:t>
      </w:r>
      <w:r w:rsidRPr="006B48E8">
        <w:rPr>
          <w:iCs/>
          <w:lang w:val="en-CA"/>
        </w:rPr>
        <w:t>BJS</w:t>
      </w:r>
      <w:r w:rsidRPr="006B48E8">
        <w:rPr>
          <w:lang w:val="en-CA"/>
        </w:rPr>
        <w:t xml:space="preserve"> 37, 1986, 269-296.</w:t>
      </w:r>
    </w:p>
    <w:p w14:paraId="1D310974" w14:textId="4E74CB21" w:rsidR="00A24175" w:rsidRPr="00A24175" w:rsidRDefault="006D2856" w:rsidP="00A24175">
      <w:pPr>
        <w:spacing w:line="480" w:lineRule="auto"/>
      </w:pPr>
      <w:r w:rsidRPr="006D2856">
        <w:t xml:space="preserve">Eidinow, E. </w:t>
      </w:r>
      <w:r w:rsidRPr="00233143">
        <w:rPr>
          <w:i/>
          <w:iCs/>
        </w:rPr>
        <w:t>Oracles, Curses and Risk among the Ancient Greeks</w:t>
      </w:r>
      <w:r w:rsidR="00A24175">
        <w:t>. Oxford: OUP, 2007, ch.7.</w:t>
      </w:r>
    </w:p>
    <w:p w14:paraId="655D420F" w14:textId="6851B678" w:rsidR="00A24175" w:rsidRPr="00A24175" w:rsidRDefault="00A24175" w:rsidP="00A24175">
      <w:pPr>
        <w:spacing w:line="480" w:lineRule="auto"/>
        <w:rPr>
          <w:lang w:val="en-US"/>
        </w:rPr>
      </w:pPr>
      <w:r w:rsidRPr="00A24175">
        <w:rPr>
          <w:lang w:val="en-US"/>
        </w:rPr>
        <w:t>Evans</w:t>
      </w:r>
      <w:r>
        <w:rPr>
          <w:lang w:val="en-US"/>
        </w:rPr>
        <w:t>, N. A.,“</w:t>
      </w:r>
      <w:r w:rsidRPr="00A24175">
        <w:rPr>
          <w:lang w:val="en-US"/>
        </w:rPr>
        <w:t>Sanctuaries, Sacrifices, and the Eleusinian Mysteries</w:t>
      </w:r>
      <w:r>
        <w:rPr>
          <w:lang w:val="en-US"/>
        </w:rPr>
        <w:t>”</w:t>
      </w:r>
      <w:r w:rsidRPr="00A24175">
        <w:rPr>
          <w:lang w:val="en-US"/>
        </w:rPr>
        <w:t xml:space="preserve"> </w:t>
      </w:r>
      <w:r w:rsidRPr="00A24175">
        <w:rPr>
          <w:i/>
          <w:lang w:val="en-US"/>
        </w:rPr>
        <w:t>Numen</w:t>
      </w:r>
      <w:r w:rsidRPr="00A24175">
        <w:rPr>
          <w:lang w:val="en-US"/>
        </w:rPr>
        <w:t>, Vol. 49, No. 3 (2002), pp. 227-254</w:t>
      </w:r>
      <w:r>
        <w:rPr>
          <w:lang w:val="en-US"/>
        </w:rPr>
        <w:t>.</w:t>
      </w:r>
    </w:p>
    <w:p w14:paraId="1C18ABE3" w14:textId="2BBA229C" w:rsidR="00D603A8" w:rsidRDefault="00D603A8" w:rsidP="006B48E8">
      <w:pPr>
        <w:spacing w:line="480" w:lineRule="auto"/>
        <w:rPr>
          <w:lang w:val="en-CA"/>
        </w:rPr>
      </w:pPr>
      <w:r w:rsidRPr="00D603A8">
        <w:rPr>
          <w:lang w:val="en-CA"/>
        </w:rPr>
        <w:t>Finkelberg, M. ‘Elitist Orality and the Triviality of Writing’, in C. Cooper (ed.)</w:t>
      </w:r>
      <w:r w:rsidR="00A7662D">
        <w:rPr>
          <w:lang w:val="en-CA"/>
        </w:rPr>
        <w:t>,</w:t>
      </w:r>
      <w:r w:rsidRPr="00D603A8">
        <w:rPr>
          <w:lang w:val="en-CA"/>
        </w:rPr>
        <w:t xml:space="preserve"> </w:t>
      </w:r>
      <w:r w:rsidRPr="00233143">
        <w:rPr>
          <w:i/>
          <w:iCs/>
          <w:lang w:val="en-CA"/>
        </w:rPr>
        <w:t>Politics of Orality: Orality and Literacy in Ancient Greece, Vol. 6</w:t>
      </w:r>
      <w:r w:rsidRPr="00D603A8">
        <w:rPr>
          <w:lang w:val="en-CA"/>
        </w:rPr>
        <w:t xml:space="preserve">. Leiden: Brill, 2007, 293-305. </w:t>
      </w:r>
    </w:p>
    <w:p w14:paraId="52AC6FBE" w14:textId="0217B7B8" w:rsidR="00D11012" w:rsidRPr="00A7662D" w:rsidRDefault="00D11012" w:rsidP="00D11012">
      <w:pPr>
        <w:spacing w:line="480" w:lineRule="auto"/>
        <w:rPr>
          <w:lang w:val="en-US"/>
        </w:rPr>
      </w:pPr>
      <w:r>
        <w:rPr>
          <w:lang w:val="en-US"/>
        </w:rPr>
        <w:t>Finkelberg, M. ‘Homer as a Foundation Text’</w:t>
      </w:r>
      <w:r w:rsidRPr="00D11012">
        <w:rPr>
          <w:lang w:val="en-US"/>
        </w:rPr>
        <w:t>,</w:t>
      </w:r>
      <w:r w:rsidR="00A7662D">
        <w:rPr>
          <w:lang w:val="en-US"/>
        </w:rPr>
        <w:t xml:space="preserve"> in</w:t>
      </w:r>
      <w:r w:rsidR="00A7662D" w:rsidRPr="00A7662D">
        <w:rPr>
          <w:lang w:val="en-US"/>
        </w:rPr>
        <w:t xml:space="preserve"> </w:t>
      </w:r>
      <w:r w:rsidR="00A7662D" w:rsidRPr="00D11012">
        <w:rPr>
          <w:lang w:val="en-US"/>
        </w:rPr>
        <w:t>Margalit Finkelberg and Guy G. Stroumsa</w:t>
      </w:r>
      <w:r w:rsidR="00A7662D">
        <w:rPr>
          <w:lang w:val="en-US"/>
        </w:rPr>
        <w:t xml:space="preserve"> (eds), </w:t>
      </w:r>
      <w:r w:rsidRPr="00A7662D">
        <w:rPr>
          <w:i/>
          <w:lang w:val="en-US"/>
        </w:rPr>
        <w:t>Homer, the Bible, and beyond; literary and religious canons in the ancient world</w:t>
      </w:r>
      <w:r w:rsidR="00A7662D">
        <w:rPr>
          <w:lang w:val="en-US"/>
        </w:rPr>
        <w:t>, (London: Brill,</w:t>
      </w:r>
      <w:r w:rsidRPr="00D11012">
        <w:rPr>
          <w:lang w:val="en-US"/>
        </w:rPr>
        <w:t xml:space="preserve"> 2003</w:t>
      </w:r>
      <w:r w:rsidR="00A7662D">
        <w:rPr>
          <w:lang w:val="en-US"/>
        </w:rPr>
        <w:t>), pp. 75-96.</w:t>
      </w:r>
    </w:p>
    <w:p w14:paraId="73A36E7D" w14:textId="1DD9DC3B" w:rsidR="0018121F" w:rsidRPr="006B48E8" w:rsidRDefault="0018121F" w:rsidP="006B48E8">
      <w:pPr>
        <w:spacing w:line="480" w:lineRule="auto"/>
        <w:rPr>
          <w:lang w:val="en-CA"/>
        </w:rPr>
      </w:pPr>
      <w:r>
        <w:rPr>
          <w:lang w:val="en-US"/>
        </w:rPr>
        <w:t xml:space="preserve">Fontenrose, J. </w:t>
      </w:r>
      <w:r w:rsidRPr="0018121F">
        <w:rPr>
          <w:i/>
          <w:lang w:val="en-US"/>
        </w:rPr>
        <w:t>The Delphic Oracle: Its Responses and Operations</w:t>
      </w:r>
      <w:r w:rsidRPr="0018121F">
        <w:rPr>
          <w:lang w:val="en-US"/>
        </w:rPr>
        <w:t>. Berkeley/Los Angeles/Lon</w:t>
      </w:r>
      <w:r>
        <w:rPr>
          <w:lang w:val="en-US"/>
        </w:rPr>
        <w:t xml:space="preserve">don, </w:t>
      </w:r>
      <w:r w:rsidRPr="0018121F">
        <w:rPr>
          <w:lang w:val="en-US"/>
        </w:rPr>
        <w:t>1978.</w:t>
      </w:r>
    </w:p>
    <w:p w14:paraId="40E2A422" w14:textId="2CE1C7B8" w:rsidR="006B48E8" w:rsidRDefault="006B48E8" w:rsidP="006B48E8">
      <w:pPr>
        <w:spacing w:line="480" w:lineRule="auto"/>
        <w:rPr>
          <w:lang w:val="en-CA"/>
        </w:rPr>
      </w:pPr>
      <w:r w:rsidRPr="006B48E8">
        <w:rPr>
          <w:lang w:val="en-CA"/>
        </w:rPr>
        <w:t xml:space="preserve">Graf, F and Johnston, S. I. </w:t>
      </w:r>
      <w:r w:rsidRPr="00233143">
        <w:rPr>
          <w:i/>
          <w:iCs/>
          <w:lang w:val="en-CA"/>
        </w:rPr>
        <w:t>Ritual Texts for the Afterlife: Orpheus and the Bacchic Gold Tablets</w:t>
      </w:r>
      <w:r w:rsidRPr="006B48E8">
        <w:rPr>
          <w:lang w:val="en-CA"/>
        </w:rPr>
        <w:t>. London and New York: Routledge, 2007, 175-184.</w:t>
      </w:r>
    </w:p>
    <w:p w14:paraId="78459B2B" w14:textId="0E0CA711" w:rsidR="00D603A8" w:rsidRPr="00D603A8" w:rsidRDefault="00D603A8" w:rsidP="00D603A8">
      <w:pPr>
        <w:spacing w:line="480" w:lineRule="auto"/>
        <w:rPr>
          <w:lang w:val="en-CA"/>
        </w:rPr>
      </w:pPr>
      <w:r w:rsidRPr="00D603A8">
        <w:rPr>
          <w:lang w:val="en-CA"/>
        </w:rPr>
        <w:t>Goody, J. </w:t>
      </w:r>
      <w:r w:rsidRPr="00233143">
        <w:rPr>
          <w:i/>
          <w:iCs/>
          <w:lang w:val="en-CA"/>
        </w:rPr>
        <w:t>The Logic of Writing and the Organization of Society</w:t>
      </w:r>
      <w:r w:rsidRPr="00D603A8">
        <w:rPr>
          <w:lang w:val="en-CA"/>
        </w:rPr>
        <w:t>. Cambridge: Cambridge University Press, 1986,1-44.</w:t>
      </w:r>
    </w:p>
    <w:p w14:paraId="51BF72B5" w14:textId="1E376931" w:rsidR="006B48E8" w:rsidRPr="006B48E8" w:rsidRDefault="006B48E8" w:rsidP="006B48E8">
      <w:pPr>
        <w:spacing w:line="480" w:lineRule="auto"/>
        <w:rPr>
          <w:lang w:val="en-CA"/>
        </w:rPr>
      </w:pPr>
      <w:r w:rsidRPr="006B48E8">
        <w:rPr>
          <w:lang w:val="en-CA"/>
        </w:rPr>
        <w:t>Henrichs, A. ‘</w:t>
      </w:r>
      <w:r w:rsidRPr="00FD595E">
        <w:rPr>
          <w:iCs/>
          <w:lang w:val="en-CA"/>
        </w:rPr>
        <w:t>Hieroi Logoi</w:t>
      </w:r>
      <w:r w:rsidRPr="00FD595E">
        <w:rPr>
          <w:lang w:val="en-CA"/>
        </w:rPr>
        <w:t xml:space="preserve"> and </w:t>
      </w:r>
      <w:r w:rsidRPr="00FD595E">
        <w:rPr>
          <w:iCs/>
          <w:lang w:val="en-CA"/>
        </w:rPr>
        <w:t>Hierai Bibloi</w:t>
      </w:r>
      <w:r w:rsidRPr="00FD595E">
        <w:rPr>
          <w:lang w:val="en-CA"/>
        </w:rPr>
        <w:t>: The (Un)Written Margins of the Sacred in Ancient Greece</w:t>
      </w:r>
      <w:r w:rsidRPr="006B48E8">
        <w:rPr>
          <w:lang w:val="en-CA"/>
        </w:rPr>
        <w:t xml:space="preserve">’, </w:t>
      </w:r>
      <w:r w:rsidRPr="006B48E8">
        <w:rPr>
          <w:iCs/>
          <w:lang w:val="en-CA"/>
        </w:rPr>
        <w:t>HSCPh</w:t>
      </w:r>
      <w:r w:rsidRPr="006B48E8">
        <w:rPr>
          <w:lang w:val="en-CA"/>
        </w:rPr>
        <w:t xml:space="preserve"> 101, 2003, 207-266.</w:t>
      </w:r>
    </w:p>
    <w:p w14:paraId="38A07919" w14:textId="22677E92" w:rsidR="006B48E8" w:rsidRDefault="006B48E8" w:rsidP="006B48E8">
      <w:pPr>
        <w:spacing w:line="480" w:lineRule="auto"/>
        <w:rPr>
          <w:lang w:val="en-CA"/>
        </w:rPr>
      </w:pPr>
      <w:r w:rsidRPr="006B48E8">
        <w:rPr>
          <w:lang w:val="en-CA"/>
        </w:rPr>
        <w:t>Henrichs, A. ‘Writing Religion: Inscribed Texts, Ritual Authority, and the Religious Discourse of the Polis</w:t>
      </w:r>
      <w:r w:rsidRPr="006B48E8">
        <w:rPr>
          <w:lang w:val="en-CA"/>
        </w:rPr>
        <w:fldChar w:fldCharType="begin"/>
      </w:r>
      <w:r w:rsidRPr="006B48E8">
        <w:rPr>
          <w:lang w:val="en-CA"/>
        </w:rPr>
        <w:instrText xml:space="preserve"> HYPERLINK "http://moodle.uwtsd.ac.uk/file.php/3565/scanned_under_CLA/Henrichs_Writing_Religion.pdf" \o "Writing Religion: Inscribed Texts, Ritual Authority, and the Religious Discourse of the Polis’" \t "_blank" </w:instrText>
      </w:r>
      <w:r w:rsidRPr="006B48E8">
        <w:rPr>
          <w:lang w:val="en-CA"/>
        </w:rPr>
        <w:fldChar w:fldCharType="separate"/>
      </w:r>
      <w:r w:rsidRPr="006B48E8">
        <w:rPr>
          <w:rStyle w:val="Hyperlink"/>
          <w:lang w:val="en-CA"/>
        </w:rPr>
        <w:t>’</w:t>
      </w:r>
      <w:r w:rsidRPr="006B48E8">
        <w:fldChar w:fldCharType="end"/>
      </w:r>
      <w:r w:rsidRPr="006B48E8">
        <w:rPr>
          <w:lang w:val="en-CA"/>
        </w:rPr>
        <w:t xml:space="preserve">, in H. Yunis (ed.) </w:t>
      </w:r>
      <w:r w:rsidRPr="00233143">
        <w:rPr>
          <w:i/>
          <w:iCs/>
          <w:lang w:val="en-CA"/>
        </w:rPr>
        <w:t>Written Texts and the Rise of Literate Culture in Ancient Greece</w:t>
      </w:r>
      <w:r w:rsidRPr="006B48E8">
        <w:rPr>
          <w:lang w:val="en-CA"/>
        </w:rPr>
        <w:t>. Cambridge, CUP, 2003, 38-58.</w:t>
      </w:r>
    </w:p>
    <w:p w14:paraId="53C028E5" w14:textId="04352CCA" w:rsidR="006D2856" w:rsidRDefault="006D2856" w:rsidP="006B48E8">
      <w:pPr>
        <w:spacing w:line="480" w:lineRule="auto"/>
      </w:pPr>
      <w:r w:rsidRPr="006D2856">
        <w:t xml:space="preserve">Lupu, E. </w:t>
      </w:r>
      <w:r w:rsidRPr="006B25CC">
        <w:rPr>
          <w:i/>
          <w:iCs/>
        </w:rPr>
        <w:t>Greek Sacred Law (2</w:t>
      </w:r>
      <w:r w:rsidRPr="006B25CC">
        <w:rPr>
          <w:i/>
          <w:iCs/>
          <w:vertAlign w:val="superscript"/>
        </w:rPr>
        <w:t>nd</w:t>
      </w:r>
      <w:r w:rsidRPr="006B25CC">
        <w:rPr>
          <w:i/>
          <w:iCs/>
        </w:rPr>
        <w:t xml:space="preserve"> Edition with a Postscript): A Collection of Documents</w:t>
      </w:r>
      <w:r w:rsidRPr="006D2856">
        <w:t>. Brill: Leiden, 2009.</w:t>
      </w:r>
    </w:p>
    <w:p w14:paraId="219F6B2F" w14:textId="77777777" w:rsidR="00D11012" w:rsidRPr="00D11012" w:rsidRDefault="00D11012" w:rsidP="00D11012">
      <w:pPr>
        <w:spacing w:line="480" w:lineRule="auto"/>
        <w:rPr>
          <w:lang w:val="en-US"/>
        </w:rPr>
      </w:pPr>
    </w:p>
    <w:p w14:paraId="7BDF9BE6" w14:textId="77777777" w:rsidR="00D11012" w:rsidRPr="00D11012" w:rsidRDefault="00D11012" w:rsidP="00D11012">
      <w:pPr>
        <w:spacing w:line="480" w:lineRule="auto"/>
        <w:rPr>
          <w:lang w:val="en-US"/>
        </w:rPr>
      </w:pPr>
      <w:r w:rsidRPr="00D11012">
        <w:rPr>
          <w:lang w:val="en-US"/>
        </w:rPr>
        <w:t xml:space="preserve"> </w:t>
      </w:r>
    </w:p>
    <w:p w14:paraId="36D23248" w14:textId="023A0BAD" w:rsidR="00D11012" w:rsidRPr="00D11012" w:rsidRDefault="00D11012" w:rsidP="00D11012">
      <w:pPr>
        <w:spacing w:line="480" w:lineRule="auto"/>
        <w:rPr>
          <w:lang w:val="en-US"/>
        </w:rPr>
      </w:pPr>
      <w:r w:rsidRPr="00D11012">
        <w:rPr>
          <w:lang w:val="en-US"/>
        </w:rPr>
        <w:t>Peter Marshall</w:t>
      </w:r>
      <w:r>
        <w:rPr>
          <w:lang w:val="en-US"/>
        </w:rPr>
        <w:t>, “(</w:t>
      </w:r>
      <w:r w:rsidRPr="00D11012">
        <w:rPr>
          <w:lang w:val="en-US"/>
        </w:rPr>
        <w:t>Re)defining the English Reformation</w:t>
      </w:r>
      <w:r>
        <w:rPr>
          <w:lang w:val="en-US"/>
        </w:rPr>
        <w:t xml:space="preserve">”, </w:t>
      </w:r>
      <w:r w:rsidRPr="00D11012">
        <w:rPr>
          <w:i/>
          <w:lang w:val="en-US"/>
        </w:rPr>
        <w:t>Journal of British Studies</w:t>
      </w:r>
      <w:r w:rsidRPr="00D11012">
        <w:rPr>
          <w:lang w:val="en-US"/>
        </w:rPr>
        <w:t>, Vol. 48, No. 3 (Jul., 2009), pp. 564-586</w:t>
      </w:r>
    </w:p>
    <w:p w14:paraId="3288C26F" w14:textId="03A49449" w:rsidR="008874E5" w:rsidRPr="00D11012" w:rsidRDefault="008874E5" w:rsidP="006B48E8">
      <w:pPr>
        <w:spacing w:line="480" w:lineRule="auto"/>
      </w:pPr>
      <w:r w:rsidRPr="00D11012">
        <w:rPr>
          <w:i/>
        </w:rPr>
        <w:t>Oxford Classical Dictionary</w:t>
      </w:r>
      <w:r w:rsidR="00D11012">
        <w:t xml:space="preserve">, “religion, Greek” at: </w:t>
      </w:r>
      <w:hyperlink r:id="rId11" w:history="1">
        <w:r w:rsidR="00D11012" w:rsidRPr="00264057">
          <w:rPr>
            <w:rStyle w:val="Hyperlink"/>
          </w:rPr>
          <w:t>https://www.oxfordreference.com/view/10.1093/acref/9780198606413.001.0001/acref-9780198606413-e-5537?rskey=cOf4Wg</w:t>
        </w:r>
      </w:hyperlink>
      <w:r w:rsidR="00D11012">
        <w:t xml:space="preserve"> accessed 27</w:t>
      </w:r>
      <w:r w:rsidR="00D11012" w:rsidRPr="00D11012">
        <w:rPr>
          <w:vertAlign w:val="superscript"/>
        </w:rPr>
        <w:t>th</w:t>
      </w:r>
      <w:r w:rsidR="00D11012">
        <w:t xml:space="preserve"> January 2020.</w:t>
      </w:r>
    </w:p>
    <w:p w14:paraId="4397FBB5" w14:textId="77777777" w:rsidR="008874E5" w:rsidRDefault="008874E5" w:rsidP="006B48E8">
      <w:pPr>
        <w:spacing w:line="480" w:lineRule="auto"/>
      </w:pPr>
    </w:p>
    <w:p w14:paraId="35A038EA" w14:textId="6A212578" w:rsidR="002F0CA0" w:rsidRDefault="002F0CA0" w:rsidP="002F0CA0">
      <w:pPr>
        <w:spacing w:line="480" w:lineRule="auto"/>
        <w:rPr>
          <w:lang w:val="en-US"/>
        </w:rPr>
      </w:pPr>
      <w:r w:rsidRPr="002F0CA0">
        <w:rPr>
          <w:lang w:val="en-US"/>
        </w:rPr>
        <w:t xml:space="preserve">O’Donnell, J.J. </w:t>
      </w:r>
      <w:r>
        <w:rPr>
          <w:i/>
          <w:lang w:val="en-US"/>
        </w:rPr>
        <w:t>Avatars of the Word:</w:t>
      </w:r>
      <w:r w:rsidRPr="002F0CA0">
        <w:rPr>
          <w:i/>
          <w:lang w:val="en-US"/>
        </w:rPr>
        <w:t xml:space="preserve"> From Papyrus to Cyberspace</w:t>
      </w:r>
      <w:r w:rsidRPr="002F0CA0">
        <w:rPr>
          <w:lang w:val="en-US"/>
        </w:rPr>
        <w:t xml:space="preserve">. </w:t>
      </w:r>
      <w:r>
        <w:rPr>
          <w:lang w:val="en-US"/>
        </w:rPr>
        <w:t>(</w:t>
      </w:r>
      <w:r w:rsidRPr="002F0CA0">
        <w:rPr>
          <w:lang w:val="en-US"/>
        </w:rPr>
        <w:t>Cambridge,</w:t>
      </w:r>
      <w:r>
        <w:rPr>
          <w:lang w:val="en-US"/>
        </w:rPr>
        <w:t xml:space="preserve"> MA: </w:t>
      </w:r>
      <w:r w:rsidR="003D2BDD" w:rsidRPr="003D2BDD">
        <w:t>Harvard University Press</w:t>
      </w:r>
      <w:r w:rsidR="003D2BDD">
        <w:t>,</w:t>
      </w:r>
      <w:r w:rsidRPr="002F0CA0">
        <w:rPr>
          <w:lang w:val="en-US"/>
        </w:rPr>
        <w:t xml:space="preserve"> </w:t>
      </w:r>
      <w:r w:rsidR="003D2BDD">
        <w:rPr>
          <w:lang w:val="en-US"/>
        </w:rPr>
        <w:t>2000 [</w:t>
      </w:r>
      <w:r w:rsidRPr="002F0CA0">
        <w:rPr>
          <w:lang w:val="en-US"/>
        </w:rPr>
        <w:t>1998</w:t>
      </w:r>
      <w:r w:rsidR="003D2BDD">
        <w:rPr>
          <w:lang w:val="en-US"/>
        </w:rPr>
        <w:t>]</w:t>
      </w:r>
      <w:r>
        <w:rPr>
          <w:lang w:val="en-US"/>
        </w:rPr>
        <w:t>)</w:t>
      </w:r>
      <w:r w:rsidRPr="002F0CA0">
        <w:rPr>
          <w:lang w:val="en-US"/>
        </w:rPr>
        <w:t>.</w:t>
      </w:r>
    </w:p>
    <w:p w14:paraId="3B24857D" w14:textId="6853470E" w:rsidR="00035095" w:rsidRPr="002F0CA0" w:rsidRDefault="00035095" w:rsidP="002F0CA0">
      <w:pPr>
        <w:spacing w:line="480" w:lineRule="auto"/>
        <w:rPr>
          <w:lang w:val="en-US"/>
        </w:rPr>
      </w:pPr>
      <w:r>
        <w:rPr>
          <w:rFonts w:eastAsia="Times New Roman"/>
        </w:rPr>
        <w:t xml:space="preserve">Ogden, D., ‘Binding Spells: Curse Tablets and Voodoo Dolls’, in B. Ankarloo and S. Clark (eds.), </w:t>
      </w:r>
      <w:r>
        <w:rPr>
          <w:rFonts w:eastAsia="Times New Roman"/>
          <w:i/>
          <w:iCs/>
        </w:rPr>
        <w:t>Witchcraft and Magic in Europe</w:t>
      </w:r>
      <w:r>
        <w:rPr>
          <w:rFonts w:eastAsia="Times New Roman"/>
        </w:rPr>
        <w:t xml:space="preserve">, ii: </w:t>
      </w:r>
      <w:r>
        <w:rPr>
          <w:rFonts w:eastAsia="Times New Roman"/>
          <w:i/>
          <w:iCs/>
        </w:rPr>
        <w:t>Ancient Greece and Rome</w:t>
      </w:r>
      <w:r>
        <w:rPr>
          <w:rFonts w:eastAsia="Times New Roman"/>
        </w:rPr>
        <w:t xml:space="preserve"> </w:t>
      </w:r>
      <w:r w:rsidR="00EC784D">
        <w:rPr>
          <w:rFonts w:eastAsia="Times New Roman"/>
        </w:rPr>
        <w:t>(Philadelphia, PA: University of Pennsylvania Press, 1990), pp.</w:t>
      </w:r>
      <w:r>
        <w:rPr>
          <w:rFonts w:eastAsia="Times New Roman"/>
        </w:rPr>
        <w:t>1–90.</w:t>
      </w:r>
    </w:p>
    <w:p w14:paraId="1CD665C4" w14:textId="0F3319CF" w:rsidR="00D603A8" w:rsidRDefault="00D603A8" w:rsidP="00D603A8">
      <w:pPr>
        <w:spacing w:line="480" w:lineRule="auto"/>
        <w:rPr>
          <w:lang w:val="en-CA"/>
        </w:rPr>
      </w:pPr>
      <w:r w:rsidRPr="00D603A8">
        <w:rPr>
          <w:lang w:val="en-CA"/>
        </w:rPr>
        <w:t>Pyysiainen, I. '</w:t>
      </w:r>
      <w:r w:rsidRPr="005C5BD1">
        <w:rPr>
          <w:lang w:val="en-CA"/>
        </w:rPr>
        <w:t>Holy Book: A Treasury of the Incomprehensible. The Invention of Writing and Religious Cognition</w:t>
      </w:r>
      <w:r w:rsidRPr="00D603A8">
        <w:rPr>
          <w:lang w:val="en-CA"/>
        </w:rPr>
        <w:t>', </w:t>
      </w:r>
      <w:r w:rsidRPr="00D603A8">
        <w:rPr>
          <w:i/>
          <w:iCs/>
          <w:lang w:val="en-CA"/>
        </w:rPr>
        <w:t>Numen</w:t>
      </w:r>
      <w:r w:rsidRPr="00D603A8">
        <w:rPr>
          <w:lang w:val="en-CA"/>
        </w:rPr>
        <w:t> 46, 1999, 269-290.</w:t>
      </w:r>
    </w:p>
    <w:p w14:paraId="463DDA7B" w14:textId="0769ED73" w:rsidR="000D63BE" w:rsidRPr="00D603A8" w:rsidRDefault="000D63BE" w:rsidP="00D603A8">
      <w:pPr>
        <w:spacing w:line="480" w:lineRule="auto"/>
        <w:rPr>
          <w:lang w:val="en-CA"/>
        </w:rPr>
      </w:pPr>
      <w:r w:rsidRPr="000D63BE">
        <w:rPr>
          <w:lang w:val="en-US"/>
        </w:rPr>
        <w:t>Widengren, G</w:t>
      </w:r>
      <w:r>
        <w:rPr>
          <w:lang w:val="en-US"/>
        </w:rPr>
        <w:t>,</w:t>
      </w:r>
      <w:r w:rsidRPr="000D63BE">
        <w:rPr>
          <w:lang w:val="en-US"/>
        </w:rPr>
        <w:t xml:space="preserve"> "The Ascension of the Apostle and the Heavenly Book". Uppsala Universitets Arsskrift</w:t>
      </w:r>
      <w:r>
        <w:rPr>
          <w:lang w:val="en-US"/>
        </w:rPr>
        <w:t>,</w:t>
      </w:r>
      <w:r w:rsidRPr="000D63BE">
        <w:rPr>
          <w:lang w:val="en-US"/>
        </w:rPr>
        <w:t>1950:7</w:t>
      </w:r>
    </w:p>
    <w:p w14:paraId="1A23DD15" w14:textId="77777777" w:rsidR="006B48E8" w:rsidRPr="006B48E8" w:rsidRDefault="006B48E8" w:rsidP="002B5CBD">
      <w:pPr>
        <w:spacing w:line="480" w:lineRule="auto"/>
      </w:pPr>
    </w:p>
    <w:p w14:paraId="075043B4" w14:textId="77777777" w:rsidR="006B48E8" w:rsidRDefault="006B48E8" w:rsidP="002B5CBD">
      <w:pPr>
        <w:spacing w:line="480" w:lineRule="auto"/>
        <w:rPr>
          <w:i/>
        </w:rPr>
      </w:pPr>
    </w:p>
    <w:p w14:paraId="57EBD535" w14:textId="77777777" w:rsidR="006B48E8" w:rsidRDefault="006B48E8" w:rsidP="002B5CBD">
      <w:pPr>
        <w:spacing w:line="480" w:lineRule="auto"/>
      </w:pPr>
    </w:p>
    <w:p w14:paraId="5D6A3F4A" w14:textId="77777777" w:rsidR="006B48E8" w:rsidRDefault="006B48E8" w:rsidP="002B5CBD">
      <w:pPr>
        <w:spacing w:line="480" w:lineRule="auto"/>
      </w:pPr>
    </w:p>
    <w:p w14:paraId="4D09D39E" w14:textId="77777777" w:rsidR="006B48E8" w:rsidRDefault="006B48E8" w:rsidP="002B5CBD">
      <w:pPr>
        <w:spacing w:line="480" w:lineRule="auto"/>
      </w:pPr>
    </w:p>
    <w:p w14:paraId="500AE541" w14:textId="77777777" w:rsidR="006B48E8" w:rsidRPr="006B48E8" w:rsidRDefault="006B48E8" w:rsidP="002B5CBD">
      <w:pPr>
        <w:spacing w:line="480" w:lineRule="auto"/>
      </w:pPr>
    </w:p>
    <w:p w14:paraId="2A2B1C12" w14:textId="77777777" w:rsidR="002B5CBD" w:rsidRPr="002B5CBD" w:rsidRDefault="002B5CBD" w:rsidP="002B5CBD">
      <w:pPr>
        <w:spacing w:line="480" w:lineRule="auto"/>
      </w:pPr>
    </w:p>
    <w:p w14:paraId="52E0A2A6" w14:textId="77777777" w:rsidR="002B5CBD" w:rsidRDefault="002B5CBD" w:rsidP="002B5CBD">
      <w:pPr>
        <w:spacing w:line="480" w:lineRule="auto"/>
      </w:pPr>
    </w:p>
    <w:p w14:paraId="0ECC986B" w14:textId="77777777" w:rsidR="002B5CBD" w:rsidRPr="002B5CBD" w:rsidRDefault="002B5CBD" w:rsidP="002B5CBD">
      <w:pPr>
        <w:spacing w:line="480" w:lineRule="auto"/>
      </w:pPr>
    </w:p>
    <w:p w14:paraId="59FFF9BE" w14:textId="77777777" w:rsidR="002B7D1A" w:rsidRDefault="002B7D1A" w:rsidP="002B5CBD">
      <w:pPr>
        <w:spacing w:line="480" w:lineRule="auto"/>
      </w:pPr>
    </w:p>
    <w:p w14:paraId="4C1CC2B1" w14:textId="77777777" w:rsidR="002B5CBD" w:rsidRDefault="002B5CBD"/>
    <w:sectPr w:rsidR="002B5CBD" w:rsidSect="00483B7A">
      <w:headerReference w:type="even" r:id="rId12"/>
      <w:headerReference w:type="default" r:id="rId13"/>
      <w:footerReference w:type="even" r:id="rId14"/>
      <w:footerReference w:type="default" r:id="rId15"/>
      <w:headerReference w:type="first" r:id="rId16"/>
      <w:footerReference w:type="firs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6D400F" w14:textId="77777777" w:rsidR="007D2374" w:rsidRDefault="007D2374" w:rsidP="002B5CBD">
      <w:r>
        <w:separator/>
      </w:r>
    </w:p>
  </w:endnote>
  <w:endnote w:type="continuationSeparator" w:id="0">
    <w:p w14:paraId="15B2A224" w14:textId="77777777" w:rsidR="007D2374" w:rsidRDefault="007D2374" w:rsidP="002B5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Palatino Linotype">
    <w:panose1 w:val="02040502050505030304"/>
    <w:charset w:val="00"/>
    <w:family w:val="auto"/>
    <w:pitch w:val="variable"/>
    <w:sig w:usb0="E0000287" w:usb1="40000013" w:usb2="00000000" w:usb3="00000000" w:csb0="0000019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5A6D12" w14:textId="77777777" w:rsidR="00AA2445" w:rsidRDefault="00AA244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0A6B86" w14:textId="77777777" w:rsidR="00AA2445" w:rsidRDefault="00AA2445">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5D9486" w14:textId="77777777" w:rsidR="00AA2445" w:rsidRDefault="00AA244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65E3E2" w14:textId="77777777" w:rsidR="007D2374" w:rsidRDefault="007D2374" w:rsidP="002B5CBD">
      <w:r>
        <w:separator/>
      </w:r>
    </w:p>
  </w:footnote>
  <w:footnote w:type="continuationSeparator" w:id="0">
    <w:p w14:paraId="02772CEE" w14:textId="77777777" w:rsidR="007D2374" w:rsidRDefault="007D2374" w:rsidP="002B5CBD">
      <w:r>
        <w:continuationSeparator/>
      </w:r>
    </w:p>
  </w:footnote>
  <w:footnote w:id="1">
    <w:p w14:paraId="6E6B5456" w14:textId="2FDF1661" w:rsidR="007D2374" w:rsidRPr="00285912" w:rsidRDefault="007D2374">
      <w:pPr>
        <w:pStyle w:val="FootnoteText"/>
        <w:rPr>
          <w:lang w:val="en-US"/>
        </w:rPr>
      </w:pPr>
      <w:r>
        <w:rPr>
          <w:rStyle w:val="FootnoteReference"/>
        </w:rPr>
        <w:footnoteRef/>
      </w:r>
      <w:r>
        <w:t xml:space="preserve"> </w:t>
      </w:r>
      <w:r w:rsidRPr="00D603A8">
        <w:rPr>
          <w:lang w:val="en-CA"/>
        </w:rPr>
        <w:t xml:space="preserve">J. Goody, </w:t>
      </w:r>
      <w:r w:rsidRPr="00233143">
        <w:rPr>
          <w:i/>
          <w:iCs/>
          <w:lang w:val="en-CA"/>
        </w:rPr>
        <w:t>The Logic of Writing and the Organization of Society</w:t>
      </w:r>
      <w:r>
        <w:rPr>
          <w:lang w:val="en-CA"/>
        </w:rPr>
        <w:t xml:space="preserve">. Cambridge: </w:t>
      </w:r>
      <w:r w:rsidRPr="00D603A8">
        <w:rPr>
          <w:lang w:val="en-CA"/>
        </w:rPr>
        <w:t>Cambri</w:t>
      </w:r>
      <w:r>
        <w:rPr>
          <w:lang w:val="en-CA"/>
        </w:rPr>
        <w:t xml:space="preserve">dge University Press, 1986, p.1; Margalit </w:t>
      </w:r>
      <w:r w:rsidRPr="00D603A8">
        <w:rPr>
          <w:lang w:val="en-CA"/>
        </w:rPr>
        <w:t xml:space="preserve">Finkelberg, ‘Elitist Orality and the Triviality of Writing’, in C. Cooper (ed.) </w:t>
      </w:r>
      <w:r w:rsidRPr="00233143">
        <w:rPr>
          <w:i/>
          <w:iCs/>
          <w:lang w:val="en-CA"/>
        </w:rPr>
        <w:t>Politics of Orality: Orality and Literacy in Ancient Greece, Vol. 6</w:t>
      </w:r>
      <w:r w:rsidRPr="00D603A8">
        <w:rPr>
          <w:lang w:val="en-CA"/>
        </w:rPr>
        <w:t>. Leiden: Brill, 2007,</w:t>
      </w:r>
      <w:r>
        <w:rPr>
          <w:lang w:val="en-CA"/>
        </w:rPr>
        <w:t xml:space="preserve"> p.293.</w:t>
      </w:r>
    </w:p>
  </w:footnote>
  <w:footnote w:id="2">
    <w:p w14:paraId="0BF24A88" w14:textId="569F146A" w:rsidR="007D2374" w:rsidRPr="00D603A8" w:rsidRDefault="007D2374" w:rsidP="00285912">
      <w:pPr>
        <w:rPr>
          <w:lang w:val="en-CA"/>
        </w:rPr>
      </w:pPr>
      <w:r w:rsidRPr="00285912">
        <w:rPr>
          <w:rStyle w:val="FootnoteReference"/>
        </w:rPr>
        <w:footnoteRef/>
      </w:r>
      <w:r>
        <w:t xml:space="preserve"> Mary</w:t>
      </w:r>
      <w:r w:rsidRPr="00285912">
        <w:t xml:space="preserve"> </w:t>
      </w:r>
      <w:r w:rsidRPr="00D603A8">
        <w:rPr>
          <w:lang w:val="en-CA"/>
        </w:rPr>
        <w:t>Beard, 'Writing and Religion', in S. I. Johnston (ed.) </w:t>
      </w:r>
      <w:r w:rsidRPr="00D603A8">
        <w:rPr>
          <w:i/>
          <w:iCs/>
          <w:lang w:val="en-CA"/>
        </w:rPr>
        <w:t>Ancient Religions</w:t>
      </w:r>
      <w:r w:rsidRPr="00D603A8">
        <w:rPr>
          <w:lang w:val="en-CA"/>
        </w:rPr>
        <w:t xml:space="preserve">. </w:t>
      </w:r>
      <w:r>
        <w:rPr>
          <w:lang w:val="en-CA"/>
        </w:rPr>
        <w:t>(</w:t>
      </w:r>
      <w:r w:rsidRPr="00D603A8">
        <w:rPr>
          <w:lang w:val="en-CA"/>
        </w:rPr>
        <w:t>Cambridge MA: Harvard University Press, 2007</w:t>
      </w:r>
      <w:r>
        <w:rPr>
          <w:lang w:val="en-CA"/>
        </w:rPr>
        <w:t>)</w:t>
      </w:r>
      <w:r w:rsidRPr="00D603A8">
        <w:rPr>
          <w:lang w:val="en-CA"/>
        </w:rPr>
        <w:t xml:space="preserve">, </w:t>
      </w:r>
      <w:r>
        <w:rPr>
          <w:lang w:val="en-CA"/>
        </w:rPr>
        <w:t>pp.</w:t>
      </w:r>
      <w:r w:rsidRPr="00D603A8">
        <w:rPr>
          <w:lang w:val="en-CA"/>
        </w:rPr>
        <w:t>127-138.</w:t>
      </w:r>
    </w:p>
    <w:p w14:paraId="268F6A25" w14:textId="0AC64563" w:rsidR="007D2374" w:rsidRPr="00285912" w:rsidRDefault="007D2374" w:rsidP="00285912">
      <w:pPr>
        <w:pStyle w:val="FootnoteText"/>
        <w:rPr>
          <w:lang w:val="en-US"/>
        </w:rPr>
      </w:pPr>
      <w:r>
        <w:rPr>
          <w:lang w:val="en-US"/>
        </w:rPr>
        <w:t xml:space="preserve">Finkleberg, </w:t>
      </w:r>
      <w:r>
        <w:rPr>
          <w:i/>
          <w:lang w:val="en-US"/>
        </w:rPr>
        <w:t>Elitist Orality</w:t>
      </w:r>
      <w:r>
        <w:rPr>
          <w:lang w:val="en-US"/>
        </w:rPr>
        <w:t>, 2007, p.294.</w:t>
      </w:r>
    </w:p>
  </w:footnote>
  <w:footnote w:id="3">
    <w:p w14:paraId="0D9F13EE" w14:textId="3A5C7171" w:rsidR="007D2374" w:rsidRPr="006B25CC" w:rsidRDefault="007D2374" w:rsidP="00CA644C">
      <w:pPr>
        <w:rPr>
          <w:lang w:val="en-CA"/>
        </w:rPr>
      </w:pPr>
      <w:r>
        <w:rPr>
          <w:rStyle w:val="FootnoteReference"/>
        </w:rPr>
        <w:footnoteRef/>
      </w:r>
      <w:r>
        <w:t xml:space="preserve"> Ilkka Pyysi</w:t>
      </w:r>
      <w:r>
        <w:rPr>
          <w:rFonts w:ascii="Cambria" w:hAnsi="Cambria"/>
          <w:lang w:val="en-US"/>
        </w:rPr>
        <w:t>äi</w:t>
      </w:r>
      <w:r>
        <w:t xml:space="preserve">nen, </w:t>
      </w:r>
      <w:r w:rsidRPr="00D603A8">
        <w:rPr>
          <w:lang w:val="en-CA"/>
        </w:rPr>
        <w:t xml:space="preserve"> '</w:t>
      </w:r>
      <w:r w:rsidRPr="005C5BD1">
        <w:rPr>
          <w:lang w:val="en-CA"/>
        </w:rPr>
        <w:t>Holy Book: A Treasury of the Incomprehensible. The Invention of Writing and Religious Cognition</w:t>
      </w:r>
      <w:r w:rsidRPr="00D603A8">
        <w:rPr>
          <w:lang w:val="en-CA"/>
        </w:rPr>
        <w:t>', </w:t>
      </w:r>
      <w:r w:rsidRPr="00D603A8">
        <w:rPr>
          <w:i/>
          <w:iCs/>
          <w:lang w:val="en-CA"/>
        </w:rPr>
        <w:t>Numen</w:t>
      </w:r>
      <w:r w:rsidRPr="00D603A8">
        <w:rPr>
          <w:lang w:val="en-CA"/>
        </w:rPr>
        <w:t xml:space="preserve"> 46, 1999, </w:t>
      </w:r>
      <w:r>
        <w:rPr>
          <w:lang w:val="en-CA"/>
        </w:rPr>
        <w:t>p.</w:t>
      </w:r>
      <w:r w:rsidRPr="00D603A8">
        <w:rPr>
          <w:lang w:val="en-CA"/>
        </w:rPr>
        <w:t>269</w:t>
      </w:r>
      <w:r>
        <w:rPr>
          <w:lang w:val="en-CA"/>
        </w:rPr>
        <w:t>, see footnote 1</w:t>
      </w:r>
      <w:r w:rsidRPr="00D603A8">
        <w:rPr>
          <w:lang w:val="en-CA"/>
        </w:rPr>
        <w:t>.</w:t>
      </w:r>
    </w:p>
  </w:footnote>
  <w:footnote w:id="4">
    <w:p w14:paraId="44470FFC" w14:textId="0778DF8F" w:rsidR="007D2374" w:rsidRPr="006B25CC" w:rsidRDefault="007D2374" w:rsidP="00CA644C">
      <w:pPr>
        <w:rPr>
          <w:lang w:val="en-CA"/>
        </w:rPr>
      </w:pPr>
      <w:r>
        <w:rPr>
          <w:rStyle w:val="FootnoteReference"/>
        </w:rPr>
        <w:footnoteRef/>
      </w:r>
      <w:r>
        <w:t xml:space="preserve"> </w:t>
      </w:r>
      <w:r w:rsidRPr="000D63BE">
        <w:rPr>
          <w:lang w:val="en-US"/>
        </w:rPr>
        <w:t>G Widengren,</w:t>
      </w:r>
      <w:r>
        <w:rPr>
          <w:lang w:val="en-US"/>
        </w:rPr>
        <w:t xml:space="preserve"> </w:t>
      </w:r>
      <w:r w:rsidRPr="000D63BE">
        <w:rPr>
          <w:lang w:val="en-US"/>
        </w:rPr>
        <w:t xml:space="preserve"> "The Ascension of the Apostle and the Heavenly Book". Uppsala Universitets Arsskrift</w:t>
      </w:r>
      <w:r>
        <w:rPr>
          <w:lang w:val="en-US"/>
        </w:rPr>
        <w:t xml:space="preserve">, </w:t>
      </w:r>
      <w:r w:rsidRPr="000D63BE">
        <w:rPr>
          <w:lang w:val="en-US"/>
        </w:rPr>
        <w:t>1950:7</w:t>
      </w:r>
    </w:p>
  </w:footnote>
  <w:footnote w:id="5">
    <w:p w14:paraId="651BD90C" w14:textId="2C3C14A6" w:rsidR="007D2374" w:rsidRPr="006B48E8" w:rsidRDefault="007D2374" w:rsidP="00CA644C">
      <w:pPr>
        <w:rPr>
          <w:lang w:val="en-CA"/>
        </w:rPr>
      </w:pPr>
      <w:r>
        <w:rPr>
          <w:rStyle w:val="FootnoteReference"/>
        </w:rPr>
        <w:footnoteRef/>
      </w:r>
      <w:r>
        <w:t xml:space="preserve"> E</w:t>
      </w:r>
      <w:r w:rsidRPr="006D2856">
        <w:t xml:space="preserve"> Lupu, </w:t>
      </w:r>
      <w:r w:rsidRPr="006B25CC">
        <w:rPr>
          <w:i/>
          <w:iCs/>
        </w:rPr>
        <w:t>Greek Sacred Law (2</w:t>
      </w:r>
      <w:r w:rsidRPr="006B25CC">
        <w:rPr>
          <w:i/>
          <w:iCs/>
          <w:vertAlign w:val="superscript"/>
        </w:rPr>
        <w:t>nd</w:t>
      </w:r>
      <w:r w:rsidRPr="006B25CC">
        <w:rPr>
          <w:i/>
          <w:iCs/>
        </w:rPr>
        <w:t xml:space="preserve"> Edition with a Postscript): A Collection of Documents</w:t>
      </w:r>
      <w:r>
        <w:t xml:space="preserve">. Brill: Leiden, 2009, contents page; </w:t>
      </w:r>
      <w:r w:rsidRPr="006B48E8">
        <w:rPr>
          <w:lang w:val="en-CA"/>
        </w:rPr>
        <w:t>A Henrichs,</w:t>
      </w:r>
      <w:r>
        <w:rPr>
          <w:lang w:val="en-CA"/>
        </w:rPr>
        <w:t>.</w:t>
      </w:r>
      <w:r w:rsidRPr="006B48E8">
        <w:rPr>
          <w:lang w:val="en-CA"/>
        </w:rPr>
        <w:t>‘</w:t>
      </w:r>
      <w:r w:rsidRPr="00FD595E">
        <w:rPr>
          <w:iCs/>
          <w:lang w:val="en-CA"/>
        </w:rPr>
        <w:t>Hieroi Logoi</w:t>
      </w:r>
      <w:r w:rsidRPr="00FD595E">
        <w:rPr>
          <w:lang w:val="en-CA"/>
        </w:rPr>
        <w:t xml:space="preserve"> and </w:t>
      </w:r>
      <w:r w:rsidRPr="00FD595E">
        <w:rPr>
          <w:iCs/>
          <w:lang w:val="en-CA"/>
        </w:rPr>
        <w:t>Hierai Bibloi</w:t>
      </w:r>
      <w:r w:rsidRPr="00FD595E">
        <w:rPr>
          <w:lang w:val="en-CA"/>
        </w:rPr>
        <w:t>: The (Un)Written Margins of the Sacred in Ancient Greece</w:t>
      </w:r>
      <w:r w:rsidRPr="006B48E8">
        <w:rPr>
          <w:lang w:val="en-CA"/>
        </w:rPr>
        <w:t xml:space="preserve">’, </w:t>
      </w:r>
      <w:r w:rsidRPr="006B48E8">
        <w:rPr>
          <w:iCs/>
          <w:lang w:val="en-CA"/>
        </w:rPr>
        <w:t>HSCPh</w:t>
      </w:r>
      <w:r w:rsidRPr="006B48E8">
        <w:rPr>
          <w:lang w:val="en-CA"/>
        </w:rPr>
        <w:t xml:space="preserve"> 101, 2003, </w:t>
      </w:r>
      <w:r>
        <w:rPr>
          <w:lang w:val="en-CA"/>
        </w:rPr>
        <w:t>p. 208</w:t>
      </w:r>
      <w:r w:rsidRPr="006B48E8">
        <w:rPr>
          <w:lang w:val="en-CA"/>
        </w:rPr>
        <w:t>.</w:t>
      </w:r>
    </w:p>
    <w:p w14:paraId="3D963070" w14:textId="538F94BD" w:rsidR="007D2374" w:rsidRPr="006B48E8" w:rsidRDefault="007D2374" w:rsidP="006B25CC">
      <w:pPr>
        <w:spacing w:line="480" w:lineRule="auto"/>
        <w:rPr>
          <w:lang w:val="en-CA"/>
        </w:rPr>
      </w:pPr>
    </w:p>
    <w:p w14:paraId="3E7C7184" w14:textId="0A640690" w:rsidR="007D2374" w:rsidRPr="006B25CC" w:rsidRDefault="007D2374">
      <w:pPr>
        <w:pStyle w:val="FootnoteText"/>
        <w:rPr>
          <w:lang w:val="en-US"/>
        </w:rPr>
      </w:pPr>
    </w:p>
  </w:footnote>
  <w:footnote w:id="6">
    <w:p w14:paraId="32F043D0" w14:textId="256A0EEA" w:rsidR="007D2374" w:rsidRPr="008D37B4"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 2003, p. 208.</w:t>
      </w:r>
    </w:p>
  </w:footnote>
  <w:footnote w:id="7">
    <w:p w14:paraId="6D99543E" w14:textId="7C9E05FC" w:rsidR="007D2374" w:rsidRPr="008E79FF"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w:t>
      </w:r>
      <w:r w:rsidRPr="006A3371">
        <w:rPr>
          <w:iCs/>
          <w:lang w:val="en-CA"/>
        </w:rPr>
        <w:t xml:space="preserve"> </w:t>
      </w:r>
      <w:r>
        <w:rPr>
          <w:iCs/>
          <w:lang w:val="en-CA"/>
        </w:rPr>
        <w:t>2003, p. 212-215.</w:t>
      </w:r>
    </w:p>
  </w:footnote>
  <w:footnote w:id="8">
    <w:p w14:paraId="16276151" w14:textId="5558890F" w:rsidR="007D2374" w:rsidRPr="008E79FF" w:rsidRDefault="007D2374">
      <w:pPr>
        <w:pStyle w:val="FootnoteText"/>
        <w:rPr>
          <w:lang w:val="en-US"/>
        </w:rPr>
      </w:pPr>
      <w:r>
        <w:rPr>
          <w:rStyle w:val="FootnoteReference"/>
        </w:rPr>
        <w:footnoteRef/>
      </w:r>
      <w:r>
        <w:t xml:space="preserve"> Henrichs, </w:t>
      </w:r>
      <w:r w:rsidRPr="008D37B4">
        <w:rPr>
          <w:i/>
          <w:iCs/>
          <w:lang w:val="en-CA"/>
        </w:rPr>
        <w:t>Hieroi Logoi</w:t>
      </w:r>
      <w:r>
        <w:rPr>
          <w:iCs/>
          <w:lang w:val="en-CA"/>
        </w:rPr>
        <w:t>,</w:t>
      </w:r>
      <w:r w:rsidRPr="006A3371">
        <w:rPr>
          <w:iCs/>
          <w:lang w:val="en-CA"/>
        </w:rPr>
        <w:t xml:space="preserve"> </w:t>
      </w:r>
      <w:r>
        <w:rPr>
          <w:iCs/>
          <w:lang w:val="en-CA"/>
        </w:rPr>
        <w:t>2003, p. 212-215.</w:t>
      </w:r>
    </w:p>
  </w:footnote>
  <w:footnote w:id="9">
    <w:p w14:paraId="0B7FB84D" w14:textId="582CF993" w:rsidR="007D2374" w:rsidRPr="0042070A"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 2003, p. 209, footnote 10</w:t>
      </w:r>
    </w:p>
  </w:footnote>
  <w:footnote w:id="10">
    <w:p w14:paraId="66E8429C" w14:textId="39F85532" w:rsidR="007D2374" w:rsidRPr="003D4CC5" w:rsidRDefault="007D2374" w:rsidP="00A81A29">
      <w:pPr>
        <w:rPr>
          <w:lang w:val="en-CA"/>
        </w:rPr>
      </w:pPr>
      <w:r>
        <w:rPr>
          <w:rStyle w:val="FootnoteReference"/>
        </w:rPr>
        <w:footnoteRef/>
      </w:r>
      <w:r>
        <w:t xml:space="preserve"> </w:t>
      </w:r>
      <w:r w:rsidRPr="00D603A8">
        <w:rPr>
          <w:lang w:val="en-CA"/>
        </w:rPr>
        <w:t xml:space="preserve">Goody, </w:t>
      </w:r>
      <w:r w:rsidRPr="00233143">
        <w:rPr>
          <w:i/>
          <w:iCs/>
          <w:lang w:val="en-CA"/>
        </w:rPr>
        <w:t>T</w:t>
      </w:r>
      <w:r>
        <w:rPr>
          <w:i/>
          <w:iCs/>
          <w:lang w:val="en-CA"/>
        </w:rPr>
        <w:t>he Logic of Writing</w:t>
      </w:r>
      <w:r>
        <w:rPr>
          <w:lang w:val="en-CA"/>
        </w:rPr>
        <w:t>, 1986, p.1.</w:t>
      </w:r>
    </w:p>
  </w:footnote>
  <w:footnote w:id="11">
    <w:p w14:paraId="6FBD02D8" w14:textId="54A2C542" w:rsidR="007D2374" w:rsidRPr="005166A1" w:rsidRDefault="007D2374">
      <w:pPr>
        <w:pStyle w:val="FootnoteText"/>
        <w:rPr>
          <w:lang w:val="en-US"/>
        </w:rPr>
      </w:pPr>
      <w:r>
        <w:rPr>
          <w:rStyle w:val="FootnoteReference"/>
        </w:rPr>
        <w:footnoteRef/>
      </w:r>
      <w:r>
        <w:rPr>
          <w:lang w:val="en-CA"/>
        </w:rPr>
        <w:t xml:space="preserve"> </w:t>
      </w:r>
      <w:r w:rsidRPr="00D603A8">
        <w:rPr>
          <w:lang w:val="en-CA"/>
        </w:rPr>
        <w:t xml:space="preserve">Goody, </w:t>
      </w:r>
      <w:r w:rsidRPr="00233143">
        <w:rPr>
          <w:i/>
          <w:iCs/>
          <w:lang w:val="en-CA"/>
        </w:rPr>
        <w:t>The Logic of Writing</w:t>
      </w:r>
      <w:r>
        <w:rPr>
          <w:iCs/>
          <w:lang w:val="en-CA"/>
        </w:rPr>
        <w:t>, p.1</w:t>
      </w:r>
    </w:p>
  </w:footnote>
  <w:footnote w:id="12">
    <w:p w14:paraId="32CBB79A" w14:textId="03766A65" w:rsidR="007D2374" w:rsidRPr="006B391F" w:rsidRDefault="007D2374">
      <w:pPr>
        <w:pStyle w:val="FootnoteText"/>
        <w:rPr>
          <w:lang w:val="en-US"/>
        </w:rPr>
      </w:pPr>
      <w:r>
        <w:rPr>
          <w:rStyle w:val="FootnoteReference"/>
        </w:rPr>
        <w:footnoteRef/>
      </w:r>
      <w:r>
        <w:t xml:space="preserve"> </w:t>
      </w:r>
      <w:r w:rsidRPr="00D603A8">
        <w:rPr>
          <w:lang w:val="en-CA"/>
        </w:rPr>
        <w:t xml:space="preserve">Goody, </w:t>
      </w:r>
      <w:r w:rsidRPr="00233143">
        <w:rPr>
          <w:i/>
          <w:iCs/>
          <w:lang w:val="en-CA"/>
        </w:rPr>
        <w:t>The Logic of Writing</w:t>
      </w:r>
      <w:r>
        <w:rPr>
          <w:iCs/>
          <w:lang w:val="en-CA"/>
        </w:rPr>
        <w:t>, p.22ff</w:t>
      </w:r>
    </w:p>
  </w:footnote>
  <w:footnote w:id="13">
    <w:p w14:paraId="0423149C" w14:textId="1C26A958" w:rsidR="007D2374" w:rsidRPr="003D4CC5" w:rsidRDefault="007D2374">
      <w:pPr>
        <w:pStyle w:val="FootnoteText"/>
        <w:rPr>
          <w:lang w:val="en-US"/>
        </w:rPr>
      </w:pPr>
      <w:r>
        <w:rPr>
          <w:rStyle w:val="FootnoteReference"/>
        </w:rPr>
        <w:footnoteRef/>
      </w:r>
      <w:r>
        <w:t xml:space="preserve"> </w:t>
      </w:r>
      <w:r w:rsidRPr="00D603A8">
        <w:rPr>
          <w:lang w:val="en-CA"/>
        </w:rPr>
        <w:t xml:space="preserve">Goody, </w:t>
      </w:r>
      <w:r w:rsidRPr="00233143">
        <w:rPr>
          <w:i/>
          <w:iCs/>
          <w:lang w:val="en-CA"/>
        </w:rPr>
        <w:t>The Logic of Writing</w:t>
      </w:r>
      <w:r>
        <w:rPr>
          <w:iCs/>
          <w:lang w:val="en-CA"/>
        </w:rPr>
        <w:t>, p.17</w:t>
      </w:r>
    </w:p>
  </w:footnote>
  <w:footnote w:id="14">
    <w:p w14:paraId="7E48DDBF" w14:textId="77777777" w:rsidR="007D2374" w:rsidRPr="00A24175" w:rsidRDefault="007D2374" w:rsidP="00A24175">
      <w:pPr>
        <w:pStyle w:val="FootnoteText"/>
        <w:rPr>
          <w:lang w:val="en-US"/>
        </w:rPr>
      </w:pPr>
      <w:r>
        <w:rPr>
          <w:rStyle w:val="FootnoteReference"/>
        </w:rPr>
        <w:footnoteRef/>
      </w:r>
      <w:r>
        <w:t xml:space="preserve"> </w:t>
      </w:r>
      <w:r w:rsidRPr="00A24175">
        <w:rPr>
          <w:lang w:val="en-US"/>
        </w:rPr>
        <w:t xml:space="preserve">Nancy A. Evans, “Sanctuaries, Sacrifices, and the Eleusinian Mysteries” </w:t>
      </w:r>
      <w:r w:rsidRPr="00A24175">
        <w:rPr>
          <w:i/>
          <w:lang w:val="en-US"/>
        </w:rPr>
        <w:t>Numen</w:t>
      </w:r>
      <w:r w:rsidRPr="00A24175">
        <w:rPr>
          <w:lang w:val="en-US"/>
        </w:rPr>
        <w:t>, Vol. 49, No. 3 (2002), pp. 227-254.</w:t>
      </w:r>
    </w:p>
    <w:p w14:paraId="4F479781" w14:textId="7464C5C3" w:rsidR="007D2374" w:rsidRPr="004B7963" w:rsidRDefault="007D2374">
      <w:pPr>
        <w:pStyle w:val="FootnoteText"/>
        <w:rPr>
          <w:lang w:val="en-US"/>
        </w:rPr>
      </w:pPr>
    </w:p>
  </w:footnote>
  <w:footnote w:id="15">
    <w:p w14:paraId="22BA352E" w14:textId="645D2B6F" w:rsidR="007D2374" w:rsidRPr="00D0115A" w:rsidRDefault="007D2374">
      <w:pPr>
        <w:pStyle w:val="FootnoteText"/>
        <w:rPr>
          <w:lang w:val="en-US"/>
        </w:rPr>
      </w:pPr>
      <w:r>
        <w:rPr>
          <w:rStyle w:val="FootnoteReference"/>
        </w:rPr>
        <w:footnoteRef/>
      </w:r>
      <w:r>
        <w:t xml:space="preserve"> </w:t>
      </w:r>
      <w:r w:rsidRPr="00D11012">
        <w:rPr>
          <w:lang w:val="en-US"/>
        </w:rPr>
        <w:t xml:space="preserve">Peter Marshall, “(Re)defining the English Reformation”, </w:t>
      </w:r>
      <w:r w:rsidRPr="00D11012">
        <w:rPr>
          <w:i/>
          <w:lang w:val="en-US"/>
        </w:rPr>
        <w:t>Journal of British Studies</w:t>
      </w:r>
      <w:r w:rsidRPr="00D11012">
        <w:rPr>
          <w:lang w:val="en-US"/>
        </w:rPr>
        <w:t>, Vol. 48, No. 3 (Jul., 2009),</w:t>
      </w:r>
      <w:r>
        <w:rPr>
          <w:lang w:val="en-US"/>
        </w:rPr>
        <w:t xml:space="preserve"> p. 565.</w:t>
      </w:r>
    </w:p>
  </w:footnote>
  <w:footnote w:id="16">
    <w:p w14:paraId="5A751940" w14:textId="33E2BAD7" w:rsidR="007D2374" w:rsidRPr="00A81A29" w:rsidRDefault="007D2374">
      <w:pPr>
        <w:pStyle w:val="FootnoteText"/>
        <w:rPr>
          <w:lang w:val="en-US"/>
        </w:rPr>
      </w:pPr>
      <w:r>
        <w:rPr>
          <w:rStyle w:val="FootnoteReference"/>
        </w:rPr>
        <w:footnoteRef/>
      </w:r>
      <w:r>
        <w:t xml:space="preserve"> </w:t>
      </w:r>
      <w:r>
        <w:rPr>
          <w:lang w:val="en-US"/>
        </w:rPr>
        <w:t xml:space="preserve">Goody, </w:t>
      </w:r>
      <w:r>
        <w:rPr>
          <w:i/>
          <w:lang w:val="en-US"/>
        </w:rPr>
        <w:t xml:space="preserve">The Logic Of </w:t>
      </w:r>
      <w:r w:rsidRPr="00285912">
        <w:rPr>
          <w:lang w:val="en-US"/>
        </w:rPr>
        <w:t>Writing</w:t>
      </w:r>
      <w:r>
        <w:rPr>
          <w:lang w:val="en-US"/>
        </w:rPr>
        <w:t xml:space="preserve">, </w:t>
      </w:r>
      <w:r w:rsidRPr="00285912">
        <w:rPr>
          <w:lang w:val="en-US"/>
        </w:rPr>
        <w:t>pp</w:t>
      </w:r>
      <w:r>
        <w:rPr>
          <w:lang w:val="en-US"/>
        </w:rPr>
        <w:t>.23-24.</w:t>
      </w:r>
    </w:p>
  </w:footnote>
  <w:footnote w:id="17">
    <w:p w14:paraId="1457D652" w14:textId="2017FDC9" w:rsidR="007D2374" w:rsidRPr="00CA644C" w:rsidRDefault="007D2374">
      <w:pPr>
        <w:pStyle w:val="FootnoteText"/>
        <w:rPr>
          <w:lang w:val="en-US"/>
        </w:rPr>
      </w:pPr>
      <w:r>
        <w:rPr>
          <w:rStyle w:val="FootnoteReference"/>
        </w:rPr>
        <w:footnoteRef/>
      </w:r>
      <w:r>
        <w:t xml:space="preserve"> </w:t>
      </w:r>
      <w:r>
        <w:rPr>
          <w:lang w:val="en-CA"/>
        </w:rPr>
        <w:t xml:space="preserve">Finkelberg, </w:t>
      </w:r>
      <w:r w:rsidRPr="001C150F">
        <w:rPr>
          <w:i/>
          <w:lang w:val="en-CA"/>
        </w:rPr>
        <w:t>Elitist Orality</w:t>
      </w:r>
      <w:r>
        <w:rPr>
          <w:lang w:val="en-CA"/>
        </w:rPr>
        <w:t>, p.293.</w:t>
      </w:r>
    </w:p>
  </w:footnote>
  <w:footnote w:id="18">
    <w:p w14:paraId="591FB719" w14:textId="7331564F" w:rsidR="007D2374" w:rsidRPr="001C150F" w:rsidRDefault="007D2374">
      <w:pPr>
        <w:pStyle w:val="FootnoteText"/>
        <w:rPr>
          <w:lang w:val="en-US"/>
        </w:rPr>
      </w:pPr>
      <w:r>
        <w:rPr>
          <w:rStyle w:val="FootnoteReference"/>
        </w:rPr>
        <w:footnoteRef/>
      </w:r>
      <w:r>
        <w:t xml:space="preserve"> </w:t>
      </w:r>
      <w:r w:rsidRPr="00D603A8">
        <w:rPr>
          <w:lang w:val="en-CA"/>
        </w:rPr>
        <w:t xml:space="preserve">Finkelberg, </w:t>
      </w:r>
      <w:r w:rsidRPr="001C150F">
        <w:rPr>
          <w:i/>
          <w:lang w:val="en-CA"/>
        </w:rPr>
        <w:t>Elitist Orality</w:t>
      </w:r>
      <w:r>
        <w:rPr>
          <w:lang w:val="en-CA"/>
        </w:rPr>
        <w:t>, p.294.</w:t>
      </w:r>
    </w:p>
  </w:footnote>
  <w:footnote w:id="19">
    <w:p w14:paraId="7D9526CF" w14:textId="6F3F872A" w:rsidR="007D2374" w:rsidRPr="006D3DA3" w:rsidRDefault="007D2374" w:rsidP="006D3DA3">
      <w:pPr>
        <w:pStyle w:val="FootnoteText"/>
        <w:rPr>
          <w:lang w:val="en-US"/>
        </w:rPr>
      </w:pPr>
      <w:r>
        <w:rPr>
          <w:rStyle w:val="FootnoteReference"/>
        </w:rPr>
        <w:footnoteRef/>
      </w:r>
      <w:r>
        <w:t xml:space="preserve"> </w:t>
      </w:r>
      <w:r w:rsidRPr="00D603A8">
        <w:rPr>
          <w:lang w:val="en-CA"/>
        </w:rPr>
        <w:t xml:space="preserve">Finkelberg, </w:t>
      </w:r>
      <w:r w:rsidRPr="001C150F">
        <w:rPr>
          <w:i/>
          <w:lang w:val="en-CA"/>
        </w:rPr>
        <w:t>Elitist Orality</w:t>
      </w:r>
      <w:r>
        <w:rPr>
          <w:lang w:val="en-CA"/>
        </w:rPr>
        <w:t>, p.295.</w:t>
      </w:r>
    </w:p>
  </w:footnote>
  <w:footnote w:id="20">
    <w:p w14:paraId="2CA69683" w14:textId="40B00983" w:rsidR="007D2374" w:rsidRPr="00D11012" w:rsidRDefault="007D2374" w:rsidP="00D11012">
      <w:r>
        <w:rPr>
          <w:rStyle w:val="FootnoteReference"/>
        </w:rPr>
        <w:footnoteRef/>
      </w:r>
      <w:r>
        <w:t xml:space="preserve"> </w:t>
      </w:r>
      <w:r w:rsidRPr="00D11012">
        <w:rPr>
          <w:i/>
        </w:rPr>
        <w:t>Oxford Classical Dictionary</w:t>
      </w:r>
      <w:r>
        <w:rPr>
          <w:i/>
        </w:rPr>
        <w:t xml:space="preserve"> (OCD)</w:t>
      </w:r>
      <w:r>
        <w:t xml:space="preserve">, “religion, Greek” at: </w:t>
      </w:r>
      <w:hyperlink r:id="rId1" w:history="1">
        <w:r w:rsidRPr="00264057">
          <w:rPr>
            <w:rStyle w:val="Hyperlink"/>
          </w:rPr>
          <w:t>https://www.oxfordreference.com/view/10.1093/acref/9780198606413.001.0001/acref-9780198606413-e-5537?rskey=cOf4Wg</w:t>
        </w:r>
      </w:hyperlink>
      <w:r>
        <w:t xml:space="preserve"> accessed 27</w:t>
      </w:r>
      <w:r w:rsidRPr="00D11012">
        <w:rPr>
          <w:vertAlign w:val="superscript"/>
        </w:rPr>
        <w:t>th</w:t>
      </w:r>
      <w:r>
        <w:t xml:space="preserve"> January 2020.</w:t>
      </w:r>
    </w:p>
  </w:footnote>
  <w:footnote w:id="21">
    <w:p w14:paraId="3F86A21E" w14:textId="71A3BDFC" w:rsidR="007D2374" w:rsidRPr="00D11012" w:rsidRDefault="007D2374">
      <w:pPr>
        <w:pStyle w:val="FootnoteText"/>
        <w:rPr>
          <w:lang w:val="en-US"/>
        </w:rPr>
      </w:pPr>
      <w:r w:rsidRPr="00D11012">
        <w:rPr>
          <w:rStyle w:val="FootnoteReference"/>
        </w:rPr>
        <w:footnoteRef/>
      </w:r>
      <w:r w:rsidRPr="00D11012">
        <w:t xml:space="preserve"> </w:t>
      </w:r>
      <w:r w:rsidRPr="00D11012">
        <w:rPr>
          <w:i/>
        </w:rPr>
        <w:t>OCD</w:t>
      </w:r>
      <w:r>
        <w:t>, “religion, Greek”.</w:t>
      </w:r>
    </w:p>
  </w:footnote>
  <w:footnote w:id="22">
    <w:p w14:paraId="19D4A302" w14:textId="118F4B4A" w:rsidR="007D2374" w:rsidRPr="00D11012" w:rsidRDefault="007D2374">
      <w:pPr>
        <w:pStyle w:val="FootnoteText"/>
        <w:rPr>
          <w:lang w:val="en-US"/>
        </w:rPr>
      </w:pPr>
      <w:r w:rsidRPr="00D11012">
        <w:rPr>
          <w:rStyle w:val="FootnoteReference"/>
        </w:rPr>
        <w:footnoteRef/>
      </w:r>
      <w:r w:rsidRPr="00D11012">
        <w:t xml:space="preserve"> </w:t>
      </w:r>
      <w:r w:rsidRPr="00D11012">
        <w:rPr>
          <w:i/>
          <w:lang w:val="en-US"/>
        </w:rPr>
        <w:t>OCD</w:t>
      </w:r>
      <w:r>
        <w:rPr>
          <w:lang w:val="en-US"/>
        </w:rPr>
        <w:t xml:space="preserve">, </w:t>
      </w:r>
      <w:r>
        <w:t>“religion, Greek”.</w:t>
      </w:r>
    </w:p>
  </w:footnote>
  <w:footnote w:id="23">
    <w:p w14:paraId="49151B36" w14:textId="62684AB8" w:rsidR="007D2374" w:rsidRPr="000B1A3D" w:rsidRDefault="007D2374" w:rsidP="000B1A3D">
      <w:pPr>
        <w:rPr>
          <w:lang w:val="en-CA"/>
        </w:rPr>
      </w:pPr>
      <w:r>
        <w:rPr>
          <w:rStyle w:val="FootnoteReference"/>
        </w:rPr>
        <w:footnoteRef/>
      </w:r>
      <w:r w:rsidRPr="006D2856">
        <w:t xml:space="preserve">Lupu, </w:t>
      </w:r>
      <w:r w:rsidRPr="006B25CC">
        <w:rPr>
          <w:i/>
          <w:iCs/>
        </w:rPr>
        <w:t>Greek Sacred Law</w:t>
      </w:r>
      <w:r>
        <w:t>, 2009, contents page;</w:t>
      </w:r>
      <w:r w:rsidRPr="006B48E8">
        <w:rPr>
          <w:lang w:val="en-CA"/>
        </w:rPr>
        <w:t xml:space="preserve"> </w:t>
      </w:r>
      <w:r>
        <w:rPr>
          <w:lang w:val="en-CA"/>
        </w:rPr>
        <w:t xml:space="preserve">A </w:t>
      </w:r>
      <w:r w:rsidRPr="006B48E8">
        <w:rPr>
          <w:lang w:val="en-CA"/>
        </w:rPr>
        <w:t>Henrichs</w:t>
      </w:r>
      <w:r>
        <w:rPr>
          <w:lang w:val="en-CA"/>
        </w:rPr>
        <w:t xml:space="preserve">, </w:t>
      </w:r>
      <w:r w:rsidRPr="00AC4052">
        <w:rPr>
          <w:i/>
          <w:iCs/>
          <w:lang w:val="en-CA"/>
        </w:rPr>
        <w:t>Hieroi Logo</w:t>
      </w:r>
      <w:r w:rsidRPr="00FD595E">
        <w:rPr>
          <w:iCs/>
          <w:lang w:val="en-CA"/>
        </w:rPr>
        <w:t>i</w:t>
      </w:r>
      <w:r w:rsidRPr="00FD595E">
        <w:rPr>
          <w:lang w:val="en-CA"/>
        </w:rPr>
        <w:t xml:space="preserve"> </w:t>
      </w:r>
      <w:r>
        <w:rPr>
          <w:lang w:val="en-CA"/>
        </w:rPr>
        <w:t>,</w:t>
      </w:r>
      <w:r w:rsidRPr="006B48E8">
        <w:rPr>
          <w:lang w:val="en-CA"/>
        </w:rPr>
        <w:t xml:space="preserve">2003, </w:t>
      </w:r>
      <w:r>
        <w:rPr>
          <w:lang w:val="en-CA"/>
        </w:rPr>
        <w:t>p. 208</w:t>
      </w:r>
      <w:r w:rsidRPr="006B48E8">
        <w:rPr>
          <w:lang w:val="en-CA"/>
        </w:rPr>
        <w:t>.</w:t>
      </w:r>
    </w:p>
  </w:footnote>
  <w:footnote w:id="24">
    <w:p w14:paraId="24490660" w14:textId="4CA7F4D4" w:rsidR="007D2374" w:rsidRPr="000B1A3D" w:rsidRDefault="007D2374">
      <w:pPr>
        <w:pStyle w:val="FootnoteText"/>
        <w:rPr>
          <w:lang w:val="en-US"/>
        </w:rPr>
      </w:pPr>
      <w:r>
        <w:rPr>
          <w:rStyle w:val="FootnoteReference"/>
        </w:rPr>
        <w:footnoteRef/>
      </w:r>
      <w:r>
        <w:t xml:space="preserve"> Finkelberg, </w:t>
      </w:r>
      <w:r w:rsidRPr="001C150F">
        <w:rPr>
          <w:i/>
          <w:lang w:val="en-CA"/>
        </w:rPr>
        <w:t>Elitist Orality</w:t>
      </w:r>
      <w:r>
        <w:rPr>
          <w:lang w:val="en-CA"/>
        </w:rPr>
        <w:t>, p.294.</w:t>
      </w:r>
    </w:p>
  </w:footnote>
  <w:footnote w:id="25">
    <w:p w14:paraId="04F6A592" w14:textId="0DA4BE6A" w:rsidR="007D2374" w:rsidRPr="000B1A3D" w:rsidRDefault="007D2374">
      <w:pPr>
        <w:pStyle w:val="FootnoteText"/>
        <w:rPr>
          <w:lang w:val="en-US"/>
        </w:rPr>
      </w:pPr>
      <w:r>
        <w:rPr>
          <w:rStyle w:val="FootnoteReference"/>
        </w:rPr>
        <w:footnoteRef/>
      </w:r>
      <w:r>
        <w:t xml:space="preserve"> Finkelberg, </w:t>
      </w:r>
      <w:r w:rsidRPr="001C150F">
        <w:rPr>
          <w:i/>
          <w:lang w:val="en-CA"/>
        </w:rPr>
        <w:t>Elitist Orality</w:t>
      </w:r>
      <w:r>
        <w:rPr>
          <w:lang w:val="en-CA"/>
        </w:rPr>
        <w:t>, p.294.</w:t>
      </w:r>
    </w:p>
  </w:footnote>
  <w:footnote w:id="26">
    <w:p w14:paraId="459995A7" w14:textId="1B2D76B7" w:rsidR="007D2374" w:rsidRPr="002F0CA0" w:rsidRDefault="007D2374" w:rsidP="003D2BDD">
      <w:pPr>
        <w:rPr>
          <w:lang w:val="en-US"/>
        </w:rPr>
      </w:pPr>
      <w:r>
        <w:rPr>
          <w:rStyle w:val="FootnoteReference"/>
        </w:rPr>
        <w:footnoteRef/>
      </w:r>
      <w:r>
        <w:t xml:space="preserve"> James </w:t>
      </w:r>
      <w:r w:rsidRPr="002F0CA0">
        <w:rPr>
          <w:lang w:val="en-US"/>
        </w:rPr>
        <w:t xml:space="preserve">O’Donnell, </w:t>
      </w:r>
      <w:r>
        <w:rPr>
          <w:i/>
          <w:lang w:val="en-US"/>
        </w:rPr>
        <w:t>Avatars of the Word:</w:t>
      </w:r>
      <w:r w:rsidRPr="002F0CA0">
        <w:rPr>
          <w:i/>
          <w:lang w:val="en-US"/>
        </w:rPr>
        <w:t xml:space="preserve"> From Papyrus to Cyberspace</w:t>
      </w:r>
      <w:r>
        <w:rPr>
          <w:lang w:val="en-US"/>
        </w:rPr>
        <w:t xml:space="preserve"> (</w:t>
      </w:r>
      <w:r w:rsidRPr="002F0CA0">
        <w:rPr>
          <w:lang w:val="en-US"/>
        </w:rPr>
        <w:t>Cambridge,</w:t>
      </w:r>
      <w:r>
        <w:rPr>
          <w:lang w:val="en-US"/>
        </w:rPr>
        <w:t xml:space="preserve"> MA: </w:t>
      </w:r>
      <w:r w:rsidRPr="003D2BDD">
        <w:t>Harvard University Press</w:t>
      </w:r>
      <w:r>
        <w:t>,</w:t>
      </w:r>
      <w:r w:rsidRPr="002F0CA0">
        <w:rPr>
          <w:lang w:val="en-US"/>
        </w:rPr>
        <w:t xml:space="preserve"> </w:t>
      </w:r>
      <w:r>
        <w:rPr>
          <w:lang w:val="en-US"/>
        </w:rPr>
        <w:t>2000 [</w:t>
      </w:r>
      <w:r w:rsidRPr="002F0CA0">
        <w:rPr>
          <w:lang w:val="en-US"/>
        </w:rPr>
        <w:t>1998</w:t>
      </w:r>
      <w:r>
        <w:rPr>
          <w:lang w:val="en-US"/>
        </w:rPr>
        <w:t>]), p.</w:t>
      </w:r>
      <w:r w:rsidRPr="002F0CA0">
        <w:rPr>
          <w:lang w:val="en-US"/>
        </w:rPr>
        <w:t>25.</w:t>
      </w:r>
    </w:p>
  </w:footnote>
  <w:footnote w:id="27">
    <w:p w14:paraId="7E5A88CB" w14:textId="575C5E91" w:rsidR="007D2374" w:rsidRPr="00514B6E" w:rsidRDefault="007D2374">
      <w:pPr>
        <w:pStyle w:val="FootnoteText"/>
        <w:rPr>
          <w:lang w:val="en-US"/>
        </w:rPr>
      </w:pPr>
      <w:r>
        <w:rPr>
          <w:rStyle w:val="FootnoteReference"/>
        </w:rPr>
        <w:footnoteRef/>
      </w:r>
      <w:r>
        <w:t xml:space="preserve"> Finkelberg, </w:t>
      </w:r>
      <w:r w:rsidRPr="001C150F">
        <w:rPr>
          <w:i/>
          <w:lang w:val="en-CA"/>
        </w:rPr>
        <w:t>Elitist Orality</w:t>
      </w:r>
      <w:r>
        <w:rPr>
          <w:lang w:val="en-CA"/>
        </w:rPr>
        <w:t>, p.295.</w:t>
      </w:r>
    </w:p>
  </w:footnote>
  <w:footnote w:id="28">
    <w:p w14:paraId="36E36552" w14:textId="09FAAB45" w:rsidR="007D2374" w:rsidRPr="00C04C00" w:rsidRDefault="007D2374">
      <w:pPr>
        <w:pStyle w:val="FootnoteText"/>
        <w:rPr>
          <w:lang w:val="en-US"/>
        </w:rPr>
      </w:pPr>
      <w:r>
        <w:rPr>
          <w:rStyle w:val="FootnoteReference"/>
        </w:rPr>
        <w:footnoteRef/>
      </w:r>
      <w:r>
        <w:t xml:space="preserve"> Finkelberg, </w:t>
      </w:r>
      <w:r w:rsidRPr="001C150F">
        <w:rPr>
          <w:i/>
          <w:lang w:val="en-CA"/>
        </w:rPr>
        <w:t>Elitist Orality</w:t>
      </w:r>
      <w:r>
        <w:rPr>
          <w:lang w:val="en-CA"/>
        </w:rPr>
        <w:t>, p.296.</w:t>
      </w:r>
    </w:p>
  </w:footnote>
  <w:footnote w:id="29">
    <w:p w14:paraId="7AA75076" w14:textId="3F1DD16B" w:rsidR="007D2374" w:rsidRPr="007E1FDB" w:rsidRDefault="007D2374">
      <w:pPr>
        <w:pStyle w:val="FootnoteText"/>
        <w:rPr>
          <w:lang w:val="en-US"/>
        </w:rPr>
      </w:pPr>
      <w:r>
        <w:rPr>
          <w:rStyle w:val="FootnoteReference"/>
        </w:rPr>
        <w:footnoteRef/>
      </w:r>
      <w:r>
        <w:t xml:space="preserve"> </w:t>
      </w:r>
      <w:r>
        <w:rPr>
          <w:lang w:val="en-US"/>
        </w:rPr>
        <w:t>Margalit Finkelberg,</w:t>
      </w:r>
      <w:r w:rsidRPr="00A7662D">
        <w:rPr>
          <w:lang w:val="en-US"/>
        </w:rPr>
        <w:t xml:space="preserve">‘Homer as a Foundation Text’, in Margalit Finkelberg and Guy G. Stroumsa (eds), </w:t>
      </w:r>
      <w:r w:rsidRPr="00A7662D">
        <w:rPr>
          <w:i/>
          <w:lang w:val="en-US"/>
        </w:rPr>
        <w:t>Homer, the Bible, and beyond; literary and religious canons in the ancient world</w:t>
      </w:r>
      <w:r w:rsidRPr="00A7662D">
        <w:rPr>
          <w:lang w:val="en-US"/>
        </w:rPr>
        <w:t>, (London: Brill, 2003),</w:t>
      </w:r>
      <w:r>
        <w:rPr>
          <w:lang w:val="en-US"/>
        </w:rPr>
        <w:t xml:space="preserve"> p.91.</w:t>
      </w:r>
    </w:p>
  </w:footnote>
  <w:footnote w:id="30">
    <w:p w14:paraId="62386BE3" w14:textId="16225094" w:rsidR="007D2374" w:rsidRPr="00414F56"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 p. 220.</w:t>
      </w:r>
    </w:p>
  </w:footnote>
  <w:footnote w:id="31">
    <w:p w14:paraId="471B1395" w14:textId="52B6B64E" w:rsidR="007D2374" w:rsidRPr="0018121F"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 p. 220.</w:t>
      </w:r>
    </w:p>
  </w:footnote>
  <w:footnote w:id="32">
    <w:p w14:paraId="062BB75C" w14:textId="6558267A" w:rsidR="007D2374" w:rsidRPr="00D11012" w:rsidRDefault="007D2374" w:rsidP="00D11012">
      <w:pPr>
        <w:rPr>
          <w:lang w:val="en-CA"/>
        </w:rPr>
      </w:pPr>
      <w:r>
        <w:rPr>
          <w:rStyle w:val="FootnoteReference"/>
        </w:rPr>
        <w:footnoteRef/>
      </w:r>
      <w:r>
        <w:t xml:space="preserve"> </w:t>
      </w:r>
      <w:r>
        <w:rPr>
          <w:lang w:val="en-US"/>
        </w:rPr>
        <w:t xml:space="preserve">J. Fontenrose, </w:t>
      </w:r>
      <w:r w:rsidRPr="0018121F">
        <w:rPr>
          <w:i/>
          <w:lang w:val="en-US"/>
        </w:rPr>
        <w:t>The Delphic Oracle: Its Responses and Operations</w:t>
      </w:r>
      <w:r w:rsidRPr="0018121F">
        <w:rPr>
          <w:lang w:val="en-US"/>
        </w:rPr>
        <w:t xml:space="preserve">. </w:t>
      </w:r>
      <w:r>
        <w:rPr>
          <w:lang w:val="en-US"/>
        </w:rPr>
        <w:t>(</w:t>
      </w:r>
      <w:r w:rsidRPr="0018121F">
        <w:rPr>
          <w:lang w:val="en-US"/>
        </w:rPr>
        <w:t>Berkeley/Los Angeles/Lon</w:t>
      </w:r>
      <w:r>
        <w:rPr>
          <w:lang w:val="en-US"/>
        </w:rPr>
        <w:t>don, 1978), pp.93-95.</w:t>
      </w:r>
    </w:p>
  </w:footnote>
  <w:footnote w:id="33">
    <w:p w14:paraId="0ACE7EC1" w14:textId="69818C83" w:rsidR="007D2374" w:rsidRPr="003D4405" w:rsidRDefault="007D2374">
      <w:pPr>
        <w:pStyle w:val="FootnoteText"/>
        <w:rPr>
          <w:lang w:val="en-US"/>
        </w:rPr>
      </w:pPr>
      <w:r>
        <w:rPr>
          <w:rStyle w:val="FootnoteReference"/>
        </w:rPr>
        <w:footnoteRef/>
      </w:r>
      <w:r>
        <w:t xml:space="preserve"> </w:t>
      </w:r>
      <w:r w:rsidRPr="006B48E8">
        <w:rPr>
          <w:lang w:val="en-CA"/>
        </w:rPr>
        <w:t>Henrichs,</w:t>
      </w:r>
      <w:r>
        <w:rPr>
          <w:lang w:val="en-CA"/>
        </w:rPr>
        <w:t xml:space="preserve"> </w:t>
      </w:r>
      <w:r w:rsidRPr="008D37B4">
        <w:rPr>
          <w:i/>
          <w:iCs/>
          <w:lang w:val="en-CA"/>
        </w:rPr>
        <w:t>Hieroi Logoi</w:t>
      </w:r>
      <w:r>
        <w:rPr>
          <w:iCs/>
          <w:lang w:val="en-CA"/>
        </w:rPr>
        <w:t>, p. 220.</w:t>
      </w:r>
    </w:p>
  </w:footnote>
  <w:footnote w:id="34">
    <w:p w14:paraId="2C982C0E" w14:textId="5C590461" w:rsidR="007D2374" w:rsidRPr="00D229A8" w:rsidRDefault="007D2374">
      <w:pPr>
        <w:pStyle w:val="FootnoteText"/>
      </w:pPr>
      <w:r>
        <w:rPr>
          <w:rStyle w:val="FootnoteReference"/>
        </w:rPr>
        <w:footnoteRef/>
      </w:r>
      <w:r>
        <w:t xml:space="preserve"> </w:t>
      </w:r>
      <w:r w:rsidRPr="003D4405">
        <w:t xml:space="preserve">Eidinow, E. </w:t>
      </w:r>
      <w:r w:rsidRPr="003D4405">
        <w:rPr>
          <w:i/>
          <w:iCs/>
        </w:rPr>
        <w:t>Oracles, Curses and Risk among the Ancient Greeks</w:t>
      </w:r>
      <w:r>
        <w:t xml:space="preserve">. Oxford: OUP, 2007, ch.7, </w:t>
      </w:r>
    </w:p>
  </w:footnote>
  <w:footnote w:id="35">
    <w:p w14:paraId="229DEED6" w14:textId="752264AE" w:rsidR="007D2374" w:rsidRPr="00D229A8" w:rsidRDefault="007D2374">
      <w:pPr>
        <w:pStyle w:val="FootnoteText"/>
        <w:rPr>
          <w:lang w:val="en-US"/>
        </w:rPr>
      </w:pPr>
      <w:r>
        <w:rPr>
          <w:rStyle w:val="FootnoteReference"/>
        </w:rPr>
        <w:footnoteRef/>
      </w:r>
      <w:r>
        <w:t xml:space="preserve"> </w:t>
      </w:r>
      <w:r w:rsidRPr="003D4405">
        <w:t xml:space="preserve">Eidinow, E. </w:t>
      </w:r>
      <w:r w:rsidRPr="003D4405">
        <w:rPr>
          <w:i/>
          <w:iCs/>
        </w:rPr>
        <w:t>Oracles, Curses and Risk</w:t>
      </w:r>
      <w:r>
        <w:rPr>
          <w:iCs/>
        </w:rPr>
        <w:t>, 2007, p.141</w:t>
      </w:r>
    </w:p>
  </w:footnote>
  <w:footnote w:id="36">
    <w:p w14:paraId="01F376DB" w14:textId="01C8F868" w:rsidR="007D2374" w:rsidRPr="00035095" w:rsidRDefault="007D2374" w:rsidP="00D11012">
      <w:pPr>
        <w:rPr>
          <w:lang w:val="en-US"/>
        </w:rPr>
      </w:pPr>
      <w:r>
        <w:rPr>
          <w:rStyle w:val="FootnoteReference"/>
        </w:rPr>
        <w:footnoteRef/>
      </w:r>
      <w:r>
        <w:t xml:space="preserve"> </w:t>
      </w:r>
      <w:r>
        <w:rPr>
          <w:rFonts w:eastAsia="Times New Roman"/>
        </w:rPr>
        <w:t xml:space="preserve">Ogden, D., ‘Binding Spells: Curse Tablets and Voodoo Dolls’, in B. Ankarloo and S. Clark (eds.), </w:t>
      </w:r>
      <w:r>
        <w:rPr>
          <w:rFonts w:eastAsia="Times New Roman"/>
          <w:i/>
          <w:iCs/>
        </w:rPr>
        <w:t>Witchcraft and Magic in Europe</w:t>
      </w:r>
      <w:r>
        <w:rPr>
          <w:rFonts w:eastAsia="Times New Roman"/>
        </w:rPr>
        <w:t xml:space="preserve">, ii: </w:t>
      </w:r>
      <w:r>
        <w:rPr>
          <w:rFonts w:eastAsia="Times New Roman"/>
          <w:i/>
          <w:iCs/>
        </w:rPr>
        <w:t>Ancient Greece and Rome</w:t>
      </w:r>
      <w:r>
        <w:rPr>
          <w:rFonts w:eastAsia="Times New Roman"/>
        </w:rPr>
        <w:t xml:space="preserve"> (Philadelphia, PA: University of Pennsylvania Press, 1990), p.4.</w:t>
      </w:r>
    </w:p>
  </w:footnote>
  <w:footnote w:id="37">
    <w:p w14:paraId="78C94ECA" w14:textId="067F06BB" w:rsidR="007D2374" w:rsidRPr="0075722E" w:rsidRDefault="007D2374">
      <w:pPr>
        <w:pStyle w:val="FootnoteText"/>
        <w:rPr>
          <w:lang w:val="en-US"/>
        </w:rPr>
      </w:pPr>
      <w:r>
        <w:rPr>
          <w:rStyle w:val="FootnoteReference"/>
        </w:rPr>
        <w:footnoteRef/>
      </w:r>
      <w:r>
        <w:t xml:space="preserve"> </w:t>
      </w:r>
      <w:r w:rsidRPr="006D2856">
        <w:t xml:space="preserve">Lupu, </w:t>
      </w:r>
      <w:r w:rsidRPr="006B25CC">
        <w:rPr>
          <w:i/>
          <w:iCs/>
        </w:rPr>
        <w:t>Greek Sacred Law</w:t>
      </w:r>
      <w:r>
        <w:t>, 2009, contents page.</w:t>
      </w:r>
    </w:p>
  </w:footnote>
  <w:footnote w:id="38">
    <w:p w14:paraId="3D2BF959" w14:textId="6CA65D43" w:rsidR="007D2374" w:rsidRPr="0075722E" w:rsidRDefault="007D2374">
      <w:pPr>
        <w:pStyle w:val="FootnoteText"/>
        <w:rPr>
          <w:lang w:val="en-US"/>
        </w:rPr>
      </w:pPr>
      <w:r>
        <w:rPr>
          <w:rStyle w:val="FootnoteReference"/>
        </w:rPr>
        <w:footnoteRef/>
      </w:r>
      <w:r>
        <w:t xml:space="preserve"> </w:t>
      </w:r>
      <w:r w:rsidRPr="006D2856">
        <w:t xml:space="preserve">Lupu, </w:t>
      </w:r>
      <w:r w:rsidRPr="006B25CC">
        <w:rPr>
          <w:i/>
          <w:iCs/>
        </w:rPr>
        <w:t>Greek Sacred Law</w:t>
      </w:r>
      <w:r>
        <w:t>, 2009, pp.</w:t>
      </w:r>
      <w:r w:rsidRPr="0075722E">
        <w:rPr>
          <w:rFonts w:ascii="Palatino Linotype" w:eastAsia="Times New Roman" w:hAnsi="Palatino Linotype"/>
        </w:rPr>
        <w:t xml:space="preserve"> </w:t>
      </w:r>
      <w:r>
        <w:rPr>
          <w:rFonts w:ascii="Palatino Linotype" w:eastAsia="Times New Roman" w:hAnsi="Palatino Linotype"/>
        </w:rPr>
        <w:t>359-387.</w:t>
      </w:r>
    </w:p>
  </w:footnote>
  <w:footnote w:id="39">
    <w:p w14:paraId="14D465F3" w14:textId="5DB4B1F6" w:rsidR="007D2374" w:rsidRPr="007C6FA4" w:rsidRDefault="007D2374">
      <w:pPr>
        <w:pStyle w:val="FootnoteText"/>
        <w:rPr>
          <w:lang w:val="en-US"/>
        </w:rPr>
      </w:pPr>
      <w:r>
        <w:rPr>
          <w:rStyle w:val="FootnoteReference"/>
        </w:rPr>
        <w:footnoteRef/>
      </w:r>
      <w:r>
        <w:t xml:space="preserve"> </w:t>
      </w:r>
      <w:r w:rsidRPr="006D2856">
        <w:t xml:space="preserve">Lupu, </w:t>
      </w:r>
      <w:r w:rsidRPr="006B25CC">
        <w:rPr>
          <w:i/>
          <w:iCs/>
        </w:rPr>
        <w:t>Greek Sacred Law</w:t>
      </w:r>
      <w:r>
        <w:t xml:space="preserve">, 2009, p. </w:t>
      </w:r>
      <w:r>
        <w:rPr>
          <w:rFonts w:ascii="Palatino Linotype" w:eastAsia="Times New Roman" w:hAnsi="Palatino Linotype"/>
        </w:rPr>
        <w:t>363.</w:t>
      </w:r>
    </w:p>
  </w:footnote>
  <w:footnote w:id="40">
    <w:p w14:paraId="24B1E9AF" w14:textId="1C60D9A9" w:rsidR="007D2374" w:rsidRPr="007C6FA4" w:rsidRDefault="007D2374">
      <w:pPr>
        <w:pStyle w:val="FootnoteText"/>
        <w:rPr>
          <w:lang w:val="en-US"/>
        </w:rPr>
      </w:pPr>
      <w:r>
        <w:rPr>
          <w:rStyle w:val="FootnoteReference"/>
        </w:rPr>
        <w:footnoteRef/>
      </w:r>
      <w:r>
        <w:t xml:space="preserve"> </w:t>
      </w:r>
      <w:r w:rsidRPr="006D2856">
        <w:t xml:space="preserve">Lupu, </w:t>
      </w:r>
      <w:r w:rsidRPr="006B25CC">
        <w:rPr>
          <w:i/>
          <w:iCs/>
        </w:rPr>
        <w:t>Greek Sacred Law</w:t>
      </w:r>
      <w:r>
        <w:t xml:space="preserve">, 2009, p. </w:t>
      </w:r>
      <w:r>
        <w:rPr>
          <w:rFonts w:ascii="Palatino Linotype" w:eastAsia="Times New Roman" w:hAnsi="Palatino Linotype"/>
        </w:rPr>
        <w:t>364.</w:t>
      </w:r>
    </w:p>
  </w:footnote>
  <w:footnote w:id="41">
    <w:p w14:paraId="3AC47B51" w14:textId="20B649FB" w:rsidR="007D2374" w:rsidRPr="00082783" w:rsidRDefault="007D2374">
      <w:pPr>
        <w:pStyle w:val="FootnoteText"/>
        <w:rPr>
          <w:lang w:val="en-US"/>
        </w:rPr>
      </w:pPr>
      <w:r>
        <w:rPr>
          <w:rStyle w:val="FootnoteReference"/>
        </w:rPr>
        <w:footnoteRef/>
      </w:r>
      <w:r>
        <w:t xml:space="preserve"> </w:t>
      </w:r>
      <w:r w:rsidRPr="006D2856">
        <w:t xml:space="preserve">Lupu, </w:t>
      </w:r>
      <w:r w:rsidRPr="006B25CC">
        <w:rPr>
          <w:i/>
          <w:iCs/>
        </w:rPr>
        <w:t>Greek Sacred Law</w:t>
      </w:r>
      <w:r>
        <w:t xml:space="preserve">, 2009, p. </w:t>
      </w:r>
      <w:r>
        <w:rPr>
          <w:rFonts w:ascii="Palatino Linotype" w:eastAsia="Times New Roman" w:hAnsi="Palatino Linotype"/>
        </w:rPr>
        <w:t>364.</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7A5E9C" w14:textId="77777777" w:rsidR="00AA2445" w:rsidRDefault="00AA2445">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B6E8C0" w14:textId="2C0E3422" w:rsidR="00AA2445" w:rsidRDefault="00AA2445">
    <w:pPr>
      <w:pStyle w:val="Header"/>
    </w:pPr>
    <w:r>
      <w:t xml:space="preserve">Gabrielle </w:t>
    </w:r>
    <w:bookmarkStart w:id="6" w:name="_GoBack"/>
    <w:bookmarkEnd w:id="6"/>
    <w:r>
      <w:t xml:space="preserve"> Mooney  1905543   </w:t>
    </w:r>
    <w:r>
      <w:tab/>
    </w:r>
    <w:r>
      <w:tab/>
    </w:r>
    <w:r>
      <w:rPr>
        <w:rFonts w:ascii="Times New Roman" w:hAnsi="Times New Roman" w:cs="Times New Roman"/>
        <w:lang w:val="en-US"/>
      </w:rPr>
      <w:t xml:space="preserve">Page </w:t>
    </w:r>
    <w:r>
      <w:rPr>
        <w:rFonts w:ascii="Times New Roman" w:hAnsi="Times New Roman" w:cs="Times New Roman"/>
        <w:lang w:val="en-US"/>
      </w:rPr>
      <w:fldChar w:fldCharType="begin"/>
    </w:r>
    <w:r>
      <w:rPr>
        <w:rFonts w:ascii="Times New Roman" w:hAnsi="Times New Roman" w:cs="Times New Roman"/>
        <w:lang w:val="en-US"/>
      </w:rPr>
      <w:instrText xml:space="preserve"> PAGE </w:instrText>
    </w:r>
    <w:r>
      <w:rPr>
        <w:rFonts w:ascii="Times New Roman" w:hAnsi="Times New Roman" w:cs="Times New Roman"/>
        <w:lang w:val="en-US"/>
      </w:rPr>
      <w:fldChar w:fldCharType="separate"/>
    </w:r>
    <w:r>
      <w:rPr>
        <w:rFonts w:ascii="Times New Roman" w:hAnsi="Times New Roman" w:cs="Times New Roman"/>
        <w:noProof/>
        <w:lang w:val="en-US"/>
      </w:rPr>
      <w:t>1</w:t>
    </w:r>
    <w:r>
      <w:rPr>
        <w:rFonts w:ascii="Times New Roman" w:hAnsi="Times New Roman" w:cs="Times New Roman"/>
        <w:lang w:val="en-US"/>
      </w:rPr>
      <w:fldChar w:fldCharType="end"/>
    </w:r>
    <w:r>
      <w:rPr>
        <w:rFonts w:ascii="Times New Roman" w:hAnsi="Times New Roman" w:cs="Times New Roman"/>
        <w:lang w:val="en-US"/>
      </w:rPr>
      <w:t xml:space="preserve"> of </w:t>
    </w:r>
    <w:r>
      <w:rPr>
        <w:rFonts w:ascii="Times New Roman" w:hAnsi="Times New Roman" w:cs="Times New Roman"/>
        <w:lang w:val="en-US"/>
      </w:rPr>
      <w:fldChar w:fldCharType="begin"/>
    </w:r>
    <w:r>
      <w:rPr>
        <w:rFonts w:ascii="Times New Roman" w:hAnsi="Times New Roman" w:cs="Times New Roman"/>
        <w:lang w:val="en-US"/>
      </w:rPr>
      <w:instrText xml:space="preserve"> NUMPAGES </w:instrText>
    </w:r>
    <w:r>
      <w:rPr>
        <w:rFonts w:ascii="Times New Roman" w:hAnsi="Times New Roman" w:cs="Times New Roman"/>
        <w:lang w:val="en-US"/>
      </w:rPr>
      <w:fldChar w:fldCharType="separate"/>
    </w:r>
    <w:r>
      <w:rPr>
        <w:rFonts w:ascii="Times New Roman" w:hAnsi="Times New Roman" w:cs="Times New Roman"/>
        <w:noProof/>
        <w:lang w:val="en-US"/>
      </w:rPr>
      <w:t>2</w:t>
    </w:r>
    <w:r>
      <w:rPr>
        <w:rFonts w:ascii="Times New Roman" w:hAnsi="Times New Roman" w:cs="Times New Roman"/>
        <w:lang w:val="en-US"/>
      </w:rPr>
      <w:fldChar w:fldCharType="end"/>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ACAF1B" w14:textId="77777777" w:rsidR="00AA2445" w:rsidRDefault="00AA244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7052CC"/>
    <w:multiLevelType w:val="hybridMultilevel"/>
    <w:tmpl w:val="15C46BAA"/>
    <w:lvl w:ilvl="0" w:tplc="C5B4181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9574BF"/>
    <w:multiLevelType w:val="hybridMultilevel"/>
    <w:tmpl w:val="CCBE1F5A"/>
    <w:lvl w:ilvl="0" w:tplc="7A1AB38E">
      <w:start w:val="1"/>
      <w:numFmt w:val="bullet"/>
      <w:lvlText w:val="-"/>
      <w:lvlJc w:val="left"/>
      <w:pPr>
        <w:ind w:left="420" w:hanging="360"/>
      </w:pPr>
      <w:rPr>
        <w:rFonts w:ascii="Cambria" w:eastAsia="Times New Roman" w:hAnsi="Cambria" w:cs="Times New Roman"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
    <w:nsid w:val="44386C7B"/>
    <w:multiLevelType w:val="multilevel"/>
    <w:tmpl w:val="D3B0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2650"/>
    <w:rsid w:val="00035095"/>
    <w:rsid w:val="00050786"/>
    <w:rsid w:val="00082783"/>
    <w:rsid w:val="000B1A3D"/>
    <w:rsid w:val="000C76C9"/>
    <w:rsid w:val="000D63BE"/>
    <w:rsid w:val="0018121F"/>
    <w:rsid w:val="001C150F"/>
    <w:rsid w:val="00233143"/>
    <w:rsid w:val="00285912"/>
    <w:rsid w:val="002B5938"/>
    <w:rsid w:val="002B5CBD"/>
    <w:rsid w:val="002B7D1A"/>
    <w:rsid w:val="002D668D"/>
    <w:rsid w:val="002F0CA0"/>
    <w:rsid w:val="003C5237"/>
    <w:rsid w:val="003D2BDD"/>
    <w:rsid w:val="003D4405"/>
    <w:rsid w:val="003D4CC5"/>
    <w:rsid w:val="00414F56"/>
    <w:rsid w:val="0042070A"/>
    <w:rsid w:val="00483B7A"/>
    <w:rsid w:val="004B7963"/>
    <w:rsid w:val="004E7EA5"/>
    <w:rsid w:val="004F0D0B"/>
    <w:rsid w:val="00514B6E"/>
    <w:rsid w:val="005166A1"/>
    <w:rsid w:val="00577D9F"/>
    <w:rsid w:val="005C5BD1"/>
    <w:rsid w:val="006351DE"/>
    <w:rsid w:val="006A3371"/>
    <w:rsid w:val="006B25CC"/>
    <w:rsid w:val="006B391F"/>
    <w:rsid w:val="006B48E8"/>
    <w:rsid w:val="006C613B"/>
    <w:rsid w:val="006D2856"/>
    <w:rsid w:val="006D3DA3"/>
    <w:rsid w:val="0075722E"/>
    <w:rsid w:val="007C6FA4"/>
    <w:rsid w:val="007D2374"/>
    <w:rsid w:val="007E1FDB"/>
    <w:rsid w:val="00855DD5"/>
    <w:rsid w:val="008874E5"/>
    <w:rsid w:val="008B7351"/>
    <w:rsid w:val="008C05CE"/>
    <w:rsid w:val="008D37B4"/>
    <w:rsid w:val="008E79FF"/>
    <w:rsid w:val="0092505C"/>
    <w:rsid w:val="00930F6F"/>
    <w:rsid w:val="00961300"/>
    <w:rsid w:val="00A24175"/>
    <w:rsid w:val="00A7662D"/>
    <w:rsid w:val="00A81A29"/>
    <w:rsid w:val="00AA2445"/>
    <w:rsid w:val="00AC4052"/>
    <w:rsid w:val="00B13D55"/>
    <w:rsid w:val="00BB517D"/>
    <w:rsid w:val="00C04C00"/>
    <w:rsid w:val="00CA644C"/>
    <w:rsid w:val="00CB2E58"/>
    <w:rsid w:val="00CD0599"/>
    <w:rsid w:val="00CF3FD2"/>
    <w:rsid w:val="00D0115A"/>
    <w:rsid w:val="00D01209"/>
    <w:rsid w:val="00D11012"/>
    <w:rsid w:val="00D229A8"/>
    <w:rsid w:val="00D603A8"/>
    <w:rsid w:val="00D929C3"/>
    <w:rsid w:val="00D947A5"/>
    <w:rsid w:val="00E12650"/>
    <w:rsid w:val="00EC784D"/>
    <w:rsid w:val="00F10A0A"/>
    <w:rsid w:val="00F3629F"/>
    <w:rsid w:val="00FD595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1FC3020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CBD"/>
  </w:style>
  <w:style w:type="paragraph" w:styleId="Heading3">
    <w:name w:val="heading 3"/>
    <w:basedOn w:val="Normal"/>
    <w:link w:val="Heading3Char"/>
    <w:qFormat/>
    <w:rsid w:val="007D2374"/>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B5CBD"/>
  </w:style>
  <w:style w:type="character" w:customStyle="1" w:styleId="FootnoteTextChar">
    <w:name w:val="Footnote Text Char"/>
    <w:basedOn w:val="DefaultParagraphFont"/>
    <w:link w:val="FootnoteText"/>
    <w:uiPriority w:val="99"/>
    <w:rsid w:val="002B5CBD"/>
  </w:style>
  <w:style w:type="character" w:styleId="FootnoteReference">
    <w:name w:val="footnote reference"/>
    <w:basedOn w:val="DefaultParagraphFont"/>
    <w:uiPriority w:val="99"/>
    <w:unhideWhenUsed/>
    <w:rsid w:val="002B5CBD"/>
    <w:rPr>
      <w:vertAlign w:val="superscript"/>
    </w:rPr>
  </w:style>
  <w:style w:type="character" w:styleId="Hyperlink">
    <w:name w:val="Hyperlink"/>
    <w:basedOn w:val="DefaultParagraphFont"/>
    <w:uiPriority w:val="99"/>
    <w:unhideWhenUsed/>
    <w:rsid w:val="006B48E8"/>
    <w:rPr>
      <w:color w:val="0000FF" w:themeColor="hyperlink"/>
      <w:u w:val="single"/>
    </w:rPr>
  </w:style>
  <w:style w:type="character" w:styleId="FollowedHyperlink">
    <w:name w:val="FollowedHyperlink"/>
    <w:basedOn w:val="DefaultParagraphFont"/>
    <w:uiPriority w:val="99"/>
    <w:semiHidden/>
    <w:unhideWhenUsed/>
    <w:rsid w:val="00233143"/>
    <w:rPr>
      <w:color w:val="800080" w:themeColor="followedHyperlink"/>
      <w:u w:val="single"/>
    </w:rPr>
  </w:style>
  <w:style w:type="paragraph" w:styleId="ListParagraph">
    <w:name w:val="List Paragraph"/>
    <w:basedOn w:val="Normal"/>
    <w:uiPriority w:val="34"/>
    <w:qFormat/>
    <w:rsid w:val="0092505C"/>
    <w:pPr>
      <w:ind w:left="720"/>
      <w:contextualSpacing/>
    </w:pPr>
  </w:style>
  <w:style w:type="character" w:styleId="CommentReference">
    <w:name w:val="annotation reference"/>
    <w:basedOn w:val="DefaultParagraphFont"/>
    <w:uiPriority w:val="99"/>
    <w:semiHidden/>
    <w:unhideWhenUsed/>
    <w:rsid w:val="00CB2E58"/>
    <w:rPr>
      <w:sz w:val="18"/>
      <w:szCs w:val="18"/>
    </w:rPr>
  </w:style>
  <w:style w:type="paragraph" w:styleId="CommentText">
    <w:name w:val="annotation text"/>
    <w:basedOn w:val="Normal"/>
    <w:link w:val="CommentTextChar"/>
    <w:uiPriority w:val="99"/>
    <w:semiHidden/>
    <w:unhideWhenUsed/>
    <w:rsid w:val="00CB2E58"/>
  </w:style>
  <w:style w:type="character" w:customStyle="1" w:styleId="CommentTextChar">
    <w:name w:val="Comment Text Char"/>
    <w:basedOn w:val="DefaultParagraphFont"/>
    <w:link w:val="CommentText"/>
    <w:uiPriority w:val="99"/>
    <w:semiHidden/>
    <w:rsid w:val="00CB2E58"/>
  </w:style>
  <w:style w:type="paragraph" w:styleId="CommentSubject">
    <w:name w:val="annotation subject"/>
    <w:basedOn w:val="CommentText"/>
    <w:next w:val="CommentText"/>
    <w:link w:val="CommentSubjectChar"/>
    <w:uiPriority w:val="99"/>
    <w:semiHidden/>
    <w:unhideWhenUsed/>
    <w:rsid w:val="00CB2E58"/>
    <w:rPr>
      <w:b/>
      <w:bCs/>
      <w:sz w:val="20"/>
      <w:szCs w:val="20"/>
    </w:rPr>
  </w:style>
  <w:style w:type="character" w:customStyle="1" w:styleId="CommentSubjectChar">
    <w:name w:val="Comment Subject Char"/>
    <w:basedOn w:val="CommentTextChar"/>
    <w:link w:val="CommentSubject"/>
    <w:uiPriority w:val="99"/>
    <w:semiHidden/>
    <w:rsid w:val="00CB2E58"/>
    <w:rPr>
      <w:b/>
      <w:bCs/>
      <w:sz w:val="20"/>
      <w:szCs w:val="20"/>
    </w:rPr>
  </w:style>
  <w:style w:type="paragraph" w:styleId="BalloonText">
    <w:name w:val="Balloon Text"/>
    <w:basedOn w:val="Normal"/>
    <w:link w:val="BalloonTextChar"/>
    <w:uiPriority w:val="99"/>
    <w:semiHidden/>
    <w:unhideWhenUsed/>
    <w:rsid w:val="00CB2E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2E58"/>
    <w:rPr>
      <w:rFonts w:ascii="Lucida Grande" w:hAnsi="Lucida Grande" w:cs="Lucida Grande"/>
      <w:sz w:val="18"/>
      <w:szCs w:val="18"/>
    </w:rPr>
  </w:style>
  <w:style w:type="character" w:customStyle="1" w:styleId="Heading3Char">
    <w:name w:val="Heading 3 Char"/>
    <w:basedOn w:val="DefaultParagraphFont"/>
    <w:link w:val="Heading3"/>
    <w:rsid w:val="007D2374"/>
    <w:rPr>
      <w:rFonts w:ascii="Tahoma" w:eastAsia="SimSun" w:hAnsi="Tahoma" w:cs="Tahoma"/>
      <w:b/>
      <w:bCs/>
      <w:sz w:val="20"/>
      <w:szCs w:val="20"/>
      <w:lang w:eastAsia="zh-CN"/>
    </w:rPr>
  </w:style>
  <w:style w:type="paragraph" w:styleId="NormalWeb">
    <w:name w:val="Normal (Web)"/>
    <w:basedOn w:val="Normal"/>
    <w:rsid w:val="007D2374"/>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AA2445"/>
    <w:pPr>
      <w:tabs>
        <w:tab w:val="center" w:pos="4320"/>
        <w:tab w:val="right" w:pos="8640"/>
      </w:tabs>
    </w:pPr>
  </w:style>
  <w:style w:type="character" w:customStyle="1" w:styleId="HeaderChar">
    <w:name w:val="Header Char"/>
    <w:basedOn w:val="DefaultParagraphFont"/>
    <w:link w:val="Header"/>
    <w:uiPriority w:val="99"/>
    <w:rsid w:val="00AA2445"/>
  </w:style>
  <w:style w:type="paragraph" w:styleId="Footer">
    <w:name w:val="footer"/>
    <w:basedOn w:val="Normal"/>
    <w:link w:val="FooterChar"/>
    <w:uiPriority w:val="99"/>
    <w:unhideWhenUsed/>
    <w:rsid w:val="00AA2445"/>
    <w:pPr>
      <w:tabs>
        <w:tab w:val="center" w:pos="4320"/>
        <w:tab w:val="right" w:pos="8640"/>
      </w:tabs>
    </w:pPr>
  </w:style>
  <w:style w:type="character" w:customStyle="1" w:styleId="FooterChar">
    <w:name w:val="Footer Char"/>
    <w:basedOn w:val="DefaultParagraphFont"/>
    <w:link w:val="Footer"/>
    <w:uiPriority w:val="99"/>
    <w:rsid w:val="00AA244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CBD"/>
  </w:style>
  <w:style w:type="paragraph" w:styleId="Heading3">
    <w:name w:val="heading 3"/>
    <w:basedOn w:val="Normal"/>
    <w:link w:val="Heading3Char"/>
    <w:qFormat/>
    <w:rsid w:val="007D2374"/>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B5CBD"/>
  </w:style>
  <w:style w:type="character" w:customStyle="1" w:styleId="FootnoteTextChar">
    <w:name w:val="Footnote Text Char"/>
    <w:basedOn w:val="DefaultParagraphFont"/>
    <w:link w:val="FootnoteText"/>
    <w:uiPriority w:val="99"/>
    <w:rsid w:val="002B5CBD"/>
  </w:style>
  <w:style w:type="character" w:styleId="FootnoteReference">
    <w:name w:val="footnote reference"/>
    <w:basedOn w:val="DefaultParagraphFont"/>
    <w:uiPriority w:val="99"/>
    <w:unhideWhenUsed/>
    <w:rsid w:val="002B5CBD"/>
    <w:rPr>
      <w:vertAlign w:val="superscript"/>
    </w:rPr>
  </w:style>
  <w:style w:type="character" w:styleId="Hyperlink">
    <w:name w:val="Hyperlink"/>
    <w:basedOn w:val="DefaultParagraphFont"/>
    <w:uiPriority w:val="99"/>
    <w:unhideWhenUsed/>
    <w:rsid w:val="006B48E8"/>
    <w:rPr>
      <w:color w:val="0000FF" w:themeColor="hyperlink"/>
      <w:u w:val="single"/>
    </w:rPr>
  </w:style>
  <w:style w:type="character" w:styleId="FollowedHyperlink">
    <w:name w:val="FollowedHyperlink"/>
    <w:basedOn w:val="DefaultParagraphFont"/>
    <w:uiPriority w:val="99"/>
    <w:semiHidden/>
    <w:unhideWhenUsed/>
    <w:rsid w:val="00233143"/>
    <w:rPr>
      <w:color w:val="800080" w:themeColor="followedHyperlink"/>
      <w:u w:val="single"/>
    </w:rPr>
  </w:style>
  <w:style w:type="paragraph" w:styleId="ListParagraph">
    <w:name w:val="List Paragraph"/>
    <w:basedOn w:val="Normal"/>
    <w:uiPriority w:val="34"/>
    <w:qFormat/>
    <w:rsid w:val="0092505C"/>
    <w:pPr>
      <w:ind w:left="720"/>
      <w:contextualSpacing/>
    </w:pPr>
  </w:style>
  <w:style w:type="character" w:styleId="CommentReference">
    <w:name w:val="annotation reference"/>
    <w:basedOn w:val="DefaultParagraphFont"/>
    <w:uiPriority w:val="99"/>
    <w:semiHidden/>
    <w:unhideWhenUsed/>
    <w:rsid w:val="00CB2E58"/>
    <w:rPr>
      <w:sz w:val="18"/>
      <w:szCs w:val="18"/>
    </w:rPr>
  </w:style>
  <w:style w:type="paragraph" w:styleId="CommentText">
    <w:name w:val="annotation text"/>
    <w:basedOn w:val="Normal"/>
    <w:link w:val="CommentTextChar"/>
    <w:uiPriority w:val="99"/>
    <w:semiHidden/>
    <w:unhideWhenUsed/>
    <w:rsid w:val="00CB2E58"/>
  </w:style>
  <w:style w:type="character" w:customStyle="1" w:styleId="CommentTextChar">
    <w:name w:val="Comment Text Char"/>
    <w:basedOn w:val="DefaultParagraphFont"/>
    <w:link w:val="CommentText"/>
    <w:uiPriority w:val="99"/>
    <w:semiHidden/>
    <w:rsid w:val="00CB2E58"/>
  </w:style>
  <w:style w:type="paragraph" w:styleId="CommentSubject">
    <w:name w:val="annotation subject"/>
    <w:basedOn w:val="CommentText"/>
    <w:next w:val="CommentText"/>
    <w:link w:val="CommentSubjectChar"/>
    <w:uiPriority w:val="99"/>
    <w:semiHidden/>
    <w:unhideWhenUsed/>
    <w:rsid w:val="00CB2E58"/>
    <w:rPr>
      <w:b/>
      <w:bCs/>
      <w:sz w:val="20"/>
      <w:szCs w:val="20"/>
    </w:rPr>
  </w:style>
  <w:style w:type="character" w:customStyle="1" w:styleId="CommentSubjectChar">
    <w:name w:val="Comment Subject Char"/>
    <w:basedOn w:val="CommentTextChar"/>
    <w:link w:val="CommentSubject"/>
    <w:uiPriority w:val="99"/>
    <w:semiHidden/>
    <w:rsid w:val="00CB2E58"/>
    <w:rPr>
      <w:b/>
      <w:bCs/>
      <w:sz w:val="20"/>
      <w:szCs w:val="20"/>
    </w:rPr>
  </w:style>
  <w:style w:type="paragraph" w:styleId="BalloonText">
    <w:name w:val="Balloon Text"/>
    <w:basedOn w:val="Normal"/>
    <w:link w:val="BalloonTextChar"/>
    <w:uiPriority w:val="99"/>
    <w:semiHidden/>
    <w:unhideWhenUsed/>
    <w:rsid w:val="00CB2E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2E58"/>
    <w:rPr>
      <w:rFonts w:ascii="Lucida Grande" w:hAnsi="Lucida Grande" w:cs="Lucida Grande"/>
      <w:sz w:val="18"/>
      <w:szCs w:val="18"/>
    </w:rPr>
  </w:style>
  <w:style w:type="character" w:customStyle="1" w:styleId="Heading3Char">
    <w:name w:val="Heading 3 Char"/>
    <w:basedOn w:val="DefaultParagraphFont"/>
    <w:link w:val="Heading3"/>
    <w:rsid w:val="007D2374"/>
    <w:rPr>
      <w:rFonts w:ascii="Tahoma" w:eastAsia="SimSun" w:hAnsi="Tahoma" w:cs="Tahoma"/>
      <w:b/>
      <w:bCs/>
      <w:sz w:val="20"/>
      <w:szCs w:val="20"/>
      <w:lang w:eastAsia="zh-CN"/>
    </w:rPr>
  </w:style>
  <w:style w:type="paragraph" w:styleId="NormalWeb">
    <w:name w:val="Normal (Web)"/>
    <w:basedOn w:val="Normal"/>
    <w:rsid w:val="007D2374"/>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AA2445"/>
    <w:pPr>
      <w:tabs>
        <w:tab w:val="center" w:pos="4320"/>
        <w:tab w:val="right" w:pos="8640"/>
      </w:tabs>
    </w:pPr>
  </w:style>
  <w:style w:type="character" w:customStyle="1" w:styleId="HeaderChar">
    <w:name w:val="Header Char"/>
    <w:basedOn w:val="DefaultParagraphFont"/>
    <w:link w:val="Header"/>
    <w:uiPriority w:val="99"/>
    <w:rsid w:val="00AA2445"/>
  </w:style>
  <w:style w:type="paragraph" w:styleId="Footer">
    <w:name w:val="footer"/>
    <w:basedOn w:val="Normal"/>
    <w:link w:val="FooterChar"/>
    <w:uiPriority w:val="99"/>
    <w:unhideWhenUsed/>
    <w:rsid w:val="00AA2445"/>
    <w:pPr>
      <w:tabs>
        <w:tab w:val="center" w:pos="4320"/>
        <w:tab w:val="right" w:pos="8640"/>
      </w:tabs>
    </w:pPr>
  </w:style>
  <w:style w:type="character" w:customStyle="1" w:styleId="FooterChar">
    <w:name w:val="Footer Char"/>
    <w:basedOn w:val="DefaultParagraphFont"/>
    <w:link w:val="Footer"/>
    <w:uiPriority w:val="99"/>
    <w:rsid w:val="00AA2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3267506">
      <w:bodyDiv w:val="1"/>
      <w:marLeft w:val="0"/>
      <w:marRight w:val="0"/>
      <w:marTop w:val="0"/>
      <w:marBottom w:val="0"/>
      <w:divBdr>
        <w:top w:val="none" w:sz="0" w:space="0" w:color="auto"/>
        <w:left w:val="none" w:sz="0" w:space="0" w:color="auto"/>
        <w:bottom w:val="none" w:sz="0" w:space="0" w:color="auto"/>
        <w:right w:val="none" w:sz="0" w:space="0" w:color="auto"/>
      </w:divBdr>
    </w:div>
    <w:div w:id="20125645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oxfordreference.com/view/10.1093/acref/9780198606413.001.0001/acref-9780198606413-e-5537?rskey=cOf4Wg"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header" Target="header3.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s://www.oxfordreference.com/view/10.1093/acref/9780198606413.001.0001/acref-9780198606413-e-306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oxfordreference.com/view/10.1093/acref/9780198606413.001.0001/acref-9780198606413-e-5537?rskey=cOf4W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1190</TotalTime>
  <Pages>1</Pages>
  <Words>2908</Words>
  <Characters>15358</Characters>
  <Application>Microsoft Macintosh Word</Application>
  <DocSecurity>0</DocSecurity>
  <Lines>295</Lines>
  <Paragraphs>65</Paragraphs>
  <ScaleCrop>false</ScaleCrop>
  <Company/>
  <LinksUpToDate>false</LinksUpToDate>
  <CharactersWithSpaces>18201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Gabby Mooney</dc:creator>
  <cp:keywords/>
  <dc:description/>
  <cp:lastModifiedBy>Gabby Mooney</cp:lastModifiedBy>
  <cp:revision>18</cp:revision>
  <dcterms:created xsi:type="dcterms:W3CDTF">2020-01-30T21:06:00Z</dcterms:created>
  <dcterms:modified xsi:type="dcterms:W3CDTF">2020-02-03T15:49:00Z</dcterms:modified>
</cp:coreProperties>
</file>