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2D5EE72" w14:textId="77777777" w:rsidR="00D86085" w:rsidRPr="003819D4" w:rsidRDefault="00D86085" w:rsidP="00095740">
      <w:pPr>
        <w:pStyle w:val="Heading2"/>
        <w:rPr>
          <w:lang w:val="en-US"/>
        </w:rPr>
      </w:pPr>
    </w:p>
    <w:p w14:paraId="72242B89" w14:textId="77777777" w:rsidR="00D86085" w:rsidRPr="003819D4" w:rsidRDefault="00D86085">
      <w:pPr>
        <w:rPr>
          <w:rFonts w:ascii="Arial" w:hAnsi="Arial" w:cs="Arial"/>
          <w:sz w:val="24"/>
          <w:szCs w:val="24"/>
          <w:lang w:val="en-US"/>
        </w:rPr>
      </w:pPr>
    </w:p>
    <w:p w14:paraId="281C7D74" w14:textId="77777777" w:rsidR="005E37F1" w:rsidRDefault="004E2B85" w:rsidP="006A17BD">
      <w:pPr>
        <w:rPr>
          <w:rFonts w:ascii="Arial" w:hAnsi="Arial" w:cs="Arial"/>
          <w:sz w:val="24"/>
          <w:szCs w:val="24"/>
          <w:lang w:val="en-US"/>
        </w:rPr>
      </w:pPr>
      <w:r>
        <w:rPr>
          <w:rFonts w:ascii="Arial" w:hAnsi="Arial" w:cs="Arial"/>
          <w:noProof/>
          <w:sz w:val="24"/>
          <w:szCs w:val="24"/>
          <w:lang w:val="en-US"/>
        </w:rPr>
        <w:drawing>
          <wp:inline distT="0" distB="0" distL="0" distR="0" wp14:anchorId="2F6DCB55" wp14:editId="691E5C49">
            <wp:extent cx="5731510" cy="8107045"/>
            <wp:effectExtent l="0" t="0" r="2540" b="8255"/>
            <wp:docPr id="157386970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3869703" name="Picture 1573869703"/>
                    <pic:cNvPicPr/>
                  </pic:nvPicPr>
                  <pic:blipFill>
                    <a:blip r:embed="rId5" cstate="print">
                      <a:extLst>
                        <a:ext uri="{28A0092B-C50C-407E-A947-70E740481C1C}">
                          <a14:useLocalDpi xmlns:a14="http://schemas.microsoft.com/office/drawing/2010/main" val="0"/>
                        </a:ext>
                      </a:extLst>
                    </a:blip>
                    <a:stretch>
                      <a:fillRect/>
                    </a:stretch>
                  </pic:blipFill>
                  <pic:spPr>
                    <a:xfrm>
                      <a:off x="0" y="0"/>
                      <a:ext cx="5731510" cy="8107045"/>
                    </a:xfrm>
                    <a:prstGeom prst="rect">
                      <a:avLst/>
                    </a:prstGeom>
                  </pic:spPr>
                </pic:pic>
              </a:graphicData>
            </a:graphic>
          </wp:inline>
        </w:drawing>
      </w:r>
    </w:p>
    <w:p w14:paraId="454BFC10" w14:textId="0CB21D58" w:rsidR="006A17BD" w:rsidRPr="005E37F1" w:rsidRDefault="006A17BD" w:rsidP="006A17BD">
      <w:pPr>
        <w:rPr>
          <w:rFonts w:ascii="Arial" w:hAnsi="Arial" w:cs="Arial"/>
          <w:sz w:val="24"/>
          <w:szCs w:val="24"/>
          <w:lang w:val="en-US"/>
        </w:rPr>
      </w:pPr>
      <w:r w:rsidRPr="006A17BD">
        <w:rPr>
          <w:rFonts w:ascii="Arial" w:hAnsi="Arial" w:cs="Arial"/>
          <w:b/>
          <w:bCs/>
          <w:sz w:val="24"/>
          <w:szCs w:val="24"/>
        </w:rPr>
        <w:lastRenderedPageBreak/>
        <w:t>Table of Contents</w:t>
      </w:r>
    </w:p>
    <w:p w14:paraId="0F11CC54" w14:textId="77777777" w:rsidR="006A17BD" w:rsidRPr="006A17BD" w:rsidRDefault="006A17BD" w:rsidP="006A17BD">
      <w:pPr>
        <w:rPr>
          <w:rFonts w:ascii="Arial" w:hAnsi="Arial" w:cs="Arial"/>
          <w:sz w:val="24"/>
          <w:szCs w:val="24"/>
        </w:rPr>
      </w:pPr>
      <w:r w:rsidRPr="006A17BD">
        <w:rPr>
          <w:rFonts w:ascii="Arial" w:hAnsi="Arial" w:cs="Arial"/>
          <w:b/>
          <w:bCs/>
          <w:sz w:val="24"/>
          <w:szCs w:val="24"/>
        </w:rPr>
        <w:t>Broken Hill Proprietary Company Limited</w:t>
      </w:r>
    </w:p>
    <w:p w14:paraId="38D8762D" w14:textId="77777777" w:rsidR="006A17BD" w:rsidRPr="006A17BD" w:rsidRDefault="006A17BD" w:rsidP="006A17BD">
      <w:pPr>
        <w:rPr>
          <w:rFonts w:ascii="Arial" w:hAnsi="Arial" w:cs="Arial"/>
          <w:sz w:val="24"/>
          <w:szCs w:val="24"/>
        </w:rPr>
      </w:pPr>
      <w:r w:rsidRPr="006A17BD">
        <w:rPr>
          <w:rFonts w:ascii="Arial" w:hAnsi="Arial" w:cs="Arial"/>
          <w:b/>
          <w:bCs/>
          <w:sz w:val="24"/>
          <w:szCs w:val="24"/>
        </w:rPr>
        <w:t>Task 1: Marketing Environment Analysis</w:t>
      </w:r>
    </w:p>
    <w:p w14:paraId="54F47FB0" w14:textId="1CDAEDB7" w:rsidR="006A17BD" w:rsidRPr="006A17BD" w:rsidRDefault="006A17BD" w:rsidP="006A17BD">
      <w:pPr>
        <w:rPr>
          <w:rFonts w:ascii="Arial" w:hAnsi="Arial" w:cs="Arial"/>
          <w:sz w:val="24"/>
          <w:szCs w:val="24"/>
        </w:rPr>
      </w:pPr>
      <w:r>
        <w:rPr>
          <w:rFonts w:ascii="Arial" w:hAnsi="Arial" w:cs="Arial"/>
          <w:sz w:val="24"/>
          <w:szCs w:val="24"/>
        </w:rPr>
        <w:t>1.</w:t>
      </w:r>
      <w:r w:rsidRPr="006A17BD">
        <w:rPr>
          <w:rFonts w:ascii="Arial" w:hAnsi="Arial" w:cs="Arial"/>
          <w:sz w:val="24"/>
          <w:szCs w:val="24"/>
        </w:rPr>
        <w:t xml:space="preserve">Introduction and Company Overview </w:t>
      </w:r>
    </w:p>
    <w:p w14:paraId="407E7CC5" w14:textId="177EC230" w:rsidR="006A17BD" w:rsidRPr="006A17BD" w:rsidRDefault="006A17BD" w:rsidP="006A17BD">
      <w:pPr>
        <w:rPr>
          <w:rFonts w:ascii="Arial" w:hAnsi="Arial" w:cs="Arial"/>
          <w:sz w:val="24"/>
          <w:szCs w:val="24"/>
        </w:rPr>
      </w:pPr>
      <w:r>
        <w:rPr>
          <w:rFonts w:ascii="Arial" w:hAnsi="Arial" w:cs="Arial"/>
          <w:sz w:val="24"/>
          <w:szCs w:val="24"/>
        </w:rPr>
        <w:t>2.</w:t>
      </w:r>
      <w:r w:rsidRPr="006A17BD">
        <w:rPr>
          <w:rFonts w:ascii="Arial" w:hAnsi="Arial" w:cs="Arial"/>
          <w:sz w:val="24"/>
          <w:szCs w:val="24"/>
        </w:rPr>
        <w:t xml:space="preserve">Factor 1: Natural Environment </w:t>
      </w:r>
    </w:p>
    <w:p w14:paraId="4F855CF2" w14:textId="77777777" w:rsidR="006A17BD" w:rsidRPr="006A17BD" w:rsidRDefault="006A17BD" w:rsidP="006A17BD">
      <w:pPr>
        <w:rPr>
          <w:rFonts w:ascii="Arial" w:hAnsi="Arial" w:cs="Arial"/>
          <w:sz w:val="24"/>
          <w:szCs w:val="24"/>
        </w:rPr>
      </w:pPr>
      <w:r w:rsidRPr="006A17BD">
        <w:rPr>
          <w:rFonts w:ascii="Arial" w:hAnsi="Arial" w:cs="Arial"/>
          <w:sz w:val="24"/>
          <w:szCs w:val="24"/>
        </w:rPr>
        <w:t xml:space="preserve">2.1 Physical Environmental Risks and Water Scarcity </w:t>
      </w:r>
    </w:p>
    <w:p w14:paraId="4A4B7F6A" w14:textId="058F4524" w:rsidR="006A17BD" w:rsidRPr="006A17BD" w:rsidRDefault="006A17BD" w:rsidP="006A17BD">
      <w:pPr>
        <w:pStyle w:val="ListParagraph"/>
        <w:numPr>
          <w:ilvl w:val="1"/>
          <w:numId w:val="36"/>
        </w:numPr>
        <w:rPr>
          <w:rFonts w:ascii="Arial" w:hAnsi="Arial" w:cs="Arial"/>
          <w:sz w:val="24"/>
          <w:szCs w:val="24"/>
        </w:rPr>
      </w:pPr>
      <w:r w:rsidRPr="006A17BD">
        <w:rPr>
          <w:rFonts w:ascii="Arial" w:hAnsi="Arial" w:cs="Arial"/>
          <w:sz w:val="24"/>
          <w:szCs w:val="24"/>
        </w:rPr>
        <w:t xml:space="preserve">Shift towards "Future-Facing Commodities" </w:t>
      </w:r>
    </w:p>
    <w:p w14:paraId="09E11D80" w14:textId="5FA2653C" w:rsidR="006A17BD" w:rsidRPr="006A17BD" w:rsidRDefault="006A17BD" w:rsidP="006A17BD">
      <w:pPr>
        <w:rPr>
          <w:rFonts w:ascii="Arial" w:hAnsi="Arial" w:cs="Arial"/>
          <w:sz w:val="24"/>
          <w:szCs w:val="24"/>
        </w:rPr>
      </w:pPr>
      <w:r>
        <w:rPr>
          <w:rFonts w:ascii="Arial" w:hAnsi="Arial" w:cs="Arial"/>
          <w:sz w:val="24"/>
          <w:szCs w:val="24"/>
        </w:rPr>
        <w:t>3.</w:t>
      </w:r>
      <w:r w:rsidRPr="006A17BD">
        <w:rPr>
          <w:rFonts w:ascii="Arial" w:hAnsi="Arial" w:cs="Arial"/>
          <w:sz w:val="24"/>
          <w:szCs w:val="24"/>
        </w:rPr>
        <w:t xml:space="preserve">Factor 2: Government and Regulatory Environment </w:t>
      </w:r>
    </w:p>
    <w:p w14:paraId="1C357864" w14:textId="77777777" w:rsidR="006A17BD" w:rsidRPr="006A17BD" w:rsidRDefault="006A17BD" w:rsidP="006A17BD">
      <w:pPr>
        <w:rPr>
          <w:rFonts w:ascii="Arial" w:hAnsi="Arial" w:cs="Arial"/>
          <w:sz w:val="24"/>
          <w:szCs w:val="24"/>
        </w:rPr>
      </w:pPr>
      <w:r w:rsidRPr="006A17BD">
        <w:rPr>
          <w:rFonts w:ascii="Arial" w:hAnsi="Arial" w:cs="Arial"/>
          <w:sz w:val="24"/>
          <w:szCs w:val="24"/>
        </w:rPr>
        <w:t xml:space="preserve">3.1 Carbon Tariffs and the European Union's CBAM Law </w:t>
      </w:r>
    </w:p>
    <w:p w14:paraId="4A585358" w14:textId="7718A1D6" w:rsidR="006A17BD" w:rsidRPr="006A17BD" w:rsidRDefault="006A17BD" w:rsidP="006A17BD">
      <w:pPr>
        <w:pStyle w:val="ListParagraph"/>
        <w:numPr>
          <w:ilvl w:val="1"/>
          <w:numId w:val="37"/>
        </w:numPr>
        <w:rPr>
          <w:rFonts w:ascii="Arial" w:hAnsi="Arial" w:cs="Arial"/>
          <w:sz w:val="24"/>
          <w:szCs w:val="24"/>
        </w:rPr>
      </w:pPr>
      <w:r w:rsidRPr="006A17BD">
        <w:rPr>
          <w:rFonts w:ascii="Arial" w:hAnsi="Arial" w:cs="Arial"/>
          <w:sz w:val="24"/>
          <w:szCs w:val="24"/>
        </w:rPr>
        <w:t xml:space="preserve">Australia's Safeguard Mechanism </w:t>
      </w:r>
    </w:p>
    <w:p w14:paraId="0CDB80C7" w14:textId="77777777" w:rsidR="001C693E" w:rsidRDefault="001C693E" w:rsidP="006A17BD">
      <w:pPr>
        <w:rPr>
          <w:rFonts w:ascii="Arial" w:hAnsi="Arial" w:cs="Arial"/>
          <w:sz w:val="24"/>
          <w:szCs w:val="24"/>
        </w:rPr>
      </w:pPr>
      <w:r w:rsidRPr="001C693E">
        <w:rPr>
          <w:rFonts w:ascii="Arial" w:hAnsi="Arial" w:cs="Arial"/>
          <w:sz w:val="24"/>
          <w:szCs w:val="24"/>
        </w:rPr>
        <w:t>4. Factor 3: Socio-Cultural and Economic Environment (Customer Demands &amp; ESG Investors)</w:t>
      </w:r>
    </w:p>
    <w:p w14:paraId="14B1D1DA" w14:textId="40E0D86C" w:rsidR="006A17BD" w:rsidRPr="006A17BD" w:rsidRDefault="006A17BD" w:rsidP="006A17BD">
      <w:pPr>
        <w:rPr>
          <w:rFonts w:ascii="Arial" w:hAnsi="Arial" w:cs="Arial"/>
          <w:sz w:val="24"/>
          <w:szCs w:val="24"/>
        </w:rPr>
      </w:pPr>
      <w:r w:rsidRPr="006A17BD">
        <w:rPr>
          <w:rFonts w:ascii="Arial" w:hAnsi="Arial" w:cs="Arial"/>
          <w:sz w:val="24"/>
          <w:szCs w:val="24"/>
        </w:rPr>
        <w:t xml:space="preserve">4.1 Demand for "Green Metals" from Customers </w:t>
      </w:r>
    </w:p>
    <w:p w14:paraId="04CC5EB5" w14:textId="768FAA31" w:rsidR="006A17BD" w:rsidRPr="006A17BD" w:rsidRDefault="006A17BD" w:rsidP="006A17BD">
      <w:pPr>
        <w:pStyle w:val="ListParagraph"/>
        <w:numPr>
          <w:ilvl w:val="1"/>
          <w:numId w:val="38"/>
        </w:numPr>
        <w:rPr>
          <w:rFonts w:ascii="Arial" w:hAnsi="Arial" w:cs="Arial"/>
          <w:sz w:val="24"/>
          <w:szCs w:val="24"/>
        </w:rPr>
      </w:pPr>
      <w:r w:rsidRPr="006A17BD">
        <w:rPr>
          <w:rFonts w:ascii="Arial" w:hAnsi="Arial" w:cs="Arial"/>
          <w:sz w:val="24"/>
          <w:szCs w:val="24"/>
        </w:rPr>
        <w:t xml:space="preserve">Pressure from ESG Investors </w:t>
      </w:r>
    </w:p>
    <w:p w14:paraId="294B0327" w14:textId="27424EC6" w:rsidR="006A17BD" w:rsidRPr="006A17BD" w:rsidRDefault="006A17BD" w:rsidP="006A17BD">
      <w:pPr>
        <w:rPr>
          <w:rFonts w:ascii="Arial" w:hAnsi="Arial" w:cs="Arial"/>
          <w:sz w:val="24"/>
          <w:szCs w:val="24"/>
        </w:rPr>
      </w:pPr>
      <w:r>
        <w:rPr>
          <w:rFonts w:ascii="Arial" w:hAnsi="Arial" w:cs="Arial"/>
          <w:sz w:val="24"/>
          <w:szCs w:val="24"/>
        </w:rPr>
        <w:t>5.</w:t>
      </w:r>
      <w:r w:rsidRPr="006A17BD">
        <w:rPr>
          <w:rFonts w:ascii="Arial" w:hAnsi="Arial" w:cs="Arial"/>
          <w:sz w:val="24"/>
          <w:szCs w:val="24"/>
        </w:rPr>
        <w:t xml:space="preserve">Synthesis of Opportunities and Challenges </w:t>
      </w:r>
    </w:p>
    <w:p w14:paraId="3CA5F9D8" w14:textId="1F5C6081" w:rsidR="006A17BD" w:rsidRPr="006A17BD" w:rsidRDefault="006A17BD" w:rsidP="006A17BD">
      <w:pPr>
        <w:rPr>
          <w:rFonts w:ascii="Arial" w:hAnsi="Arial" w:cs="Arial"/>
          <w:sz w:val="24"/>
          <w:szCs w:val="24"/>
        </w:rPr>
      </w:pPr>
      <w:r>
        <w:rPr>
          <w:rFonts w:ascii="Arial" w:hAnsi="Arial" w:cs="Arial"/>
          <w:sz w:val="24"/>
          <w:szCs w:val="24"/>
        </w:rPr>
        <w:t>6.</w:t>
      </w:r>
      <w:r w:rsidRPr="006A17BD">
        <w:rPr>
          <w:rFonts w:ascii="Arial" w:hAnsi="Arial" w:cs="Arial"/>
          <w:sz w:val="24"/>
          <w:szCs w:val="24"/>
        </w:rPr>
        <w:t xml:space="preserve">Conclusion </w:t>
      </w:r>
    </w:p>
    <w:p w14:paraId="466EB57A" w14:textId="77777777" w:rsidR="006A17BD" w:rsidRPr="006A17BD" w:rsidRDefault="006A17BD" w:rsidP="006A17BD">
      <w:pPr>
        <w:rPr>
          <w:rFonts w:ascii="Arial" w:hAnsi="Arial" w:cs="Arial"/>
          <w:sz w:val="24"/>
          <w:szCs w:val="24"/>
        </w:rPr>
      </w:pPr>
      <w:r w:rsidRPr="006A17BD">
        <w:rPr>
          <w:rFonts w:ascii="Arial" w:hAnsi="Arial" w:cs="Arial"/>
          <w:b/>
          <w:bCs/>
          <w:sz w:val="24"/>
          <w:szCs w:val="24"/>
        </w:rPr>
        <w:t>Task 2: Strategic Growth and Competitive Positioning</w:t>
      </w:r>
    </w:p>
    <w:p w14:paraId="259A08FC" w14:textId="0FC14EC3" w:rsidR="006A17BD" w:rsidRPr="006A17BD" w:rsidRDefault="006A17BD" w:rsidP="006A17BD">
      <w:pPr>
        <w:rPr>
          <w:rFonts w:ascii="Arial" w:hAnsi="Arial" w:cs="Arial"/>
          <w:sz w:val="24"/>
          <w:szCs w:val="24"/>
        </w:rPr>
      </w:pPr>
      <w:r>
        <w:rPr>
          <w:rFonts w:ascii="Arial" w:hAnsi="Arial" w:cs="Arial"/>
          <w:sz w:val="24"/>
          <w:szCs w:val="24"/>
        </w:rPr>
        <w:t>1.</w:t>
      </w:r>
      <w:r w:rsidRPr="006A17BD">
        <w:rPr>
          <w:rFonts w:ascii="Arial" w:hAnsi="Arial" w:cs="Arial"/>
          <w:sz w:val="24"/>
          <w:szCs w:val="24"/>
        </w:rPr>
        <w:t xml:space="preserve">Strategic Growth Vector: Application of the Ansoff Matrix </w:t>
      </w:r>
    </w:p>
    <w:p w14:paraId="21577C3F" w14:textId="77777777" w:rsidR="006A17BD" w:rsidRPr="006A17BD" w:rsidRDefault="006A17BD" w:rsidP="006A17BD">
      <w:pPr>
        <w:rPr>
          <w:rFonts w:ascii="Arial" w:hAnsi="Arial" w:cs="Arial"/>
          <w:sz w:val="24"/>
          <w:szCs w:val="24"/>
        </w:rPr>
      </w:pPr>
      <w:r w:rsidRPr="006A17BD">
        <w:rPr>
          <w:rFonts w:ascii="Arial" w:hAnsi="Arial" w:cs="Arial"/>
          <w:sz w:val="24"/>
          <w:szCs w:val="24"/>
        </w:rPr>
        <w:t xml:space="preserve">1.1 Key Recommendation: Product Development </w:t>
      </w:r>
    </w:p>
    <w:p w14:paraId="3446486A" w14:textId="753F9F32" w:rsidR="006A17BD" w:rsidRPr="006A17BD" w:rsidRDefault="006A17BD" w:rsidP="006A17BD">
      <w:pPr>
        <w:pStyle w:val="ListParagraph"/>
        <w:numPr>
          <w:ilvl w:val="1"/>
          <w:numId w:val="39"/>
        </w:numPr>
        <w:rPr>
          <w:rFonts w:ascii="Arial" w:hAnsi="Arial" w:cs="Arial"/>
          <w:sz w:val="24"/>
          <w:szCs w:val="24"/>
        </w:rPr>
      </w:pPr>
      <w:r w:rsidRPr="006A17BD">
        <w:rPr>
          <w:rFonts w:ascii="Arial" w:hAnsi="Arial" w:cs="Arial"/>
          <w:sz w:val="24"/>
          <w:szCs w:val="24"/>
        </w:rPr>
        <w:t xml:space="preserve">Secondary Recommendation: Market Development </w:t>
      </w:r>
    </w:p>
    <w:p w14:paraId="5F52F5CB" w14:textId="669864FC" w:rsidR="006A17BD" w:rsidRPr="006A17BD" w:rsidRDefault="006A17BD" w:rsidP="006A17BD">
      <w:pPr>
        <w:rPr>
          <w:rFonts w:ascii="Arial" w:hAnsi="Arial" w:cs="Arial"/>
          <w:sz w:val="24"/>
          <w:szCs w:val="24"/>
        </w:rPr>
      </w:pPr>
      <w:r>
        <w:rPr>
          <w:rFonts w:ascii="Arial" w:hAnsi="Arial" w:cs="Arial"/>
          <w:sz w:val="24"/>
          <w:szCs w:val="24"/>
        </w:rPr>
        <w:t>2.</w:t>
      </w:r>
      <w:r w:rsidRPr="006A17BD">
        <w:rPr>
          <w:rFonts w:ascii="Arial" w:hAnsi="Arial" w:cs="Arial"/>
          <w:sz w:val="24"/>
          <w:szCs w:val="24"/>
        </w:rPr>
        <w:t xml:space="preserve">Competitive Positioning and Sustainable Advantage </w:t>
      </w:r>
    </w:p>
    <w:p w14:paraId="0CAC6682" w14:textId="0FE7E459" w:rsidR="006A17BD" w:rsidRPr="006A17BD" w:rsidRDefault="006A17BD" w:rsidP="006A17BD">
      <w:pPr>
        <w:pStyle w:val="ListParagraph"/>
        <w:numPr>
          <w:ilvl w:val="1"/>
          <w:numId w:val="40"/>
        </w:numPr>
        <w:rPr>
          <w:rFonts w:ascii="Arial" w:hAnsi="Arial" w:cs="Arial"/>
          <w:sz w:val="24"/>
          <w:szCs w:val="24"/>
        </w:rPr>
      </w:pPr>
      <w:r w:rsidRPr="006A17BD">
        <w:rPr>
          <w:rFonts w:ascii="Arial" w:hAnsi="Arial" w:cs="Arial"/>
          <w:sz w:val="24"/>
          <w:szCs w:val="24"/>
        </w:rPr>
        <w:t xml:space="preserve">Strategic Choice: Differentiation Strategy </w:t>
      </w:r>
    </w:p>
    <w:p w14:paraId="124AEC13" w14:textId="4914D65B" w:rsidR="006A17BD" w:rsidRPr="006A17BD" w:rsidRDefault="006A17BD" w:rsidP="006A17BD">
      <w:pPr>
        <w:rPr>
          <w:rFonts w:ascii="Arial" w:hAnsi="Arial" w:cs="Arial"/>
          <w:sz w:val="24"/>
          <w:szCs w:val="24"/>
        </w:rPr>
      </w:pPr>
      <w:r>
        <w:rPr>
          <w:rFonts w:ascii="Arial" w:hAnsi="Arial" w:cs="Arial"/>
          <w:sz w:val="24"/>
          <w:szCs w:val="24"/>
        </w:rPr>
        <w:t>3.</w:t>
      </w:r>
      <w:r w:rsidRPr="006A17BD">
        <w:rPr>
          <w:rFonts w:ascii="Arial" w:hAnsi="Arial" w:cs="Arial"/>
          <w:sz w:val="24"/>
          <w:szCs w:val="24"/>
        </w:rPr>
        <w:t xml:space="preserve">Implementation Roadmap and Risk Mitigation </w:t>
      </w:r>
    </w:p>
    <w:p w14:paraId="7EC6AC59" w14:textId="42B63E08" w:rsidR="006A17BD" w:rsidRPr="006A17BD" w:rsidRDefault="006A17BD" w:rsidP="006A17BD">
      <w:pPr>
        <w:rPr>
          <w:rFonts w:ascii="Arial" w:hAnsi="Arial" w:cs="Arial"/>
          <w:sz w:val="24"/>
          <w:szCs w:val="24"/>
        </w:rPr>
      </w:pPr>
      <w:r>
        <w:rPr>
          <w:rFonts w:ascii="Arial" w:hAnsi="Arial" w:cs="Arial"/>
          <w:sz w:val="24"/>
          <w:szCs w:val="24"/>
        </w:rPr>
        <w:t>4.</w:t>
      </w:r>
      <w:r w:rsidRPr="006A17BD">
        <w:rPr>
          <w:rFonts w:ascii="Arial" w:hAnsi="Arial" w:cs="Arial"/>
          <w:sz w:val="24"/>
          <w:szCs w:val="24"/>
        </w:rPr>
        <w:t xml:space="preserve">Conclusion </w:t>
      </w:r>
    </w:p>
    <w:p w14:paraId="26CECC04" w14:textId="77777777" w:rsidR="006A17BD" w:rsidRPr="006A17BD" w:rsidRDefault="006A17BD" w:rsidP="006A17BD">
      <w:pPr>
        <w:rPr>
          <w:rFonts w:ascii="Arial" w:hAnsi="Arial" w:cs="Arial"/>
          <w:sz w:val="24"/>
          <w:szCs w:val="24"/>
        </w:rPr>
      </w:pPr>
      <w:r w:rsidRPr="006A17BD">
        <w:rPr>
          <w:rFonts w:ascii="Arial" w:hAnsi="Arial" w:cs="Arial"/>
          <w:b/>
          <w:bCs/>
          <w:sz w:val="24"/>
          <w:szCs w:val="24"/>
        </w:rPr>
        <w:t>Task 3: Managerial and Professional Reflection</w:t>
      </w:r>
    </w:p>
    <w:p w14:paraId="46F002F4" w14:textId="10B3377B" w:rsidR="006A17BD" w:rsidRPr="006A17BD" w:rsidRDefault="006A17BD" w:rsidP="006A17BD">
      <w:pPr>
        <w:rPr>
          <w:rFonts w:ascii="Arial" w:hAnsi="Arial" w:cs="Arial"/>
          <w:sz w:val="24"/>
          <w:szCs w:val="24"/>
        </w:rPr>
      </w:pPr>
      <w:r>
        <w:rPr>
          <w:rFonts w:ascii="Arial" w:hAnsi="Arial" w:cs="Arial"/>
          <w:sz w:val="24"/>
          <w:szCs w:val="24"/>
        </w:rPr>
        <w:t>1.</w:t>
      </w:r>
      <w:r w:rsidRPr="006A17BD">
        <w:rPr>
          <w:rFonts w:ascii="Arial" w:hAnsi="Arial" w:cs="Arial"/>
          <w:sz w:val="24"/>
          <w:szCs w:val="24"/>
        </w:rPr>
        <w:t xml:space="preserve">Justification of Key Decisions </w:t>
      </w:r>
    </w:p>
    <w:p w14:paraId="32DA1E72" w14:textId="0BEA469C" w:rsidR="006A17BD" w:rsidRPr="006A17BD" w:rsidRDefault="006A17BD" w:rsidP="006A17BD">
      <w:pPr>
        <w:rPr>
          <w:rFonts w:ascii="Arial" w:hAnsi="Arial" w:cs="Arial"/>
          <w:sz w:val="24"/>
          <w:szCs w:val="24"/>
        </w:rPr>
      </w:pPr>
      <w:r>
        <w:rPr>
          <w:rFonts w:ascii="Arial" w:hAnsi="Arial" w:cs="Arial"/>
          <w:sz w:val="24"/>
          <w:szCs w:val="24"/>
        </w:rPr>
        <w:t>2.</w:t>
      </w:r>
      <w:r w:rsidRPr="006A17BD">
        <w:rPr>
          <w:rFonts w:ascii="Arial" w:hAnsi="Arial" w:cs="Arial"/>
          <w:sz w:val="24"/>
          <w:szCs w:val="24"/>
        </w:rPr>
        <w:t xml:space="preserve">Analytical Limitations &amp; Gaps </w:t>
      </w:r>
    </w:p>
    <w:p w14:paraId="3A34A5B0" w14:textId="7CC55418" w:rsidR="006A17BD" w:rsidRPr="006A17BD" w:rsidRDefault="006A17BD" w:rsidP="006A17BD">
      <w:pPr>
        <w:rPr>
          <w:rFonts w:ascii="Arial" w:hAnsi="Arial" w:cs="Arial"/>
          <w:sz w:val="24"/>
          <w:szCs w:val="24"/>
        </w:rPr>
      </w:pPr>
      <w:r>
        <w:rPr>
          <w:rFonts w:ascii="Arial" w:hAnsi="Arial" w:cs="Arial"/>
          <w:sz w:val="24"/>
          <w:szCs w:val="24"/>
        </w:rPr>
        <w:t>3.</w:t>
      </w:r>
      <w:r w:rsidRPr="006A17BD">
        <w:rPr>
          <w:rFonts w:ascii="Arial" w:hAnsi="Arial" w:cs="Arial"/>
          <w:sz w:val="24"/>
          <w:szCs w:val="24"/>
        </w:rPr>
        <w:t xml:space="preserve">Additional Information a Real Consultant Would Seek </w:t>
      </w:r>
    </w:p>
    <w:p w14:paraId="6D6E6140" w14:textId="77777777" w:rsidR="003848E9" w:rsidRPr="003819D4" w:rsidRDefault="003848E9">
      <w:pPr>
        <w:rPr>
          <w:rFonts w:ascii="Arial" w:hAnsi="Arial" w:cs="Arial"/>
          <w:sz w:val="24"/>
          <w:szCs w:val="24"/>
          <w:lang w:val="en-US"/>
        </w:rPr>
      </w:pPr>
    </w:p>
    <w:p w14:paraId="1160E1CB" w14:textId="77777777" w:rsidR="003848E9" w:rsidRPr="003819D4" w:rsidRDefault="003848E9">
      <w:pPr>
        <w:rPr>
          <w:rFonts w:ascii="Arial" w:hAnsi="Arial" w:cs="Arial"/>
          <w:sz w:val="24"/>
          <w:szCs w:val="24"/>
          <w:lang w:val="en-US"/>
        </w:rPr>
      </w:pPr>
    </w:p>
    <w:p w14:paraId="6A61EA0F" w14:textId="77777777" w:rsidR="003848E9" w:rsidRPr="003819D4" w:rsidRDefault="003848E9">
      <w:pPr>
        <w:rPr>
          <w:rFonts w:ascii="Arial" w:hAnsi="Arial" w:cs="Arial"/>
          <w:sz w:val="24"/>
          <w:szCs w:val="24"/>
          <w:lang w:val="en-US"/>
        </w:rPr>
      </w:pPr>
    </w:p>
    <w:p w14:paraId="1A3F7757" w14:textId="414DFF84" w:rsidR="003848E9" w:rsidRPr="003819D4" w:rsidRDefault="003848E9">
      <w:pPr>
        <w:rPr>
          <w:rFonts w:ascii="Arial" w:hAnsi="Arial" w:cs="Arial"/>
          <w:b/>
          <w:bCs/>
          <w:sz w:val="24"/>
          <w:szCs w:val="24"/>
        </w:rPr>
      </w:pPr>
      <w:r w:rsidRPr="003819D4">
        <w:rPr>
          <w:rFonts w:ascii="Arial" w:hAnsi="Arial" w:cs="Arial"/>
          <w:b/>
          <w:bCs/>
          <w:sz w:val="24"/>
          <w:szCs w:val="24"/>
        </w:rPr>
        <w:lastRenderedPageBreak/>
        <w:t>Broken Hill Proprietary Company Limited</w:t>
      </w:r>
    </w:p>
    <w:p w14:paraId="428A3F97" w14:textId="4E9DE3F8" w:rsidR="003848E9" w:rsidRPr="00446F75" w:rsidRDefault="003848E9">
      <w:pPr>
        <w:rPr>
          <w:rFonts w:ascii="Arial" w:hAnsi="Arial" w:cs="Arial"/>
          <w:b/>
          <w:bCs/>
          <w:sz w:val="24"/>
          <w:szCs w:val="24"/>
        </w:rPr>
      </w:pPr>
      <w:r w:rsidRPr="00446F75">
        <w:rPr>
          <w:rFonts w:ascii="Arial" w:hAnsi="Arial" w:cs="Arial"/>
          <w:b/>
          <w:bCs/>
          <w:sz w:val="24"/>
          <w:szCs w:val="24"/>
        </w:rPr>
        <w:t>Task 1: Marketing Environment Analysis</w:t>
      </w:r>
    </w:p>
    <w:p w14:paraId="7DA6F02A" w14:textId="77777777" w:rsidR="00212022" w:rsidRPr="00446F75" w:rsidRDefault="00212022" w:rsidP="00212022">
      <w:pPr>
        <w:rPr>
          <w:rFonts w:ascii="Arial" w:hAnsi="Arial" w:cs="Arial"/>
          <w:b/>
          <w:bCs/>
          <w:sz w:val="24"/>
          <w:szCs w:val="24"/>
          <w:lang w:val="en-US"/>
        </w:rPr>
      </w:pPr>
      <w:r w:rsidRPr="00446F75">
        <w:rPr>
          <w:rFonts w:ascii="Arial" w:hAnsi="Arial" w:cs="Arial"/>
          <w:b/>
          <w:bCs/>
          <w:sz w:val="24"/>
          <w:szCs w:val="24"/>
          <w:lang w:val="en-US"/>
        </w:rPr>
        <w:t>1. Introduction and Company Overview</w:t>
      </w:r>
    </w:p>
    <w:p w14:paraId="50C0AF47" w14:textId="5B3ADACC" w:rsidR="00AE66E1" w:rsidRPr="003819D4" w:rsidRDefault="004643A9" w:rsidP="00AE66E1">
      <w:pPr>
        <w:rPr>
          <w:rFonts w:ascii="Arial" w:hAnsi="Arial" w:cs="Arial"/>
          <w:sz w:val="24"/>
          <w:szCs w:val="24"/>
          <w:lang w:val="en-US"/>
        </w:rPr>
      </w:pPr>
      <w:r w:rsidRPr="004643A9">
        <w:rPr>
          <w:rFonts w:ascii="Arial" w:hAnsi="Arial" w:cs="Arial"/>
          <w:sz w:val="24"/>
          <w:szCs w:val="24"/>
          <w:lang w:val="en-US"/>
        </w:rPr>
        <w:t xml:space="preserve">The metals and mining sector </w:t>
      </w:r>
      <w:proofErr w:type="gramStart"/>
      <w:r w:rsidRPr="004643A9">
        <w:rPr>
          <w:rFonts w:ascii="Arial" w:hAnsi="Arial" w:cs="Arial"/>
          <w:sz w:val="24"/>
          <w:szCs w:val="24"/>
          <w:lang w:val="en-US"/>
        </w:rPr>
        <w:t>provides</w:t>
      </w:r>
      <w:proofErr w:type="gramEnd"/>
      <w:r w:rsidRPr="004643A9">
        <w:rPr>
          <w:rFonts w:ascii="Arial" w:hAnsi="Arial" w:cs="Arial"/>
          <w:sz w:val="24"/>
          <w:szCs w:val="24"/>
          <w:lang w:val="en-US"/>
        </w:rPr>
        <w:t xml:space="preserve"> a vital foundation for the global economy, industrial production, and the development of urban infrastructure (World Bank, 2023).</w:t>
      </w:r>
      <w:r>
        <w:rPr>
          <w:rFonts w:ascii="Arial" w:hAnsi="Arial" w:cs="Arial"/>
          <w:sz w:val="24"/>
          <w:szCs w:val="24"/>
          <w:lang w:val="en-US"/>
        </w:rPr>
        <w:t xml:space="preserve"> </w:t>
      </w:r>
      <w:r w:rsidR="00AE66E1" w:rsidRPr="003819D4">
        <w:rPr>
          <w:rFonts w:ascii="Arial" w:hAnsi="Arial" w:cs="Arial"/>
          <w:sz w:val="24"/>
          <w:szCs w:val="24"/>
          <w:lang w:val="en-US"/>
        </w:rPr>
        <w:t>However, in terms of environmental impact and climate change, this sector ranks among the world's highest carbon-emitting industries. According to Kotler et al. (2024, pp. 115-117), the metals and mining industry alone accounts for approximately 25% of the greenhouse gas (GHG) emissions generated by the world's 12,000 largest public-sector companies. Consequently, resource extraction companies are facing immense pressure from government regulators, industrial customers, institutional investors, and local communities to rapidly transition towards low-carbon and environmentally friendly operations (</w:t>
      </w:r>
      <w:proofErr w:type="spellStart"/>
      <w:r w:rsidR="00AE66E1" w:rsidRPr="003819D4">
        <w:rPr>
          <w:rFonts w:ascii="Arial" w:hAnsi="Arial" w:cs="Arial"/>
          <w:sz w:val="24"/>
          <w:szCs w:val="24"/>
          <w:lang w:val="en-US"/>
        </w:rPr>
        <w:t>Geissdoerfer</w:t>
      </w:r>
      <w:proofErr w:type="spellEnd"/>
      <w:r w:rsidR="00AE66E1" w:rsidRPr="003819D4">
        <w:rPr>
          <w:rFonts w:ascii="Arial" w:hAnsi="Arial" w:cs="Arial"/>
          <w:sz w:val="24"/>
          <w:szCs w:val="24"/>
          <w:lang w:val="en-US"/>
        </w:rPr>
        <w:t xml:space="preserve"> et al., 2020).</w:t>
      </w:r>
    </w:p>
    <w:p w14:paraId="2844EDB3" w14:textId="77777777" w:rsidR="00AE66E1" w:rsidRPr="003819D4" w:rsidRDefault="00AE66E1" w:rsidP="00AE66E1">
      <w:pPr>
        <w:rPr>
          <w:rFonts w:ascii="Arial" w:hAnsi="Arial" w:cs="Arial"/>
          <w:sz w:val="24"/>
          <w:szCs w:val="24"/>
          <w:lang w:val="en-US"/>
        </w:rPr>
      </w:pPr>
      <w:r w:rsidRPr="003819D4">
        <w:rPr>
          <w:rFonts w:ascii="Arial" w:hAnsi="Arial" w:cs="Arial"/>
          <w:sz w:val="24"/>
          <w:szCs w:val="24"/>
          <w:lang w:val="en-US"/>
        </w:rPr>
        <w:t>BHP Group Limited is headquartered in Australia and is one of the world's largest diversified mining companies by market capitalization (BHP, 2024). BHP's core portfolio comprises copper, high-quality iron ore, metallurgical coal, and high-purity nickel. To maintain its market leadership in a decarbonizing global economy, BHP has set ambitious targets: reducing its operational emissions (Scope 1 and Scope 2) by 30% by 2030 and achieving 'Net Zero' operational emissions by 2050 (BHP, 2023).</w:t>
      </w:r>
    </w:p>
    <w:p w14:paraId="2C1A96A8" w14:textId="77777777" w:rsidR="00AE66E1" w:rsidRPr="003819D4" w:rsidRDefault="00AE66E1" w:rsidP="00AE66E1">
      <w:pPr>
        <w:rPr>
          <w:rFonts w:ascii="Arial" w:hAnsi="Arial" w:cs="Arial"/>
          <w:sz w:val="24"/>
          <w:szCs w:val="24"/>
          <w:lang w:val="en-US"/>
        </w:rPr>
      </w:pPr>
      <w:r w:rsidRPr="003819D4">
        <w:rPr>
          <w:rFonts w:ascii="Arial" w:hAnsi="Arial" w:cs="Arial"/>
          <w:sz w:val="24"/>
          <w:szCs w:val="24"/>
          <w:lang w:val="en-US"/>
        </w:rPr>
        <w:t>To evaluate this sustainability transition, this report analyzes three key factors of BHP's external marketing environment:</w:t>
      </w:r>
    </w:p>
    <w:p w14:paraId="4480DEB9" w14:textId="77777777" w:rsidR="00AE66E1" w:rsidRPr="003819D4" w:rsidRDefault="00AE66E1" w:rsidP="00AE66E1">
      <w:pPr>
        <w:pStyle w:val="ListParagraph"/>
        <w:numPr>
          <w:ilvl w:val="0"/>
          <w:numId w:val="11"/>
        </w:numPr>
        <w:rPr>
          <w:rFonts w:ascii="Arial" w:hAnsi="Arial" w:cs="Arial"/>
          <w:sz w:val="24"/>
          <w:szCs w:val="24"/>
          <w:lang w:val="en-US"/>
        </w:rPr>
      </w:pPr>
      <w:r w:rsidRPr="003819D4">
        <w:rPr>
          <w:rFonts w:ascii="Arial" w:hAnsi="Arial" w:cs="Arial"/>
          <w:sz w:val="24"/>
          <w:szCs w:val="24"/>
          <w:lang w:val="en-US"/>
        </w:rPr>
        <w:t>Natural/Physical Environment – ​​Primary focus</w:t>
      </w:r>
    </w:p>
    <w:p w14:paraId="0F0583C6" w14:textId="77777777" w:rsidR="00AE66E1" w:rsidRPr="003819D4" w:rsidRDefault="00AE66E1" w:rsidP="00AE66E1">
      <w:pPr>
        <w:pStyle w:val="ListParagraph"/>
        <w:numPr>
          <w:ilvl w:val="0"/>
          <w:numId w:val="11"/>
        </w:numPr>
        <w:rPr>
          <w:rFonts w:ascii="Arial" w:hAnsi="Arial" w:cs="Arial"/>
          <w:sz w:val="24"/>
          <w:szCs w:val="24"/>
          <w:lang w:val="en-US"/>
        </w:rPr>
      </w:pPr>
      <w:r w:rsidRPr="003819D4">
        <w:rPr>
          <w:rFonts w:ascii="Arial" w:hAnsi="Arial" w:cs="Arial"/>
          <w:sz w:val="24"/>
          <w:szCs w:val="24"/>
          <w:lang w:val="en-US"/>
        </w:rPr>
        <w:t>Political and Regulatory Environment</w:t>
      </w:r>
    </w:p>
    <w:p w14:paraId="4BF31930" w14:textId="5F71B0C2" w:rsidR="005C08FE" w:rsidRPr="003819D4" w:rsidRDefault="00AE66E1" w:rsidP="00AE66E1">
      <w:pPr>
        <w:pStyle w:val="ListParagraph"/>
        <w:numPr>
          <w:ilvl w:val="0"/>
          <w:numId w:val="11"/>
        </w:numPr>
        <w:rPr>
          <w:rFonts w:ascii="Arial" w:hAnsi="Arial" w:cs="Arial"/>
          <w:sz w:val="24"/>
          <w:szCs w:val="24"/>
          <w:lang w:val="en-US"/>
        </w:rPr>
      </w:pPr>
      <w:r w:rsidRPr="003819D4">
        <w:rPr>
          <w:rFonts w:ascii="Arial" w:hAnsi="Arial" w:cs="Arial"/>
          <w:sz w:val="24"/>
          <w:szCs w:val="24"/>
          <w:lang w:val="en-US"/>
        </w:rPr>
        <w:t>Customers and Institutional ESG Investors</w:t>
      </w:r>
    </w:p>
    <w:p w14:paraId="5C7B53A0" w14:textId="70874983" w:rsidR="005C08FE" w:rsidRPr="003F46C0" w:rsidRDefault="005C08FE" w:rsidP="005C08FE">
      <w:pPr>
        <w:rPr>
          <w:rFonts w:ascii="Arial" w:hAnsi="Arial" w:cs="Arial"/>
          <w:b/>
          <w:bCs/>
          <w:sz w:val="24"/>
          <w:szCs w:val="24"/>
          <w:lang w:val="en-US"/>
        </w:rPr>
      </w:pPr>
      <w:r w:rsidRPr="003F46C0">
        <w:rPr>
          <w:rFonts w:ascii="Arial" w:hAnsi="Arial" w:cs="Arial"/>
          <w:b/>
          <w:bCs/>
          <w:sz w:val="24"/>
          <w:szCs w:val="24"/>
          <w:lang w:val="en-US"/>
        </w:rPr>
        <w:t xml:space="preserve">2. Factor 1: Natural Environment </w:t>
      </w:r>
    </w:p>
    <w:p w14:paraId="25A2B20B" w14:textId="02441677" w:rsidR="005C08FE" w:rsidRPr="003819D4" w:rsidRDefault="005C08FE" w:rsidP="005C08FE">
      <w:pPr>
        <w:rPr>
          <w:rFonts w:ascii="Arial" w:hAnsi="Arial" w:cs="Arial"/>
          <w:sz w:val="24"/>
          <w:szCs w:val="24"/>
          <w:lang w:val="en-US"/>
        </w:rPr>
      </w:pPr>
      <w:r w:rsidRPr="003819D4">
        <w:rPr>
          <w:rFonts w:ascii="Arial" w:hAnsi="Arial" w:cs="Arial"/>
          <w:sz w:val="24"/>
          <w:szCs w:val="24"/>
          <w:lang w:val="en-US"/>
        </w:rPr>
        <w:t>In the marketing environment model, the 'natural environment' encompasses natural resources and physical conditions that directly impact a company's emissions, production processes, and the demand for its products (Kotler et al., 2024). For BHP, the natural environment represents a significant physical risk on the one hand, while offering new green opportunities on the other.</w:t>
      </w:r>
    </w:p>
    <w:p w14:paraId="3D518BCA" w14:textId="77777777" w:rsidR="005C08FE" w:rsidRPr="004804DF" w:rsidRDefault="005C08FE" w:rsidP="005C08FE">
      <w:pPr>
        <w:rPr>
          <w:rFonts w:ascii="Arial" w:hAnsi="Arial" w:cs="Arial"/>
          <w:b/>
          <w:bCs/>
          <w:sz w:val="24"/>
          <w:szCs w:val="24"/>
          <w:lang w:val="en-US"/>
        </w:rPr>
      </w:pPr>
      <w:r w:rsidRPr="004804DF">
        <w:rPr>
          <w:rFonts w:ascii="Arial" w:hAnsi="Arial" w:cs="Arial"/>
          <w:b/>
          <w:bCs/>
          <w:sz w:val="24"/>
          <w:szCs w:val="24"/>
          <w:lang w:val="en-US"/>
        </w:rPr>
        <w:t>2.1 Physical Environmental Risks and Water Scarcity</w:t>
      </w:r>
    </w:p>
    <w:p w14:paraId="1BA82161" w14:textId="77777777" w:rsidR="00BD20B0" w:rsidRPr="003819D4" w:rsidRDefault="00BD20B0" w:rsidP="00BD20B0">
      <w:pPr>
        <w:pStyle w:val="ListParagraph"/>
        <w:numPr>
          <w:ilvl w:val="0"/>
          <w:numId w:val="12"/>
        </w:numPr>
        <w:rPr>
          <w:rFonts w:ascii="Arial" w:hAnsi="Arial" w:cs="Arial"/>
          <w:sz w:val="24"/>
          <w:szCs w:val="24"/>
          <w:lang w:val="en-US"/>
        </w:rPr>
      </w:pPr>
      <w:r w:rsidRPr="003819D4">
        <w:rPr>
          <w:rFonts w:ascii="Arial" w:hAnsi="Arial" w:cs="Arial"/>
          <w:sz w:val="24"/>
          <w:szCs w:val="24"/>
          <w:lang w:val="en-US"/>
        </w:rPr>
        <w:t>Water Crisis and Desalination Solutions: Mining and processing require vast quantities of water. For BHP, the greatest operational challenge lies at its 'Escondida' mine in Chile's Atacama Desert—the world's largest copper-producing mine (BHP, 2023). Climate change has severely exacerbated water scarcity in this region. To prevent environmental damage and comply with local regulations, BHP has completely ceased the use of groundwater. Instead, the company has had to invest over USD 4 billion (approximately ₹33,000 crore) to construct desalination plants and pipelines (BHP, 2023). This has significantly increased the company's capital expenditure (</w:t>
      </w:r>
      <w:proofErr w:type="spellStart"/>
      <w:r w:rsidRPr="003819D4">
        <w:rPr>
          <w:rFonts w:ascii="Arial" w:hAnsi="Arial" w:cs="Arial"/>
          <w:sz w:val="24"/>
          <w:szCs w:val="24"/>
          <w:lang w:val="en-US"/>
        </w:rPr>
        <w:t>CapEx</w:t>
      </w:r>
      <w:proofErr w:type="spellEnd"/>
      <w:r w:rsidRPr="003819D4">
        <w:rPr>
          <w:rFonts w:ascii="Arial" w:hAnsi="Arial" w:cs="Arial"/>
          <w:sz w:val="24"/>
          <w:szCs w:val="24"/>
          <w:lang w:val="en-US"/>
        </w:rPr>
        <w:t>).</w:t>
      </w:r>
    </w:p>
    <w:p w14:paraId="6343EFEF" w14:textId="7778FA73" w:rsidR="008F00B5" w:rsidRPr="003819D4" w:rsidRDefault="00BD20B0" w:rsidP="00BD20B0">
      <w:pPr>
        <w:pStyle w:val="ListParagraph"/>
        <w:numPr>
          <w:ilvl w:val="0"/>
          <w:numId w:val="12"/>
        </w:numPr>
        <w:rPr>
          <w:rFonts w:ascii="Arial" w:hAnsi="Arial" w:cs="Arial"/>
          <w:sz w:val="24"/>
          <w:szCs w:val="24"/>
          <w:lang w:val="en-US"/>
        </w:rPr>
      </w:pPr>
      <w:r w:rsidRPr="003819D4">
        <w:rPr>
          <w:rFonts w:ascii="Arial" w:hAnsi="Arial" w:cs="Arial"/>
          <w:sz w:val="24"/>
          <w:szCs w:val="24"/>
          <w:lang w:val="en-US"/>
        </w:rPr>
        <w:lastRenderedPageBreak/>
        <w:t>Extreme Weather Disruption: Operations at BHP’s heavy-haul railway network and ports in the Pilbara region of Australia are frequently disrupted by severe cyclones and heavy rainfall (McKinsey &amp; Company, 2022). These physical disruptions create bottlenecks in the supply chain and cause delays in delivering goods to customers.</w:t>
      </w:r>
    </w:p>
    <w:p w14:paraId="798D6F43" w14:textId="77777777" w:rsidR="008F00B5" w:rsidRPr="0010292C" w:rsidRDefault="008F00B5" w:rsidP="008F00B5">
      <w:pPr>
        <w:rPr>
          <w:rFonts w:ascii="Arial" w:hAnsi="Arial" w:cs="Arial"/>
          <w:b/>
          <w:bCs/>
          <w:sz w:val="24"/>
          <w:szCs w:val="24"/>
          <w:lang w:val="en-US"/>
        </w:rPr>
      </w:pPr>
      <w:r w:rsidRPr="0010292C">
        <w:rPr>
          <w:rFonts w:ascii="Arial" w:hAnsi="Arial" w:cs="Arial"/>
          <w:b/>
          <w:bCs/>
          <w:sz w:val="24"/>
          <w:szCs w:val="24"/>
          <w:lang w:val="en-US"/>
        </w:rPr>
        <w:t>2.2 Shift towards "Future-Facing Commodities"</w:t>
      </w:r>
    </w:p>
    <w:p w14:paraId="1A66C97B" w14:textId="77777777" w:rsidR="00EB0F30" w:rsidRPr="003819D4" w:rsidRDefault="00EB0F30" w:rsidP="00EB0F30">
      <w:pPr>
        <w:ind w:left="360"/>
        <w:rPr>
          <w:rFonts w:ascii="Arial" w:hAnsi="Arial" w:cs="Arial"/>
          <w:sz w:val="24"/>
          <w:szCs w:val="24"/>
          <w:lang w:val="en-US"/>
        </w:rPr>
      </w:pPr>
      <w:r w:rsidRPr="003819D4">
        <w:rPr>
          <w:rFonts w:ascii="Arial" w:hAnsi="Arial" w:cs="Arial"/>
          <w:sz w:val="24"/>
          <w:szCs w:val="24"/>
          <w:lang w:val="en-US"/>
        </w:rPr>
        <w:t>Despite physical risks, changes in the natural environment are also bringing new opportunities for BHP. The growing shift towards solar energy, wind turbines, and electric vehicles (EVs) has led to a significant surge in the demand for "green metals" (IEA, 2023).</w:t>
      </w:r>
    </w:p>
    <w:p w14:paraId="2C2797CC" w14:textId="77777777" w:rsidR="00EB0F30" w:rsidRPr="003819D4" w:rsidRDefault="00EB0F30" w:rsidP="00EB0F30">
      <w:pPr>
        <w:ind w:left="360"/>
        <w:rPr>
          <w:rFonts w:ascii="Arial" w:hAnsi="Arial" w:cs="Arial"/>
          <w:sz w:val="24"/>
          <w:szCs w:val="24"/>
          <w:lang w:val="en-US"/>
        </w:rPr>
      </w:pPr>
      <w:r w:rsidRPr="003819D4">
        <w:rPr>
          <w:rFonts w:ascii="Arial" w:hAnsi="Arial" w:cs="Arial"/>
          <w:sz w:val="24"/>
          <w:szCs w:val="24"/>
          <w:lang w:val="en-US"/>
        </w:rPr>
        <w:t>According to data from the International Energy Agency (IEA, 2023), a typical electric vehicle uses three to four times more copper than a conventional petrol or diesel car. Recognizing this structural shift in the natural environment, BHP has restructured its portfolio:</w:t>
      </w:r>
    </w:p>
    <w:p w14:paraId="765918C3" w14:textId="77777777" w:rsidR="00EB0F30" w:rsidRPr="003819D4" w:rsidRDefault="00EB0F30" w:rsidP="00EB0F30">
      <w:pPr>
        <w:pStyle w:val="ListParagraph"/>
        <w:numPr>
          <w:ilvl w:val="0"/>
          <w:numId w:val="13"/>
        </w:numPr>
        <w:rPr>
          <w:rFonts w:ascii="Arial" w:hAnsi="Arial" w:cs="Arial"/>
          <w:sz w:val="24"/>
          <w:szCs w:val="24"/>
          <w:lang w:val="en-US"/>
        </w:rPr>
      </w:pPr>
      <w:r w:rsidRPr="003819D4">
        <w:rPr>
          <w:rFonts w:ascii="Arial" w:hAnsi="Arial" w:cs="Arial"/>
          <w:sz w:val="24"/>
          <w:szCs w:val="24"/>
          <w:lang w:val="en-US"/>
        </w:rPr>
        <w:t>In 2022, BHP sold its oil and gas (fossil fuel) business to Woodside Energy.</w:t>
      </w:r>
    </w:p>
    <w:p w14:paraId="303B2677" w14:textId="57CF0D05" w:rsidR="00C87524" w:rsidRPr="003819D4" w:rsidRDefault="00EB0F30" w:rsidP="00EB0F30">
      <w:pPr>
        <w:pStyle w:val="ListParagraph"/>
        <w:numPr>
          <w:ilvl w:val="0"/>
          <w:numId w:val="13"/>
        </w:numPr>
        <w:rPr>
          <w:rFonts w:ascii="Arial" w:hAnsi="Arial" w:cs="Arial"/>
          <w:sz w:val="24"/>
          <w:szCs w:val="24"/>
          <w:lang w:val="en-US"/>
        </w:rPr>
      </w:pPr>
      <w:r w:rsidRPr="003819D4">
        <w:rPr>
          <w:rFonts w:ascii="Arial" w:hAnsi="Arial" w:cs="Arial"/>
          <w:sz w:val="24"/>
          <w:szCs w:val="24"/>
          <w:lang w:val="en-US"/>
        </w:rPr>
        <w:t xml:space="preserve">The company has redirected a significant portion of its investment towards "future-facing commodities"—increasing copper production in South Australia and </w:t>
      </w:r>
      <w:proofErr w:type="gramStart"/>
      <w:r w:rsidRPr="003819D4">
        <w:rPr>
          <w:rFonts w:ascii="Arial" w:hAnsi="Arial" w:cs="Arial"/>
          <w:sz w:val="24"/>
          <w:szCs w:val="24"/>
          <w:lang w:val="en-US"/>
        </w:rPr>
        <w:t>Chile, and</w:t>
      </w:r>
      <w:proofErr w:type="gramEnd"/>
      <w:r w:rsidRPr="003819D4">
        <w:rPr>
          <w:rFonts w:ascii="Arial" w:hAnsi="Arial" w:cs="Arial"/>
          <w:sz w:val="24"/>
          <w:szCs w:val="24"/>
          <w:lang w:val="en-US"/>
        </w:rPr>
        <w:t xml:space="preserve"> securing agreements with EV manufacturers for nickel supply (BHP, 2024).</w:t>
      </w:r>
    </w:p>
    <w:p w14:paraId="3F580C5E" w14:textId="77777777" w:rsidR="003304DE" w:rsidRPr="003819D4" w:rsidRDefault="003304DE" w:rsidP="003304DE">
      <w:pPr>
        <w:pStyle w:val="ListParagraph"/>
        <w:ind w:left="1080"/>
        <w:rPr>
          <w:rFonts w:ascii="Arial" w:hAnsi="Arial" w:cs="Arial"/>
          <w:sz w:val="24"/>
          <w:szCs w:val="24"/>
          <w:lang w:val="en-US"/>
        </w:rPr>
      </w:pPr>
    </w:p>
    <w:p w14:paraId="4E7C103A" w14:textId="1AC338A8" w:rsidR="00C87524" w:rsidRPr="00706685" w:rsidRDefault="00C87524" w:rsidP="002D6084">
      <w:pPr>
        <w:rPr>
          <w:rFonts w:ascii="Arial" w:hAnsi="Arial" w:cs="Arial"/>
          <w:b/>
          <w:bCs/>
          <w:sz w:val="24"/>
          <w:szCs w:val="24"/>
          <w:lang w:val="en-US"/>
        </w:rPr>
      </w:pPr>
      <w:r w:rsidRPr="00706685">
        <w:rPr>
          <w:rFonts w:ascii="Arial" w:hAnsi="Arial" w:cs="Arial"/>
          <w:b/>
          <w:bCs/>
          <w:sz w:val="24"/>
          <w:szCs w:val="24"/>
          <w:lang w:val="en-US"/>
        </w:rPr>
        <w:t xml:space="preserve">3. Factor 2: </w:t>
      </w:r>
      <w:r w:rsidR="008E6CD0" w:rsidRPr="00706685">
        <w:rPr>
          <w:rFonts w:ascii="Arial" w:hAnsi="Arial" w:cs="Arial"/>
          <w:b/>
          <w:bCs/>
          <w:sz w:val="24"/>
          <w:szCs w:val="24"/>
        </w:rPr>
        <w:t>Political and Legal Environment</w:t>
      </w:r>
    </w:p>
    <w:p w14:paraId="4CC16A4B" w14:textId="088751EC" w:rsidR="00C87524" w:rsidRPr="003819D4" w:rsidRDefault="00C87524" w:rsidP="002D6084">
      <w:pPr>
        <w:rPr>
          <w:rFonts w:ascii="Arial" w:hAnsi="Arial" w:cs="Arial"/>
          <w:sz w:val="24"/>
          <w:szCs w:val="24"/>
          <w:lang w:val="en-US"/>
        </w:rPr>
      </w:pPr>
      <w:r w:rsidRPr="003819D4">
        <w:rPr>
          <w:rFonts w:ascii="Arial" w:hAnsi="Arial" w:cs="Arial"/>
          <w:sz w:val="24"/>
          <w:szCs w:val="24"/>
          <w:lang w:val="en-US"/>
        </w:rPr>
        <w:t>Environmental laws enacted by governments and international organizations constitute another significant factor in BHP's external marketing environment. These laws determine the company's 'license to operate' in the market.</w:t>
      </w:r>
    </w:p>
    <w:p w14:paraId="6D885729" w14:textId="77777777" w:rsidR="00C87524" w:rsidRPr="0010292C" w:rsidRDefault="00C87524" w:rsidP="002D6084">
      <w:pPr>
        <w:rPr>
          <w:rFonts w:ascii="Arial" w:hAnsi="Arial" w:cs="Arial"/>
          <w:b/>
          <w:bCs/>
          <w:sz w:val="24"/>
          <w:szCs w:val="24"/>
          <w:lang w:val="en-US"/>
        </w:rPr>
      </w:pPr>
      <w:r w:rsidRPr="0010292C">
        <w:rPr>
          <w:rFonts w:ascii="Arial" w:hAnsi="Arial" w:cs="Arial"/>
          <w:b/>
          <w:bCs/>
          <w:sz w:val="24"/>
          <w:szCs w:val="24"/>
          <w:lang w:val="en-US"/>
        </w:rPr>
        <w:t>3.1 Carbon Tariffs and the European Union's CBAM Law</w:t>
      </w:r>
    </w:p>
    <w:p w14:paraId="2284B4C9" w14:textId="4DF82107" w:rsidR="00C87524" w:rsidRPr="003819D4" w:rsidRDefault="00C87524" w:rsidP="002D6084">
      <w:pPr>
        <w:pStyle w:val="ListParagraph"/>
        <w:numPr>
          <w:ilvl w:val="0"/>
          <w:numId w:val="7"/>
        </w:numPr>
        <w:rPr>
          <w:rFonts w:ascii="Arial" w:hAnsi="Arial" w:cs="Arial"/>
          <w:sz w:val="24"/>
          <w:szCs w:val="24"/>
          <w:lang w:val="en-US"/>
        </w:rPr>
      </w:pPr>
      <w:r w:rsidRPr="003819D4">
        <w:rPr>
          <w:rFonts w:ascii="Arial" w:hAnsi="Arial" w:cs="Arial"/>
          <w:sz w:val="24"/>
          <w:szCs w:val="24"/>
          <w:lang w:val="en-US"/>
        </w:rPr>
        <w:t>CBAM (Carbon Border Adjustment Mechanism): The European Union (EU) has begun imposing a carbon tax (CBAM) on high-carbon-emission products (such as steel and aluminum) imported from abroad</w:t>
      </w:r>
      <w:r w:rsidR="0017336E">
        <w:rPr>
          <w:rFonts w:ascii="Arial" w:hAnsi="Arial" w:cs="Arial"/>
          <w:sz w:val="24"/>
          <w:szCs w:val="24"/>
          <w:lang w:val="en-US"/>
        </w:rPr>
        <w:t xml:space="preserve"> </w:t>
      </w:r>
      <w:r w:rsidR="0017336E" w:rsidRPr="0017336E">
        <w:rPr>
          <w:rFonts w:ascii="Arial" w:hAnsi="Arial" w:cs="Arial"/>
          <w:sz w:val="24"/>
          <w:szCs w:val="24"/>
        </w:rPr>
        <w:t>(European Commission, 2023)</w:t>
      </w:r>
      <w:r w:rsidRPr="003819D4">
        <w:rPr>
          <w:rFonts w:ascii="Arial" w:hAnsi="Arial" w:cs="Arial"/>
          <w:sz w:val="24"/>
          <w:szCs w:val="24"/>
          <w:lang w:val="en-US"/>
        </w:rPr>
        <w:t>.</w:t>
      </w:r>
    </w:p>
    <w:p w14:paraId="36006003" w14:textId="22C40C1F" w:rsidR="00C87524" w:rsidRPr="003819D4" w:rsidRDefault="00C87524" w:rsidP="002D6084">
      <w:pPr>
        <w:pStyle w:val="ListParagraph"/>
        <w:numPr>
          <w:ilvl w:val="0"/>
          <w:numId w:val="7"/>
        </w:numPr>
        <w:rPr>
          <w:rFonts w:ascii="Arial" w:hAnsi="Arial" w:cs="Arial"/>
          <w:sz w:val="24"/>
          <w:szCs w:val="24"/>
          <w:lang w:val="en-US"/>
        </w:rPr>
      </w:pPr>
      <w:r w:rsidRPr="003819D4">
        <w:rPr>
          <w:rFonts w:ascii="Arial" w:hAnsi="Arial" w:cs="Arial"/>
          <w:sz w:val="24"/>
          <w:szCs w:val="24"/>
          <w:lang w:val="en-US"/>
        </w:rPr>
        <w:t>BHP does not manufacture steel directly; however, it supplies iron ore and coal to major global steel producers (such as steel mills in China, Japan, and South Korea)</w:t>
      </w:r>
      <w:r w:rsidR="00E825D3" w:rsidRPr="00E825D3">
        <w:t xml:space="preserve"> </w:t>
      </w:r>
      <w:r w:rsidR="00E825D3" w:rsidRPr="00E825D3">
        <w:rPr>
          <w:rFonts w:ascii="Arial" w:hAnsi="Arial" w:cs="Arial"/>
          <w:sz w:val="24"/>
          <w:szCs w:val="24"/>
        </w:rPr>
        <w:t>(BHP, 2024)</w:t>
      </w:r>
      <w:r w:rsidRPr="003819D4">
        <w:rPr>
          <w:rFonts w:ascii="Arial" w:hAnsi="Arial" w:cs="Arial"/>
          <w:sz w:val="24"/>
          <w:szCs w:val="24"/>
          <w:lang w:val="en-US"/>
        </w:rPr>
        <w:t>.</w:t>
      </w:r>
    </w:p>
    <w:p w14:paraId="6654D138" w14:textId="60BE9836" w:rsidR="00C87524" w:rsidRPr="003819D4" w:rsidRDefault="00C87524" w:rsidP="002D6084">
      <w:pPr>
        <w:pStyle w:val="ListParagraph"/>
        <w:numPr>
          <w:ilvl w:val="0"/>
          <w:numId w:val="7"/>
        </w:numPr>
        <w:rPr>
          <w:rFonts w:ascii="Arial" w:hAnsi="Arial" w:cs="Arial"/>
          <w:sz w:val="24"/>
          <w:szCs w:val="24"/>
          <w:lang w:val="en-US"/>
        </w:rPr>
      </w:pPr>
      <w:r w:rsidRPr="003819D4">
        <w:rPr>
          <w:rFonts w:ascii="Arial" w:hAnsi="Arial" w:cs="Arial"/>
          <w:sz w:val="24"/>
          <w:szCs w:val="24"/>
          <w:lang w:val="en-US"/>
        </w:rPr>
        <w:t>If steel mills generate high carbon emissions while using BHP's raw materials, they will be required to pay heavy taxes in the EU. Consequently, BHP's customers are now demanding "high-grade iron ore" from the company—material that results in lower pollution during the steel-making process</w:t>
      </w:r>
      <w:r w:rsidR="00E825D3">
        <w:rPr>
          <w:rFonts w:ascii="Arial" w:hAnsi="Arial" w:cs="Arial"/>
          <w:sz w:val="24"/>
          <w:szCs w:val="24"/>
          <w:lang w:val="en-US"/>
        </w:rPr>
        <w:t xml:space="preserve"> </w:t>
      </w:r>
      <w:r w:rsidR="00E825D3" w:rsidRPr="00E825D3">
        <w:rPr>
          <w:rFonts w:ascii="Arial" w:hAnsi="Arial" w:cs="Arial"/>
          <w:sz w:val="24"/>
          <w:szCs w:val="24"/>
        </w:rPr>
        <w:t>(BHP, 2023; World Steel Association, 2023).</w:t>
      </w:r>
    </w:p>
    <w:p w14:paraId="0F45B020" w14:textId="77777777" w:rsidR="002D6084" w:rsidRPr="0010292C" w:rsidRDefault="002D6084" w:rsidP="002D6084">
      <w:pPr>
        <w:rPr>
          <w:rFonts w:ascii="Arial" w:hAnsi="Arial" w:cs="Arial"/>
          <w:b/>
          <w:bCs/>
          <w:sz w:val="24"/>
          <w:szCs w:val="24"/>
          <w:lang w:val="en-US"/>
        </w:rPr>
      </w:pPr>
      <w:r w:rsidRPr="0010292C">
        <w:rPr>
          <w:rFonts w:ascii="Arial" w:hAnsi="Arial" w:cs="Arial"/>
          <w:b/>
          <w:bCs/>
          <w:sz w:val="24"/>
          <w:szCs w:val="24"/>
          <w:lang w:val="en-US"/>
        </w:rPr>
        <w:t>3.2 Australia's Safeguard Mechanism</w:t>
      </w:r>
    </w:p>
    <w:p w14:paraId="7F8278FD" w14:textId="77777777" w:rsidR="002D6084" w:rsidRPr="003819D4" w:rsidRDefault="002D6084" w:rsidP="002D6084">
      <w:pPr>
        <w:pStyle w:val="ListParagraph"/>
        <w:numPr>
          <w:ilvl w:val="0"/>
          <w:numId w:val="6"/>
        </w:numPr>
        <w:rPr>
          <w:rFonts w:ascii="Arial" w:hAnsi="Arial" w:cs="Arial"/>
          <w:sz w:val="24"/>
          <w:szCs w:val="24"/>
          <w:lang w:val="en-US"/>
        </w:rPr>
      </w:pPr>
      <w:r w:rsidRPr="003819D4">
        <w:rPr>
          <w:rFonts w:ascii="Arial" w:hAnsi="Arial" w:cs="Arial"/>
          <w:sz w:val="24"/>
          <w:szCs w:val="24"/>
          <w:lang w:val="en-US"/>
        </w:rPr>
        <w:lastRenderedPageBreak/>
        <w:t>BHP is headquartered in Australia. Under the Australian government's new 'Safeguard Mechanism' legislation, every major industrial plant is required to progressively reduce its carbon emissions by 4.9% annually.</w:t>
      </w:r>
    </w:p>
    <w:p w14:paraId="1D1EE921" w14:textId="01F89402" w:rsidR="002D6084" w:rsidRPr="003819D4" w:rsidRDefault="002D6084" w:rsidP="002D6084">
      <w:pPr>
        <w:pStyle w:val="ListParagraph"/>
        <w:numPr>
          <w:ilvl w:val="0"/>
          <w:numId w:val="6"/>
        </w:numPr>
        <w:rPr>
          <w:rFonts w:ascii="Arial" w:hAnsi="Arial" w:cs="Arial"/>
          <w:sz w:val="24"/>
          <w:szCs w:val="24"/>
          <w:lang w:val="en-US"/>
        </w:rPr>
      </w:pPr>
      <w:r w:rsidRPr="003819D4">
        <w:rPr>
          <w:rFonts w:ascii="Arial" w:hAnsi="Arial" w:cs="Arial"/>
          <w:sz w:val="24"/>
          <w:szCs w:val="24"/>
          <w:lang w:val="en-US"/>
        </w:rPr>
        <w:t>If BHP fails to comply with this rule, it could face heavy financial penalties. Due to this regulatory pressure, BHP has been compelled to replace the diesel trucks operating in its mines with electric trucks and to utilize solar power.</w:t>
      </w:r>
    </w:p>
    <w:p w14:paraId="680F132E" w14:textId="77777777" w:rsidR="002D6084" w:rsidRPr="003819D4" w:rsidRDefault="002D6084" w:rsidP="002D6084">
      <w:pPr>
        <w:pStyle w:val="ListParagraph"/>
        <w:rPr>
          <w:rFonts w:ascii="Arial" w:hAnsi="Arial" w:cs="Arial"/>
          <w:sz w:val="24"/>
          <w:szCs w:val="24"/>
          <w:lang w:val="en-US"/>
        </w:rPr>
      </w:pPr>
    </w:p>
    <w:p w14:paraId="4BF0A9E4" w14:textId="77777777" w:rsidR="00B9279B" w:rsidRPr="0010292C" w:rsidRDefault="006F1713" w:rsidP="002D6084">
      <w:pPr>
        <w:rPr>
          <w:rFonts w:ascii="Arial" w:hAnsi="Arial" w:cs="Arial"/>
          <w:b/>
          <w:bCs/>
          <w:sz w:val="24"/>
          <w:szCs w:val="24"/>
          <w:lang w:val="en-US"/>
        </w:rPr>
      </w:pPr>
      <w:r w:rsidRPr="0010292C">
        <w:rPr>
          <w:rFonts w:ascii="Arial" w:hAnsi="Arial" w:cs="Arial"/>
          <w:b/>
          <w:bCs/>
          <w:sz w:val="24"/>
          <w:szCs w:val="24"/>
          <w:lang w:val="en-US"/>
        </w:rPr>
        <w:t>4. Factor 3: Social Environment (Customer Demand and ESG Investors)</w:t>
      </w:r>
    </w:p>
    <w:p w14:paraId="1E2BA85C" w14:textId="2D1CFBB2" w:rsidR="002D6084" w:rsidRPr="003819D4" w:rsidRDefault="002D6084" w:rsidP="002D6084">
      <w:pPr>
        <w:rPr>
          <w:rFonts w:ascii="Arial" w:hAnsi="Arial" w:cs="Arial"/>
          <w:sz w:val="24"/>
          <w:szCs w:val="24"/>
          <w:lang w:val="en-US"/>
        </w:rPr>
      </w:pPr>
      <w:r w:rsidRPr="003819D4">
        <w:rPr>
          <w:rFonts w:ascii="Arial" w:hAnsi="Arial" w:cs="Arial"/>
          <w:sz w:val="24"/>
          <w:szCs w:val="24"/>
          <w:lang w:val="en-US"/>
        </w:rPr>
        <w:t>The third factor of the marketing environment concerns customer purchasing power and investor sentiment. In the mining sector, customer preferences are shifting from being based solely on price to being driven by environmental quality.</w:t>
      </w:r>
    </w:p>
    <w:p w14:paraId="26AA700A" w14:textId="77777777" w:rsidR="002D6084" w:rsidRPr="0010292C" w:rsidRDefault="002D6084" w:rsidP="002D6084">
      <w:pPr>
        <w:rPr>
          <w:rFonts w:ascii="Arial" w:hAnsi="Arial" w:cs="Arial"/>
          <w:b/>
          <w:bCs/>
          <w:sz w:val="24"/>
          <w:szCs w:val="24"/>
          <w:lang w:val="en-US"/>
        </w:rPr>
      </w:pPr>
      <w:r w:rsidRPr="0010292C">
        <w:rPr>
          <w:rFonts w:ascii="Arial" w:hAnsi="Arial" w:cs="Arial"/>
          <w:b/>
          <w:bCs/>
          <w:sz w:val="24"/>
          <w:szCs w:val="24"/>
          <w:lang w:val="en-US"/>
        </w:rPr>
        <w:t>4.1 Demand for "Green Metals" from Customers</w:t>
      </w:r>
    </w:p>
    <w:p w14:paraId="7398E44E" w14:textId="77777777" w:rsidR="002D6084" w:rsidRPr="003819D4" w:rsidRDefault="002D6084" w:rsidP="002D6084">
      <w:pPr>
        <w:pStyle w:val="ListParagraph"/>
        <w:numPr>
          <w:ilvl w:val="0"/>
          <w:numId w:val="8"/>
        </w:numPr>
        <w:rPr>
          <w:rFonts w:ascii="Arial" w:hAnsi="Arial" w:cs="Arial"/>
          <w:sz w:val="24"/>
          <w:szCs w:val="24"/>
          <w:lang w:val="en-US"/>
        </w:rPr>
      </w:pPr>
      <w:r w:rsidRPr="003819D4">
        <w:rPr>
          <w:rFonts w:ascii="Arial" w:hAnsi="Arial" w:cs="Arial"/>
          <w:sz w:val="24"/>
          <w:szCs w:val="24"/>
          <w:lang w:val="en-US"/>
        </w:rPr>
        <w:t>Automobile manufacturers (such as Tesla, BMW, and Volvo) and building construction companies aim to reduce emissions within their own supply chains (Scope 3).</w:t>
      </w:r>
    </w:p>
    <w:p w14:paraId="3E764E22" w14:textId="255FCD6A" w:rsidR="002D6084" w:rsidRPr="003819D4" w:rsidRDefault="002D6084" w:rsidP="002D6084">
      <w:pPr>
        <w:pStyle w:val="ListParagraph"/>
        <w:numPr>
          <w:ilvl w:val="0"/>
          <w:numId w:val="8"/>
        </w:numPr>
        <w:rPr>
          <w:rFonts w:ascii="Arial" w:hAnsi="Arial" w:cs="Arial"/>
          <w:sz w:val="24"/>
          <w:szCs w:val="24"/>
          <w:lang w:val="en-US"/>
        </w:rPr>
      </w:pPr>
      <w:r w:rsidRPr="003819D4">
        <w:rPr>
          <w:rFonts w:ascii="Arial" w:hAnsi="Arial" w:cs="Arial"/>
          <w:sz w:val="24"/>
          <w:szCs w:val="24"/>
          <w:lang w:val="en-US"/>
        </w:rPr>
        <w:t>These customers are now demanding "Certified Low-Carbon Copper" and green nickel from suppliers like BHP.</w:t>
      </w:r>
    </w:p>
    <w:p w14:paraId="6E60D35A" w14:textId="5BA0463E" w:rsidR="002D6084" w:rsidRPr="003819D4" w:rsidRDefault="002D6084" w:rsidP="002D6084">
      <w:pPr>
        <w:pStyle w:val="ListParagraph"/>
        <w:numPr>
          <w:ilvl w:val="0"/>
          <w:numId w:val="8"/>
        </w:numPr>
        <w:rPr>
          <w:rFonts w:ascii="Arial" w:hAnsi="Arial" w:cs="Arial"/>
          <w:sz w:val="24"/>
          <w:szCs w:val="24"/>
          <w:lang w:val="en-US"/>
        </w:rPr>
      </w:pPr>
      <w:r w:rsidRPr="003819D4">
        <w:rPr>
          <w:rFonts w:ascii="Arial" w:hAnsi="Arial" w:cs="Arial"/>
          <w:sz w:val="24"/>
          <w:szCs w:val="24"/>
          <w:lang w:val="en-US"/>
        </w:rPr>
        <w:t>Premium Pricing: Customers are willing to pay a higher price (a "Green Premium") to mining companies that produce metals without harming the environment. This presents a significant opportunity for BHP to gain a competitive advantage in the market.</w:t>
      </w:r>
    </w:p>
    <w:p w14:paraId="35643E51" w14:textId="77777777" w:rsidR="00014219" w:rsidRPr="0010292C" w:rsidRDefault="00014219" w:rsidP="001E00BC">
      <w:pPr>
        <w:rPr>
          <w:rFonts w:ascii="Arial" w:hAnsi="Arial" w:cs="Arial"/>
          <w:b/>
          <w:bCs/>
          <w:sz w:val="24"/>
          <w:szCs w:val="24"/>
          <w:lang w:val="en-US"/>
        </w:rPr>
      </w:pPr>
      <w:r w:rsidRPr="0010292C">
        <w:rPr>
          <w:rFonts w:ascii="Arial" w:hAnsi="Arial" w:cs="Arial"/>
          <w:b/>
          <w:bCs/>
          <w:sz w:val="24"/>
          <w:szCs w:val="24"/>
          <w:lang w:val="en-US"/>
        </w:rPr>
        <w:t>4.2 Pressure from ESG Investors</w:t>
      </w:r>
    </w:p>
    <w:p w14:paraId="61B77E65" w14:textId="77777777" w:rsidR="00014219" w:rsidRPr="003819D4" w:rsidRDefault="00014219" w:rsidP="001E00BC">
      <w:pPr>
        <w:pStyle w:val="ListParagraph"/>
        <w:numPr>
          <w:ilvl w:val="0"/>
          <w:numId w:val="10"/>
        </w:numPr>
        <w:rPr>
          <w:rFonts w:ascii="Arial" w:hAnsi="Arial" w:cs="Arial"/>
          <w:sz w:val="24"/>
          <w:szCs w:val="24"/>
          <w:lang w:val="en-US"/>
        </w:rPr>
      </w:pPr>
      <w:r w:rsidRPr="003819D4">
        <w:rPr>
          <w:rFonts w:ascii="Arial" w:hAnsi="Arial" w:cs="Arial"/>
          <w:sz w:val="24"/>
          <w:szCs w:val="24"/>
          <w:lang w:val="en-US"/>
        </w:rPr>
        <w:t>Major global investment funds (such as BlackRock and Vanguard) now strictly adhere to "ESG" (Environmental, Social, and Governance) policies.</w:t>
      </w:r>
    </w:p>
    <w:p w14:paraId="6CC588B9" w14:textId="4EAEEE5F" w:rsidR="00014219" w:rsidRPr="003819D4" w:rsidRDefault="00014219" w:rsidP="001E00BC">
      <w:pPr>
        <w:pStyle w:val="ListParagraph"/>
        <w:numPr>
          <w:ilvl w:val="0"/>
          <w:numId w:val="10"/>
        </w:numPr>
        <w:rPr>
          <w:rFonts w:ascii="Arial" w:hAnsi="Arial" w:cs="Arial"/>
          <w:sz w:val="24"/>
          <w:szCs w:val="24"/>
          <w:lang w:val="en-US"/>
        </w:rPr>
      </w:pPr>
      <w:r w:rsidRPr="003819D4">
        <w:rPr>
          <w:rFonts w:ascii="Arial" w:hAnsi="Arial" w:cs="Arial"/>
          <w:sz w:val="24"/>
          <w:szCs w:val="24"/>
          <w:lang w:val="en-US"/>
        </w:rPr>
        <w:t>If BHP fails to demonstrate a reduction in its carbon emissions, these investors sell their shares and exit their positions in the company. Implementing environmental improvements has become essential for BHP to secure capital easily and at a low cost.</w:t>
      </w:r>
    </w:p>
    <w:p w14:paraId="468FABFA" w14:textId="77777777" w:rsidR="001E00BC" w:rsidRPr="0010292C" w:rsidRDefault="001E00BC" w:rsidP="001E00BC">
      <w:pPr>
        <w:rPr>
          <w:rFonts w:ascii="Arial" w:hAnsi="Arial" w:cs="Arial"/>
          <w:b/>
          <w:bCs/>
          <w:sz w:val="24"/>
          <w:szCs w:val="24"/>
          <w:lang w:val="en-US"/>
        </w:rPr>
      </w:pPr>
      <w:r w:rsidRPr="0010292C">
        <w:rPr>
          <w:rFonts w:ascii="Arial" w:hAnsi="Arial" w:cs="Arial"/>
          <w:b/>
          <w:bCs/>
          <w:sz w:val="24"/>
          <w:szCs w:val="24"/>
          <w:lang w:val="en-US"/>
        </w:rPr>
        <w:t>5. Synthesis of Opportunities and Challenges</w:t>
      </w:r>
    </w:p>
    <w:p w14:paraId="47BF0C17" w14:textId="10C580BF" w:rsidR="001E00BC" w:rsidRPr="003819D4" w:rsidRDefault="001E00BC" w:rsidP="001E00BC">
      <w:pPr>
        <w:rPr>
          <w:rFonts w:ascii="Arial" w:hAnsi="Arial" w:cs="Arial"/>
          <w:sz w:val="24"/>
          <w:szCs w:val="24"/>
          <w:lang w:val="en-US"/>
        </w:rPr>
      </w:pPr>
      <w:r w:rsidRPr="003819D4">
        <w:rPr>
          <w:rFonts w:ascii="Arial" w:hAnsi="Arial" w:cs="Arial"/>
          <w:sz w:val="24"/>
          <w:szCs w:val="24"/>
          <w:lang w:val="en-US"/>
        </w:rPr>
        <w:t>The analysis of the three external factors indicates that the following key opportunities and challenges exist in BHP's low-carbon transition:</w:t>
      </w:r>
    </w:p>
    <w:p w14:paraId="762A7513" w14:textId="55C58D6A" w:rsidR="00CB7AFA" w:rsidRPr="00CB7AFA" w:rsidRDefault="00C82AD4" w:rsidP="00CB7AFA">
      <w:pPr>
        <w:rPr>
          <w:rFonts w:ascii="Arial" w:hAnsi="Arial" w:cs="Arial"/>
          <w:sz w:val="24"/>
          <w:szCs w:val="24"/>
          <w:lang w:val="en-US"/>
        </w:rPr>
      </w:pPr>
      <w:r>
        <w:rPr>
          <w:rFonts w:ascii="Arial" w:hAnsi="Arial" w:cs="Arial"/>
          <w:noProof/>
          <w:sz w:val="24"/>
          <w:szCs w:val="24"/>
          <w:lang w:val="en-US"/>
        </w:rPr>
        <w:lastRenderedPageBreak/>
        <w:drawing>
          <wp:inline distT="0" distB="0" distL="0" distR="0" wp14:anchorId="1B8821FA" wp14:editId="6CEE50FC">
            <wp:extent cx="5731510" cy="3820795"/>
            <wp:effectExtent l="0" t="0" r="2540" b="8255"/>
            <wp:docPr id="82224374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2243749" name="Picture 822243749"/>
                    <pic:cNvPicPr/>
                  </pic:nvPicPr>
                  <pic:blipFill>
                    <a:blip r:embed="rId6" cstate="print">
                      <a:extLst>
                        <a:ext uri="{28A0092B-C50C-407E-A947-70E740481C1C}">
                          <a14:useLocalDpi xmlns:a14="http://schemas.microsoft.com/office/drawing/2010/main" val="0"/>
                        </a:ext>
                      </a:extLst>
                    </a:blip>
                    <a:stretch>
                      <a:fillRect/>
                    </a:stretch>
                  </pic:blipFill>
                  <pic:spPr>
                    <a:xfrm>
                      <a:off x="0" y="0"/>
                      <a:ext cx="5731510" cy="3820795"/>
                    </a:xfrm>
                    <a:prstGeom prst="rect">
                      <a:avLst/>
                    </a:prstGeom>
                  </pic:spPr>
                </pic:pic>
              </a:graphicData>
            </a:graphic>
          </wp:inline>
        </w:drawing>
      </w:r>
      <w:r w:rsidR="00CB7AFA" w:rsidRPr="00CB7AFA">
        <w:rPr>
          <w:rFonts w:ascii="Arial" w:hAnsi="Arial" w:cs="Arial"/>
          <w:sz w:val="24"/>
          <w:szCs w:val="24"/>
        </w:rPr>
        <w:br/>
        <w:t>Figure 1: External Macro-Marketing Environment Factors (Self-made / Adapted from Kotler et al., 2024; image generated by ChatGPT)</w:t>
      </w:r>
    </w:p>
    <w:p w14:paraId="55DA4845" w14:textId="77777777" w:rsidR="00CB7AFA" w:rsidRPr="00CB7AFA" w:rsidRDefault="00CB7AFA" w:rsidP="00CB7AFA">
      <w:pPr>
        <w:rPr>
          <w:rFonts w:ascii="Arial" w:hAnsi="Arial" w:cs="Arial"/>
          <w:sz w:val="24"/>
          <w:szCs w:val="24"/>
        </w:rPr>
      </w:pPr>
    </w:p>
    <w:p w14:paraId="45FC7A5D" w14:textId="77777777" w:rsidR="001E00BC" w:rsidRPr="003819D4" w:rsidRDefault="001E00BC" w:rsidP="001E00BC">
      <w:pPr>
        <w:rPr>
          <w:rFonts w:ascii="Arial" w:hAnsi="Arial" w:cs="Arial"/>
          <w:b/>
          <w:bCs/>
          <w:sz w:val="24"/>
          <w:szCs w:val="24"/>
          <w:lang w:val="en-US"/>
        </w:rPr>
      </w:pPr>
      <w:r w:rsidRPr="003819D4">
        <w:rPr>
          <w:rFonts w:ascii="Arial" w:hAnsi="Arial" w:cs="Arial"/>
          <w:b/>
          <w:bCs/>
          <w:sz w:val="24"/>
          <w:szCs w:val="24"/>
          <w:lang w:val="en-US"/>
        </w:rPr>
        <w:t>Key Opportunities:</w:t>
      </w:r>
    </w:p>
    <w:p w14:paraId="01EF0BE5" w14:textId="2AFE6720" w:rsidR="001E00BC" w:rsidRPr="00845810" w:rsidRDefault="001E00BC" w:rsidP="001E00BC">
      <w:pPr>
        <w:rPr>
          <w:rFonts w:ascii="Arial" w:hAnsi="Arial" w:cs="Arial"/>
          <w:sz w:val="24"/>
          <w:szCs w:val="24"/>
          <w:lang w:val="en-US"/>
        </w:rPr>
      </w:pPr>
      <w:r w:rsidRPr="00845810">
        <w:rPr>
          <w:rFonts w:ascii="Arial" w:hAnsi="Arial" w:cs="Arial"/>
          <w:sz w:val="24"/>
          <w:szCs w:val="24"/>
          <w:lang w:val="en-US"/>
        </w:rPr>
        <w:t>Product Differentiation: By selling certified 'Green Copper,' BHP can establish a distinct identity in the market compared to other competitors</w:t>
      </w:r>
      <w:r w:rsidR="002215D2" w:rsidRPr="00845810">
        <w:rPr>
          <w:rFonts w:ascii="Arial" w:hAnsi="Arial" w:cs="Arial"/>
          <w:sz w:val="24"/>
          <w:szCs w:val="24"/>
          <w:lang w:val="en-US"/>
        </w:rPr>
        <w:t xml:space="preserve"> </w:t>
      </w:r>
      <w:r w:rsidR="002215D2" w:rsidRPr="00845810">
        <w:rPr>
          <w:rFonts w:ascii="Arial" w:hAnsi="Arial" w:cs="Arial"/>
          <w:sz w:val="24"/>
          <w:szCs w:val="24"/>
        </w:rPr>
        <w:t>(BHP, 2023, 2024).</w:t>
      </w:r>
    </w:p>
    <w:p w14:paraId="5909A5D1" w14:textId="5FC18A05" w:rsidR="001E00BC" w:rsidRPr="00845810" w:rsidRDefault="001E00BC" w:rsidP="001E00BC">
      <w:pPr>
        <w:rPr>
          <w:rFonts w:ascii="Arial" w:hAnsi="Arial" w:cs="Arial"/>
          <w:sz w:val="24"/>
          <w:szCs w:val="24"/>
          <w:lang w:val="en-US"/>
        </w:rPr>
      </w:pPr>
      <w:r w:rsidRPr="00845810">
        <w:rPr>
          <w:rFonts w:ascii="Arial" w:hAnsi="Arial" w:cs="Arial"/>
          <w:sz w:val="24"/>
          <w:szCs w:val="24"/>
          <w:lang w:val="en-US"/>
        </w:rPr>
        <w:t>Growth Potential: Capturing the future market by moving away from older, polluting resources and selling metals essential for renewable energy</w:t>
      </w:r>
      <w:r w:rsidR="00845810" w:rsidRPr="00845810">
        <w:rPr>
          <w:rFonts w:ascii="Arial" w:hAnsi="Arial" w:cs="Arial"/>
          <w:sz w:val="24"/>
          <w:szCs w:val="24"/>
          <w:lang w:val="en-US"/>
        </w:rPr>
        <w:t xml:space="preserve"> </w:t>
      </w:r>
      <w:r w:rsidR="00845810" w:rsidRPr="00845810">
        <w:rPr>
          <w:rFonts w:ascii="Arial" w:hAnsi="Arial" w:cs="Arial"/>
          <w:sz w:val="24"/>
          <w:szCs w:val="24"/>
        </w:rPr>
        <w:t>(IEA, 2023; World Bank, 2023).</w:t>
      </w:r>
    </w:p>
    <w:p w14:paraId="34B29243" w14:textId="77777777" w:rsidR="001E00BC" w:rsidRPr="003819D4" w:rsidRDefault="001E00BC" w:rsidP="001E00BC">
      <w:pPr>
        <w:rPr>
          <w:rFonts w:ascii="Arial" w:hAnsi="Arial" w:cs="Arial"/>
          <w:b/>
          <w:bCs/>
          <w:sz w:val="24"/>
          <w:szCs w:val="24"/>
          <w:lang w:val="en-US"/>
        </w:rPr>
      </w:pPr>
      <w:r w:rsidRPr="003819D4">
        <w:rPr>
          <w:rFonts w:ascii="Arial" w:hAnsi="Arial" w:cs="Arial"/>
          <w:b/>
          <w:bCs/>
          <w:sz w:val="24"/>
          <w:szCs w:val="24"/>
          <w:lang w:val="en-US"/>
        </w:rPr>
        <w:t>Key Challenges:</w:t>
      </w:r>
    </w:p>
    <w:p w14:paraId="41A1E736" w14:textId="6FF5190E" w:rsidR="001E00BC" w:rsidRPr="00845810" w:rsidRDefault="001E00BC" w:rsidP="001E00BC">
      <w:pPr>
        <w:rPr>
          <w:rFonts w:ascii="Arial" w:hAnsi="Arial" w:cs="Arial"/>
          <w:sz w:val="24"/>
          <w:szCs w:val="24"/>
          <w:lang w:val="en-US"/>
        </w:rPr>
      </w:pPr>
      <w:r w:rsidRPr="00845810">
        <w:rPr>
          <w:rFonts w:ascii="Arial" w:hAnsi="Arial" w:cs="Arial"/>
          <w:sz w:val="24"/>
          <w:szCs w:val="24"/>
          <w:lang w:val="en-US"/>
        </w:rPr>
        <w:t>High Capital Expenditure (</w:t>
      </w:r>
      <w:proofErr w:type="spellStart"/>
      <w:r w:rsidRPr="00845810">
        <w:rPr>
          <w:rFonts w:ascii="Arial" w:hAnsi="Arial" w:cs="Arial"/>
          <w:sz w:val="24"/>
          <w:szCs w:val="24"/>
          <w:lang w:val="en-US"/>
        </w:rPr>
        <w:t>CapEx</w:t>
      </w:r>
      <w:proofErr w:type="spellEnd"/>
      <w:r w:rsidRPr="00845810">
        <w:rPr>
          <w:rFonts w:ascii="Arial" w:hAnsi="Arial" w:cs="Arial"/>
          <w:sz w:val="24"/>
          <w:szCs w:val="24"/>
          <w:lang w:val="en-US"/>
        </w:rPr>
        <w:t>): Investments worth hundreds of millions of dollars are required to electrify mines and introduce renewable energy</w:t>
      </w:r>
      <w:r w:rsidR="00845810" w:rsidRPr="00845810">
        <w:rPr>
          <w:rFonts w:ascii="Arial" w:hAnsi="Arial" w:cs="Arial"/>
          <w:sz w:val="24"/>
          <w:szCs w:val="24"/>
          <w:lang w:val="en-US"/>
        </w:rPr>
        <w:t xml:space="preserve"> </w:t>
      </w:r>
      <w:r w:rsidR="00845810" w:rsidRPr="00845810">
        <w:rPr>
          <w:rFonts w:ascii="Arial" w:hAnsi="Arial" w:cs="Arial"/>
          <w:sz w:val="24"/>
          <w:szCs w:val="24"/>
        </w:rPr>
        <w:t>(McKinsey &amp; Company, 2022; BHP, 2024).</w:t>
      </w:r>
    </w:p>
    <w:p w14:paraId="40290922" w14:textId="225AAED0" w:rsidR="001E00BC" w:rsidRPr="00845810" w:rsidRDefault="001E00BC" w:rsidP="001E00BC">
      <w:pPr>
        <w:rPr>
          <w:rFonts w:ascii="Arial" w:hAnsi="Arial" w:cs="Arial"/>
          <w:sz w:val="24"/>
          <w:szCs w:val="24"/>
          <w:lang w:val="en-US"/>
        </w:rPr>
      </w:pPr>
      <w:r w:rsidRPr="00845810">
        <w:rPr>
          <w:rFonts w:ascii="Arial" w:hAnsi="Arial" w:cs="Arial"/>
          <w:sz w:val="24"/>
          <w:szCs w:val="24"/>
          <w:lang w:val="en-US"/>
        </w:rPr>
        <w:t>Limited control over Scope 3 emissions: While BHP can reduce emissions from its own mining operations (Scope 1 &amp; 2), controlling the emissions generated by its buyers (such as steel mills)—classified as Scope 3—is extremely difficult</w:t>
      </w:r>
      <w:r w:rsidR="00845810" w:rsidRPr="00845810">
        <w:rPr>
          <w:rFonts w:ascii="Arial" w:hAnsi="Arial" w:cs="Arial"/>
          <w:sz w:val="24"/>
          <w:szCs w:val="24"/>
          <w:lang w:val="en-US"/>
        </w:rPr>
        <w:t xml:space="preserve"> </w:t>
      </w:r>
      <w:r w:rsidR="00845810" w:rsidRPr="00845810">
        <w:rPr>
          <w:rFonts w:ascii="Arial" w:hAnsi="Arial" w:cs="Arial"/>
          <w:sz w:val="24"/>
          <w:szCs w:val="24"/>
        </w:rPr>
        <w:t>(BHP, 2023; World Steel Association, 2023).</w:t>
      </w:r>
    </w:p>
    <w:p w14:paraId="4D1738E0" w14:textId="50F6F735" w:rsidR="00D255FC" w:rsidRPr="0010292C" w:rsidRDefault="00D255FC" w:rsidP="00D255FC">
      <w:pPr>
        <w:rPr>
          <w:rFonts w:ascii="Arial" w:hAnsi="Arial" w:cs="Arial"/>
          <w:b/>
          <w:bCs/>
          <w:sz w:val="24"/>
          <w:szCs w:val="24"/>
          <w:lang w:val="en-US"/>
        </w:rPr>
      </w:pPr>
      <w:r w:rsidRPr="0010292C">
        <w:rPr>
          <w:rFonts w:ascii="Arial" w:hAnsi="Arial" w:cs="Arial"/>
          <w:b/>
          <w:bCs/>
          <w:sz w:val="24"/>
          <w:szCs w:val="24"/>
          <w:lang w:val="en-US"/>
        </w:rPr>
        <w:t xml:space="preserve">6. Conclusion </w:t>
      </w:r>
    </w:p>
    <w:p w14:paraId="702628C1" w14:textId="77777777" w:rsidR="00E3099E" w:rsidRPr="003819D4" w:rsidRDefault="00E3099E" w:rsidP="00E3099E">
      <w:pPr>
        <w:rPr>
          <w:rFonts w:ascii="Arial" w:hAnsi="Arial" w:cs="Arial"/>
          <w:sz w:val="24"/>
          <w:szCs w:val="24"/>
          <w:lang w:val="en-US"/>
        </w:rPr>
      </w:pPr>
      <w:r w:rsidRPr="003819D4">
        <w:rPr>
          <w:rFonts w:ascii="Arial" w:hAnsi="Arial" w:cs="Arial"/>
          <w:sz w:val="24"/>
          <w:szCs w:val="24"/>
          <w:lang w:val="en-US"/>
        </w:rPr>
        <w:t xml:space="preserve">BHP Group Limited's marketing environment analysis clearly demonstrates that changes in the natural environment, stringent regulations—such as the European </w:t>
      </w:r>
      <w:r w:rsidRPr="003819D4">
        <w:rPr>
          <w:rFonts w:ascii="Arial" w:hAnsi="Arial" w:cs="Arial"/>
          <w:sz w:val="24"/>
          <w:szCs w:val="24"/>
          <w:lang w:val="en-US"/>
        </w:rPr>
        <w:lastRenderedPageBreak/>
        <w:t>Union's CBAM and Australia's Safeguard Mechanism—and pressure from customers and investors have rendered the traditional mining model commercially obsolete.</w:t>
      </w:r>
    </w:p>
    <w:p w14:paraId="63026BF1" w14:textId="40EDBACC" w:rsidR="00D255FC" w:rsidRPr="003819D4" w:rsidRDefault="00E3099E" w:rsidP="00E3099E">
      <w:pPr>
        <w:rPr>
          <w:rFonts w:ascii="Arial" w:hAnsi="Arial" w:cs="Arial"/>
          <w:sz w:val="24"/>
          <w:szCs w:val="24"/>
          <w:lang w:val="en-US"/>
        </w:rPr>
      </w:pPr>
      <w:r w:rsidRPr="003819D4">
        <w:rPr>
          <w:rFonts w:ascii="Arial" w:hAnsi="Arial" w:cs="Arial"/>
          <w:sz w:val="24"/>
          <w:szCs w:val="24"/>
          <w:lang w:val="en-US"/>
        </w:rPr>
        <w:t>By divesting from polluting assets, investing in desalination and electrification, and focusing on low-carbon metals, BHP is successfully transforming external environmental risks into new market opportunities. This analysis provides a robust foundation for formulating growth strategies in Task 2 (Ansoff Matrix and Competitive Positioning).</w:t>
      </w:r>
    </w:p>
    <w:p w14:paraId="4413EDBC" w14:textId="77777777" w:rsidR="009362A5" w:rsidRDefault="009362A5" w:rsidP="00E3099E">
      <w:pPr>
        <w:rPr>
          <w:rFonts w:ascii="Arial" w:hAnsi="Arial" w:cs="Arial"/>
          <w:sz w:val="24"/>
          <w:szCs w:val="24"/>
          <w:lang w:val="en-US"/>
        </w:rPr>
      </w:pPr>
    </w:p>
    <w:p w14:paraId="5CBD710A" w14:textId="77777777" w:rsidR="0010292C" w:rsidRDefault="0010292C" w:rsidP="00E3099E">
      <w:pPr>
        <w:rPr>
          <w:rFonts w:ascii="Arial" w:hAnsi="Arial" w:cs="Arial"/>
          <w:sz w:val="24"/>
          <w:szCs w:val="24"/>
          <w:lang w:val="en-US"/>
        </w:rPr>
      </w:pPr>
    </w:p>
    <w:p w14:paraId="0C2C07D7" w14:textId="77777777" w:rsidR="0010292C" w:rsidRDefault="0010292C" w:rsidP="00E3099E">
      <w:pPr>
        <w:rPr>
          <w:rFonts w:ascii="Arial" w:hAnsi="Arial" w:cs="Arial"/>
          <w:sz w:val="24"/>
          <w:szCs w:val="24"/>
          <w:lang w:val="en-US"/>
        </w:rPr>
      </w:pPr>
    </w:p>
    <w:p w14:paraId="6EE7BA3A" w14:textId="77777777" w:rsidR="0010292C" w:rsidRDefault="0010292C" w:rsidP="00E3099E">
      <w:pPr>
        <w:rPr>
          <w:rFonts w:ascii="Arial" w:hAnsi="Arial" w:cs="Arial"/>
          <w:sz w:val="24"/>
          <w:szCs w:val="24"/>
          <w:lang w:val="en-US"/>
        </w:rPr>
      </w:pPr>
    </w:p>
    <w:p w14:paraId="18BB2398" w14:textId="77777777" w:rsidR="0010292C" w:rsidRDefault="0010292C" w:rsidP="00E3099E">
      <w:pPr>
        <w:rPr>
          <w:rFonts w:ascii="Arial" w:hAnsi="Arial" w:cs="Arial"/>
          <w:sz w:val="24"/>
          <w:szCs w:val="24"/>
          <w:lang w:val="en-US"/>
        </w:rPr>
      </w:pPr>
    </w:p>
    <w:p w14:paraId="6C0BE9E9" w14:textId="77777777" w:rsidR="0010292C" w:rsidRDefault="0010292C" w:rsidP="00E3099E">
      <w:pPr>
        <w:rPr>
          <w:rFonts w:ascii="Arial" w:hAnsi="Arial" w:cs="Arial"/>
          <w:sz w:val="24"/>
          <w:szCs w:val="24"/>
          <w:lang w:val="en-US"/>
        </w:rPr>
      </w:pPr>
    </w:p>
    <w:p w14:paraId="0E93B64F" w14:textId="77777777" w:rsidR="0010292C" w:rsidRDefault="0010292C" w:rsidP="00E3099E">
      <w:pPr>
        <w:rPr>
          <w:rFonts w:ascii="Arial" w:hAnsi="Arial" w:cs="Arial"/>
          <w:sz w:val="24"/>
          <w:szCs w:val="24"/>
          <w:lang w:val="en-US"/>
        </w:rPr>
      </w:pPr>
    </w:p>
    <w:p w14:paraId="7AC406EC" w14:textId="77777777" w:rsidR="001B32CD" w:rsidRDefault="001B32CD" w:rsidP="00E3099E">
      <w:pPr>
        <w:rPr>
          <w:rFonts w:ascii="Arial" w:hAnsi="Arial" w:cs="Arial"/>
          <w:sz w:val="24"/>
          <w:szCs w:val="24"/>
          <w:lang w:val="en-US"/>
        </w:rPr>
      </w:pPr>
    </w:p>
    <w:p w14:paraId="3C918E6B" w14:textId="77777777" w:rsidR="001B32CD" w:rsidRDefault="001B32CD" w:rsidP="00E3099E">
      <w:pPr>
        <w:rPr>
          <w:rFonts w:ascii="Arial" w:hAnsi="Arial" w:cs="Arial"/>
          <w:sz w:val="24"/>
          <w:szCs w:val="24"/>
          <w:lang w:val="en-US"/>
        </w:rPr>
      </w:pPr>
    </w:p>
    <w:p w14:paraId="35C93ED9" w14:textId="77777777" w:rsidR="001B32CD" w:rsidRDefault="001B32CD" w:rsidP="00E3099E">
      <w:pPr>
        <w:rPr>
          <w:rFonts w:ascii="Arial" w:hAnsi="Arial" w:cs="Arial"/>
          <w:sz w:val="24"/>
          <w:szCs w:val="24"/>
          <w:lang w:val="en-US"/>
        </w:rPr>
      </w:pPr>
    </w:p>
    <w:p w14:paraId="45E1D1B8" w14:textId="77777777" w:rsidR="001B32CD" w:rsidRDefault="001B32CD" w:rsidP="00E3099E">
      <w:pPr>
        <w:rPr>
          <w:rFonts w:ascii="Arial" w:hAnsi="Arial" w:cs="Arial"/>
          <w:sz w:val="24"/>
          <w:szCs w:val="24"/>
          <w:lang w:val="en-US"/>
        </w:rPr>
      </w:pPr>
    </w:p>
    <w:p w14:paraId="7B369A3D" w14:textId="77777777" w:rsidR="001B32CD" w:rsidRDefault="001B32CD" w:rsidP="00E3099E">
      <w:pPr>
        <w:rPr>
          <w:rFonts w:ascii="Arial" w:hAnsi="Arial" w:cs="Arial"/>
          <w:sz w:val="24"/>
          <w:szCs w:val="24"/>
          <w:lang w:val="en-US"/>
        </w:rPr>
      </w:pPr>
    </w:p>
    <w:p w14:paraId="2CA4D257" w14:textId="77777777" w:rsidR="001B32CD" w:rsidRDefault="001B32CD" w:rsidP="00E3099E">
      <w:pPr>
        <w:rPr>
          <w:rFonts w:ascii="Arial" w:hAnsi="Arial" w:cs="Arial"/>
          <w:sz w:val="24"/>
          <w:szCs w:val="24"/>
          <w:lang w:val="en-US"/>
        </w:rPr>
      </w:pPr>
    </w:p>
    <w:p w14:paraId="35D83E05" w14:textId="77777777" w:rsidR="001B32CD" w:rsidRDefault="001B32CD" w:rsidP="00E3099E">
      <w:pPr>
        <w:rPr>
          <w:rFonts w:ascii="Arial" w:hAnsi="Arial" w:cs="Arial"/>
          <w:sz w:val="24"/>
          <w:szCs w:val="24"/>
          <w:lang w:val="en-US"/>
        </w:rPr>
      </w:pPr>
    </w:p>
    <w:p w14:paraId="1E283213" w14:textId="77777777" w:rsidR="001B32CD" w:rsidRDefault="001B32CD" w:rsidP="00E3099E">
      <w:pPr>
        <w:rPr>
          <w:rFonts w:ascii="Arial" w:hAnsi="Arial" w:cs="Arial"/>
          <w:sz w:val="24"/>
          <w:szCs w:val="24"/>
          <w:lang w:val="en-US"/>
        </w:rPr>
      </w:pPr>
    </w:p>
    <w:p w14:paraId="67F3EE0B" w14:textId="77777777" w:rsidR="001B32CD" w:rsidRDefault="001B32CD" w:rsidP="00E3099E">
      <w:pPr>
        <w:rPr>
          <w:rFonts w:ascii="Arial" w:hAnsi="Arial" w:cs="Arial"/>
          <w:sz w:val="24"/>
          <w:szCs w:val="24"/>
          <w:lang w:val="en-US"/>
        </w:rPr>
      </w:pPr>
    </w:p>
    <w:p w14:paraId="6312E486" w14:textId="77777777" w:rsidR="001B32CD" w:rsidRDefault="001B32CD" w:rsidP="00E3099E">
      <w:pPr>
        <w:rPr>
          <w:rFonts w:ascii="Arial" w:hAnsi="Arial" w:cs="Arial"/>
          <w:sz w:val="24"/>
          <w:szCs w:val="24"/>
          <w:lang w:val="en-US"/>
        </w:rPr>
      </w:pPr>
    </w:p>
    <w:p w14:paraId="36E0FCF3" w14:textId="77777777" w:rsidR="001B32CD" w:rsidRDefault="001B32CD" w:rsidP="00E3099E">
      <w:pPr>
        <w:rPr>
          <w:rFonts w:ascii="Arial" w:hAnsi="Arial" w:cs="Arial"/>
          <w:sz w:val="24"/>
          <w:szCs w:val="24"/>
          <w:lang w:val="en-US"/>
        </w:rPr>
      </w:pPr>
    </w:p>
    <w:p w14:paraId="7CA4CFE6" w14:textId="77777777" w:rsidR="001B32CD" w:rsidRDefault="001B32CD" w:rsidP="00E3099E">
      <w:pPr>
        <w:rPr>
          <w:rFonts w:ascii="Arial" w:hAnsi="Arial" w:cs="Arial"/>
          <w:sz w:val="24"/>
          <w:szCs w:val="24"/>
          <w:lang w:val="en-US"/>
        </w:rPr>
      </w:pPr>
    </w:p>
    <w:p w14:paraId="040C120D" w14:textId="77777777" w:rsidR="001B32CD" w:rsidRDefault="001B32CD" w:rsidP="00E3099E">
      <w:pPr>
        <w:rPr>
          <w:rFonts w:ascii="Arial" w:hAnsi="Arial" w:cs="Arial"/>
          <w:sz w:val="24"/>
          <w:szCs w:val="24"/>
          <w:lang w:val="en-US"/>
        </w:rPr>
      </w:pPr>
    </w:p>
    <w:p w14:paraId="232D6AEA" w14:textId="77777777" w:rsidR="001B32CD" w:rsidRDefault="001B32CD" w:rsidP="00E3099E">
      <w:pPr>
        <w:rPr>
          <w:rFonts w:ascii="Arial" w:hAnsi="Arial" w:cs="Arial"/>
          <w:sz w:val="24"/>
          <w:szCs w:val="24"/>
          <w:lang w:val="en-US"/>
        </w:rPr>
      </w:pPr>
    </w:p>
    <w:p w14:paraId="1897ADE4" w14:textId="77777777" w:rsidR="001B32CD" w:rsidRDefault="001B32CD" w:rsidP="00E3099E">
      <w:pPr>
        <w:rPr>
          <w:rFonts w:ascii="Arial" w:hAnsi="Arial" w:cs="Arial"/>
          <w:sz w:val="24"/>
          <w:szCs w:val="24"/>
          <w:lang w:val="en-US"/>
        </w:rPr>
      </w:pPr>
    </w:p>
    <w:p w14:paraId="2E105326" w14:textId="77777777" w:rsidR="001B32CD" w:rsidRDefault="001B32CD" w:rsidP="00E3099E">
      <w:pPr>
        <w:rPr>
          <w:rFonts w:ascii="Arial" w:hAnsi="Arial" w:cs="Arial"/>
          <w:sz w:val="24"/>
          <w:szCs w:val="24"/>
          <w:lang w:val="en-US"/>
        </w:rPr>
      </w:pPr>
    </w:p>
    <w:p w14:paraId="64668EC3" w14:textId="77777777" w:rsidR="0010292C" w:rsidRDefault="0010292C" w:rsidP="00E3099E">
      <w:pPr>
        <w:rPr>
          <w:rFonts w:ascii="Arial" w:hAnsi="Arial" w:cs="Arial"/>
          <w:sz w:val="24"/>
          <w:szCs w:val="24"/>
          <w:lang w:val="en-US"/>
        </w:rPr>
      </w:pPr>
    </w:p>
    <w:p w14:paraId="0C155692" w14:textId="77777777" w:rsidR="0010292C" w:rsidRDefault="0010292C" w:rsidP="00E3099E">
      <w:pPr>
        <w:rPr>
          <w:rFonts w:ascii="Arial" w:hAnsi="Arial" w:cs="Arial"/>
          <w:sz w:val="24"/>
          <w:szCs w:val="24"/>
          <w:lang w:val="en-US"/>
        </w:rPr>
      </w:pPr>
    </w:p>
    <w:p w14:paraId="0B3C41BF" w14:textId="0D0175EA" w:rsidR="009362A5" w:rsidRPr="00184B79" w:rsidRDefault="009362A5" w:rsidP="00E3099E">
      <w:pPr>
        <w:rPr>
          <w:rFonts w:ascii="Arial" w:hAnsi="Arial" w:cs="Arial"/>
          <w:b/>
          <w:bCs/>
          <w:sz w:val="24"/>
          <w:szCs w:val="24"/>
        </w:rPr>
      </w:pPr>
      <w:r w:rsidRPr="00184B79">
        <w:rPr>
          <w:rFonts w:ascii="Arial" w:hAnsi="Arial" w:cs="Arial"/>
          <w:b/>
          <w:bCs/>
          <w:sz w:val="24"/>
          <w:szCs w:val="24"/>
        </w:rPr>
        <w:lastRenderedPageBreak/>
        <w:t>Task 2: Strategic Growth and Competitive Positioning</w:t>
      </w:r>
    </w:p>
    <w:p w14:paraId="2E08464E" w14:textId="77777777" w:rsidR="00004D08" w:rsidRPr="0010292C" w:rsidRDefault="00004D08" w:rsidP="00004D08">
      <w:pPr>
        <w:rPr>
          <w:rFonts w:ascii="Arial" w:hAnsi="Arial" w:cs="Arial"/>
          <w:b/>
          <w:bCs/>
          <w:sz w:val="24"/>
          <w:szCs w:val="24"/>
          <w:lang w:val="en-US"/>
        </w:rPr>
      </w:pPr>
      <w:r w:rsidRPr="0010292C">
        <w:rPr>
          <w:rFonts w:ascii="Arial" w:hAnsi="Arial" w:cs="Arial"/>
          <w:b/>
          <w:bCs/>
          <w:sz w:val="24"/>
          <w:szCs w:val="24"/>
          <w:lang w:val="en-US"/>
        </w:rPr>
        <w:t>1. Strategic Growth Vector: Application of the Ansoff Matrix</w:t>
      </w:r>
    </w:p>
    <w:p w14:paraId="66698D6A" w14:textId="0E7DDDF4" w:rsidR="00004D08" w:rsidRPr="003819D4" w:rsidRDefault="00004D08" w:rsidP="00004D08">
      <w:pPr>
        <w:rPr>
          <w:rFonts w:ascii="Arial" w:hAnsi="Arial" w:cs="Arial"/>
          <w:sz w:val="24"/>
          <w:szCs w:val="24"/>
          <w:lang w:val="en-US"/>
        </w:rPr>
      </w:pPr>
      <w:r w:rsidRPr="003819D4">
        <w:rPr>
          <w:rFonts w:ascii="Arial" w:hAnsi="Arial" w:cs="Arial"/>
          <w:sz w:val="24"/>
          <w:szCs w:val="24"/>
          <w:lang w:val="en-US"/>
        </w:rPr>
        <w:t>BHP must adopt a clear strategic growth plan to capitalize on the key opportunities identified in Task 1—specifically, the rising demand for green minerals for electric vehicles (EVs) and the need for low-carbon raw materials. The Ansoff Matrix model (Ansoff, 1957) categorizes growth strategies into four quadrants based on product and market dimensions: market penetration, market development, product development, and diversification.</w:t>
      </w:r>
    </w:p>
    <w:p w14:paraId="1469E6A7" w14:textId="77777777" w:rsidR="00004D08" w:rsidRPr="0010292C" w:rsidRDefault="00004D08" w:rsidP="00004D08">
      <w:pPr>
        <w:rPr>
          <w:rFonts w:ascii="Arial" w:hAnsi="Arial" w:cs="Arial"/>
          <w:b/>
          <w:bCs/>
          <w:sz w:val="24"/>
          <w:szCs w:val="24"/>
          <w:lang w:val="en-US"/>
        </w:rPr>
      </w:pPr>
      <w:r w:rsidRPr="0010292C">
        <w:rPr>
          <w:rFonts w:ascii="Arial" w:hAnsi="Arial" w:cs="Arial"/>
          <w:b/>
          <w:bCs/>
          <w:sz w:val="24"/>
          <w:szCs w:val="24"/>
          <w:lang w:val="en-US"/>
        </w:rPr>
        <w:t>1.1 Key Recommendation: Product Development</w:t>
      </w:r>
    </w:p>
    <w:p w14:paraId="3DC24F57" w14:textId="77777777" w:rsidR="00004D08" w:rsidRPr="000A1D52" w:rsidRDefault="00004D08" w:rsidP="000A1D52">
      <w:pPr>
        <w:pStyle w:val="ListParagraph"/>
        <w:numPr>
          <w:ilvl w:val="0"/>
          <w:numId w:val="50"/>
        </w:numPr>
        <w:rPr>
          <w:rFonts w:ascii="Arial" w:hAnsi="Arial" w:cs="Arial"/>
          <w:sz w:val="24"/>
          <w:szCs w:val="24"/>
          <w:lang w:val="en-US"/>
        </w:rPr>
      </w:pPr>
      <w:r w:rsidRPr="000A1D52">
        <w:rPr>
          <w:rFonts w:ascii="Arial" w:hAnsi="Arial" w:cs="Arial"/>
          <w:sz w:val="24"/>
          <w:szCs w:val="24"/>
          <w:lang w:val="en-US"/>
        </w:rPr>
        <w:t>The optimal and primary strategic recommendation for BHP is product development (introducing new or improved low-carbon products to the existing market).</w:t>
      </w:r>
    </w:p>
    <w:p w14:paraId="2B5E748A" w14:textId="77777777" w:rsidR="00004D08" w:rsidRPr="000A1D52" w:rsidRDefault="00004D08" w:rsidP="000A1D52">
      <w:pPr>
        <w:pStyle w:val="ListParagraph"/>
        <w:numPr>
          <w:ilvl w:val="0"/>
          <w:numId w:val="50"/>
        </w:numPr>
        <w:rPr>
          <w:rFonts w:ascii="Arial" w:hAnsi="Arial" w:cs="Arial"/>
          <w:sz w:val="24"/>
          <w:szCs w:val="24"/>
          <w:lang w:val="en-US"/>
        </w:rPr>
      </w:pPr>
      <w:r w:rsidRPr="000A1D52">
        <w:rPr>
          <w:rFonts w:ascii="Arial" w:hAnsi="Arial" w:cs="Arial"/>
          <w:sz w:val="24"/>
          <w:szCs w:val="24"/>
          <w:lang w:val="en-US"/>
        </w:rPr>
        <w:t>Traditional copper and iron ore constitute BHP's current product portfolio. Under this strategy, BHP transforms its offerings into "Certified Low-Carbon Copper" and "High-Grade Direct Reduced Iron (DRI) Ore" (BHP, 2023).</w:t>
      </w:r>
    </w:p>
    <w:p w14:paraId="4587BD82" w14:textId="77777777" w:rsidR="00004D08" w:rsidRPr="000A1D52" w:rsidRDefault="00004D08" w:rsidP="000A1D52">
      <w:pPr>
        <w:pStyle w:val="ListParagraph"/>
        <w:numPr>
          <w:ilvl w:val="0"/>
          <w:numId w:val="50"/>
        </w:numPr>
        <w:rPr>
          <w:rFonts w:ascii="Arial" w:hAnsi="Arial" w:cs="Arial"/>
          <w:sz w:val="24"/>
          <w:szCs w:val="24"/>
          <w:lang w:val="en-US"/>
        </w:rPr>
      </w:pPr>
      <w:r w:rsidRPr="000A1D52">
        <w:rPr>
          <w:rFonts w:ascii="Arial" w:hAnsi="Arial" w:cs="Arial"/>
          <w:sz w:val="24"/>
          <w:szCs w:val="24"/>
          <w:lang w:val="en-US"/>
        </w:rPr>
        <w:t>Value Proposition: Automotive companies like Tesla and BMW, along with major construction firms, are BHP's existing B2B customers. By introducing low-carbon metals certified via blockchain technology, BHP addresses these customers' urgent need to reduce emissions within their own supply chains (Scope 3) (Lieder &amp; Rashid, 2016).</w:t>
      </w:r>
    </w:p>
    <w:p w14:paraId="60D7C60E" w14:textId="136BE525" w:rsidR="00004D08" w:rsidRPr="000A1D52" w:rsidRDefault="00004D08" w:rsidP="000A1D52">
      <w:pPr>
        <w:pStyle w:val="ListParagraph"/>
        <w:numPr>
          <w:ilvl w:val="0"/>
          <w:numId w:val="50"/>
        </w:numPr>
        <w:rPr>
          <w:rFonts w:ascii="Arial" w:hAnsi="Arial" w:cs="Arial"/>
          <w:sz w:val="24"/>
          <w:szCs w:val="24"/>
          <w:lang w:val="en-US"/>
        </w:rPr>
      </w:pPr>
      <w:r w:rsidRPr="000A1D52">
        <w:rPr>
          <w:rFonts w:ascii="Arial" w:hAnsi="Arial" w:cs="Arial"/>
          <w:sz w:val="24"/>
          <w:szCs w:val="24"/>
          <w:lang w:val="en-US"/>
        </w:rPr>
        <w:t>Capital Allocation: BHP implements this strategy by introducing electrification, solar/wind power plants, and hydrogen processing technologies at its mining sites to replace diesel-based operations (BHP, 2024).</w:t>
      </w:r>
    </w:p>
    <w:p w14:paraId="1EAC0FA1" w14:textId="77777777" w:rsidR="00004D08" w:rsidRPr="000A1D52" w:rsidRDefault="00004D08" w:rsidP="00004D08">
      <w:pPr>
        <w:rPr>
          <w:rFonts w:ascii="Arial" w:hAnsi="Arial" w:cs="Arial"/>
          <w:b/>
          <w:bCs/>
          <w:sz w:val="24"/>
          <w:szCs w:val="24"/>
          <w:lang w:val="en-US"/>
        </w:rPr>
      </w:pPr>
      <w:r w:rsidRPr="000A1D52">
        <w:rPr>
          <w:rFonts w:ascii="Arial" w:hAnsi="Arial" w:cs="Arial"/>
          <w:b/>
          <w:bCs/>
          <w:sz w:val="24"/>
          <w:szCs w:val="24"/>
          <w:lang w:val="en-US"/>
        </w:rPr>
        <w:t>1.2 Secondary Recommendation: Market Development</w:t>
      </w:r>
    </w:p>
    <w:p w14:paraId="4C2409AE" w14:textId="0C2951A2" w:rsidR="00004D08" w:rsidRPr="003819D4" w:rsidRDefault="00004D08" w:rsidP="00004D08">
      <w:pPr>
        <w:rPr>
          <w:rFonts w:ascii="Arial" w:hAnsi="Arial" w:cs="Arial"/>
          <w:sz w:val="24"/>
          <w:szCs w:val="24"/>
          <w:lang w:val="en-US"/>
        </w:rPr>
      </w:pPr>
      <w:r w:rsidRPr="003819D4">
        <w:rPr>
          <w:rFonts w:ascii="Arial" w:hAnsi="Arial" w:cs="Arial"/>
          <w:sz w:val="24"/>
          <w:szCs w:val="24"/>
          <w:lang w:val="en-US"/>
        </w:rPr>
        <w:t>In addition, BHP should adopt a market development strategy to introduce its new low-carbon metals into new geographical regions and emerging green technology sectors (Ansoff, 1957</w:t>
      </w:r>
      <w:proofErr w:type="gramStart"/>
      <w:r w:rsidRPr="003819D4">
        <w:rPr>
          <w:rFonts w:ascii="Arial" w:hAnsi="Arial" w:cs="Arial"/>
          <w:sz w:val="24"/>
          <w:szCs w:val="24"/>
          <w:lang w:val="en-US"/>
        </w:rPr>
        <w:t>).As</w:t>
      </w:r>
      <w:proofErr w:type="gramEnd"/>
      <w:r w:rsidRPr="003819D4">
        <w:rPr>
          <w:rFonts w:ascii="Arial" w:hAnsi="Arial" w:cs="Arial"/>
          <w:sz w:val="24"/>
          <w:szCs w:val="24"/>
          <w:lang w:val="en-US"/>
        </w:rPr>
        <w:t xml:space="preserve"> developing nations in Southeast Asia and Latin America build renewable power grids, the demand for copper is surging (IEA, 2023</w:t>
      </w:r>
      <w:proofErr w:type="gramStart"/>
      <w:r w:rsidRPr="003819D4">
        <w:rPr>
          <w:rFonts w:ascii="Arial" w:hAnsi="Arial" w:cs="Arial"/>
          <w:sz w:val="24"/>
          <w:szCs w:val="24"/>
          <w:lang w:val="en-US"/>
        </w:rPr>
        <w:t>).By</w:t>
      </w:r>
      <w:proofErr w:type="gramEnd"/>
      <w:r w:rsidRPr="003819D4">
        <w:rPr>
          <w:rFonts w:ascii="Arial" w:hAnsi="Arial" w:cs="Arial"/>
          <w:sz w:val="24"/>
          <w:szCs w:val="24"/>
          <w:lang w:val="en-US"/>
        </w:rPr>
        <w:t xml:space="preserve"> leveraging its low-carbon certified products, BHP can establish dominance in this new infrastructure market ahead of its carbon-intensive competitors.</w:t>
      </w:r>
    </w:p>
    <w:p w14:paraId="55557EC8" w14:textId="77777777" w:rsidR="00004D08" w:rsidRPr="000A1D52" w:rsidRDefault="00004D08" w:rsidP="00004D08">
      <w:pPr>
        <w:rPr>
          <w:rFonts w:ascii="Arial" w:hAnsi="Arial" w:cs="Arial"/>
          <w:b/>
          <w:bCs/>
          <w:sz w:val="24"/>
          <w:szCs w:val="24"/>
          <w:lang w:val="en-US"/>
        </w:rPr>
      </w:pPr>
      <w:r w:rsidRPr="000A1D52">
        <w:rPr>
          <w:rFonts w:ascii="Arial" w:hAnsi="Arial" w:cs="Arial"/>
          <w:b/>
          <w:bCs/>
          <w:sz w:val="24"/>
          <w:szCs w:val="24"/>
          <w:lang w:val="en-US"/>
        </w:rPr>
        <w:t>2. Competitive Positioning and Sustainable Advantage</w:t>
      </w:r>
    </w:p>
    <w:p w14:paraId="001D2CDC" w14:textId="4BEDA515" w:rsidR="00004D08" w:rsidRPr="003819D4" w:rsidRDefault="00004D08" w:rsidP="00004D08">
      <w:pPr>
        <w:rPr>
          <w:rFonts w:ascii="Arial" w:hAnsi="Arial" w:cs="Arial"/>
          <w:sz w:val="24"/>
          <w:szCs w:val="24"/>
          <w:lang w:val="en-US"/>
        </w:rPr>
      </w:pPr>
      <w:r w:rsidRPr="003819D4">
        <w:rPr>
          <w:rFonts w:ascii="Arial" w:hAnsi="Arial" w:cs="Arial"/>
          <w:sz w:val="24"/>
          <w:szCs w:val="24"/>
          <w:lang w:val="en-US"/>
        </w:rPr>
        <w:t>To maintain a competitive advantage in the market during the low-carbon transition, BHP will need to adopt Porter's Generic Strategies (Porter, 1985).</w:t>
      </w:r>
    </w:p>
    <w:p w14:paraId="6859FA79" w14:textId="77777777" w:rsidR="00CF35B1" w:rsidRPr="003819D4" w:rsidRDefault="00CF35B1" w:rsidP="00004D08">
      <w:pPr>
        <w:rPr>
          <w:rFonts w:ascii="Arial" w:hAnsi="Arial" w:cs="Arial"/>
          <w:sz w:val="24"/>
          <w:szCs w:val="24"/>
          <w:lang w:val="en-US"/>
        </w:rPr>
      </w:pPr>
    </w:p>
    <w:p w14:paraId="17978CB5" w14:textId="4A525673" w:rsidR="00CF35B1" w:rsidRPr="003819D4" w:rsidRDefault="004A1CC3" w:rsidP="00004D08">
      <w:pPr>
        <w:rPr>
          <w:rFonts w:ascii="Arial" w:hAnsi="Arial" w:cs="Arial"/>
          <w:sz w:val="24"/>
          <w:szCs w:val="24"/>
          <w:lang w:val="en-US"/>
        </w:rPr>
      </w:pPr>
      <w:r>
        <w:rPr>
          <w:rFonts w:ascii="Arial" w:hAnsi="Arial" w:cs="Arial"/>
          <w:noProof/>
          <w:sz w:val="24"/>
          <w:szCs w:val="24"/>
          <w:lang w:val="en-US"/>
        </w:rPr>
        <w:lastRenderedPageBreak/>
        <w:drawing>
          <wp:inline distT="0" distB="0" distL="0" distR="0" wp14:anchorId="01740563" wp14:editId="1D13631C">
            <wp:extent cx="5731510" cy="3820795"/>
            <wp:effectExtent l="0" t="0" r="2540" b="8255"/>
            <wp:docPr id="435901934"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5901934" name="Picture 435901934"/>
                    <pic:cNvPicPr/>
                  </pic:nvPicPr>
                  <pic:blipFill>
                    <a:blip r:embed="rId7" cstate="print">
                      <a:extLst>
                        <a:ext uri="{28A0092B-C50C-407E-A947-70E740481C1C}">
                          <a14:useLocalDpi xmlns:a14="http://schemas.microsoft.com/office/drawing/2010/main" val="0"/>
                        </a:ext>
                      </a:extLst>
                    </a:blip>
                    <a:stretch>
                      <a:fillRect/>
                    </a:stretch>
                  </pic:blipFill>
                  <pic:spPr>
                    <a:xfrm>
                      <a:off x="0" y="0"/>
                      <a:ext cx="5731510" cy="3820795"/>
                    </a:xfrm>
                    <a:prstGeom prst="rect">
                      <a:avLst/>
                    </a:prstGeom>
                  </pic:spPr>
                </pic:pic>
              </a:graphicData>
            </a:graphic>
          </wp:inline>
        </w:drawing>
      </w:r>
      <w:r w:rsidR="00233B43">
        <w:rPr>
          <w:rFonts w:ascii="Arial" w:hAnsi="Arial" w:cs="Arial"/>
          <w:sz w:val="24"/>
          <w:szCs w:val="24"/>
          <w:lang w:val="en-US"/>
        </w:rPr>
        <w:br/>
      </w:r>
      <w:r w:rsidR="00233B43" w:rsidRPr="00363942">
        <w:rPr>
          <w:rFonts w:ascii="Arial" w:hAnsi="Arial" w:cs="Arial"/>
          <w:sz w:val="24"/>
          <w:szCs w:val="24"/>
        </w:rPr>
        <w:t>Figure 2: Porter’s Generic Strategies (Building sustainable value through cost efficiency and differentiation) (image generated by ChatGPT)</w:t>
      </w:r>
    </w:p>
    <w:p w14:paraId="3D01CA13" w14:textId="77777777" w:rsidR="00CF35B1" w:rsidRPr="003819D4" w:rsidRDefault="00CF35B1" w:rsidP="00004D08">
      <w:pPr>
        <w:rPr>
          <w:rFonts w:ascii="Arial" w:hAnsi="Arial" w:cs="Arial"/>
          <w:sz w:val="24"/>
          <w:szCs w:val="24"/>
          <w:lang w:val="en-US"/>
        </w:rPr>
      </w:pPr>
    </w:p>
    <w:p w14:paraId="42167E74" w14:textId="77777777" w:rsidR="00004D08" w:rsidRPr="000475A1" w:rsidRDefault="00004D08" w:rsidP="00004D08">
      <w:pPr>
        <w:rPr>
          <w:rFonts w:ascii="Arial" w:hAnsi="Arial" w:cs="Arial"/>
          <w:b/>
          <w:bCs/>
          <w:sz w:val="24"/>
          <w:szCs w:val="24"/>
          <w:lang w:val="en-US"/>
        </w:rPr>
      </w:pPr>
      <w:r w:rsidRPr="000475A1">
        <w:rPr>
          <w:rFonts w:ascii="Arial" w:hAnsi="Arial" w:cs="Arial"/>
          <w:b/>
          <w:bCs/>
          <w:sz w:val="24"/>
          <w:szCs w:val="24"/>
          <w:lang w:val="en-US"/>
        </w:rPr>
        <w:t>2.1 Strategic Choice: Differentiation Strategy</w:t>
      </w:r>
    </w:p>
    <w:p w14:paraId="73FDFCE2" w14:textId="77777777" w:rsidR="00004D08" w:rsidRPr="003819D4" w:rsidRDefault="00004D08" w:rsidP="00004D08">
      <w:pPr>
        <w:rPr>
          <w:rFonts w:ascii="Arial" w:hAnsi="Arial" w:cs="Arial"/>
          <w:sz w:val="24"/>
          <w:szCs w:val="24"/>
          <w:lang w:val="en-US"/>
        </w:rPr>
      </w:pPr>
      <w:r w:rsidRPr="003819D4">
        <w:rPr>
          <w:rFonts w:ascii="Arial" w:hAnsi="Arial" w:cs="Arial"/>
          <w:sz w:val="24"/>
          <w:szCs w:val="24"/>
          <w:lang w:val="en-US"/>
        </w:rPr>
        <w:t>Historically, the mining industry operated on a cost leadership model, where metals were treated as commodities and sold solely based on price (Jobber &amp; Ellis-Chadwick, 2019). However, due to global climate change, BHP now has a prime opportunity to adopt a broad differentiation strategy (Porter, 1985).</w:t>
      </w:r>
    </w:p>
    <w:p w14:paraId="064B4989" w14:textId="77777777" w:rsidR="00004D08" w:rsidRPr="003819D4" w:rsidRDefault="00004D08" w:rsidP="00004D08">
      <w:pPr>
        <w:rPr>
          <w:rFonts w:ascii="Arial" w:hAnsi="Arial" w:cs="Arial"/>
          <w:sz w:val="24"/>
          <w:szCs w:val="24"/>
          <w:lang w:val="en-US"/>
        </w:rPr>
      </w:pPr>
      <w:r w:rsidRPr="003819D4">
        <w:rPr>
          <w:rFonts w:ascii="Arial" w:hAnsi="Arial" w:cs="Arial"/>
          <w:sz w:val="24"/>
          <w:szCs w:val="24"/>
          <w:lang w:val="en-US"/>
        </w:rPr>
        <w:t>BHP differentiates its products based on carbon intensity and ESG traceability:</w:t>
      </w:r>
    </w:p>
    <w:p w14:paraId="6436682D" w14:textId="77777777" w:rsidR="00004D08" w:rsidRPr="003819D4" w:rsidRDefault="00004D08" w:rsidP="00004D08">
      <w:pPr>
        <w:pStyle w:val="ListParagraph"/>
        <w:numPr>
          <w:ilvl w:val="0"/>
          <w:numId w:val="14"/>
        </w:numPr>
        <w:rPr>
          <w:rFonts w:ascii="Arial" w:hAnsi="Arial" w:cs="Arial"/>
          <w:sz w:val="24"/>
          <w:szCs w:val="24"/>
          <w:lang w:val="en-US"/>
        </w:rPr>
      </w:pPr>
      <w:r w:rsidRPr="003819D4">
        <w:rPr>
          <w:rFonts w:ascii="Arial" w:hAnsi="Arial" w:cs="Arial"/>
          <w:sz w:val="24"/>
          <w:szCs w:val="24"/>
          <w:lang w:val="en-US"/>
        </w:rPr>
        <w:t>Green Premium: Industrial buyers facing stringent regulations, such as the European Union's CBAM, are willing to pay a higher price—a "Green Premium"—for raw materials with lower emissions (European Commission, 2023).</w:t>
      </w:r>
    </w:p>
    <w:p w14:paraId="46991D51" w14:textId="4BAF1E32" w:rsidR="00004D08" w:rsidRPr="003819D4" w:rsidRDefault="00004D08" w:rsidP="00004D08">
      <w:pPr>
        <w:pStyle w:val="ListParagraph"/>
        <w:numPr>
          <w:ilvl w:val="0"/>
          <w:numId w:val="14"/>
        </w:numPr>
        <w:rPr>
          <w:rFonts w:ascii="Arial" w:hAnsi="Arial" w:cs="Arial"/>
          <w:sz w:val="24"/>
          <w:szCs w:val="24"/>
          <w:lang w:val="en-US"/>
        </w:rPr>
      </w:pPr>
      <w:r w:rsidRPr="003819D4">
        <w:rPr>
          <w:rFonts w:ascii="Arial" w:hAnsi="Arial" w:cs="Arial"/>
          <w:sz w:val="24"/>
          <w:szCs w:val="24"/>
          <w:lang w:val="en-US"/>
        </w:rPr>
        <w:t>Brand Value and Market Position: An identity as a "clean miner" enhances BHP's corporate image, protects it from regulatory penalties like Australia's Safeguard Mechanism, and facilitates access to lower-cost capital from institutional ESG investors (Eccles et al., 2014).</w:t>
      </w:r>
    </w:p>
    <w:p w14:paraId="72E26C4A" w14:textId="77777777" w:rsidR="00CF35B1" w:rsidRPr="000475A1" w:rsidRDefault="00CF35B1" w:rsidP="00CF35B1">
      <w:pPr>
        <w:rPr>
          <w:rFonts w:ascii="Arial" w:hAnsi="Arial" w:cs="Arial"/>
          <w:b/>
          <w:bCs/>
          <w:sz w:val="24"/>
          <w:szCs w:val="24"/>
          <w:lang w:val="en-US"/>
        </w:rPr>
      </w:pPr>
      <w:r w:rsidRPr="000475A1">
        <w:rPr>
          <w:rFonts w:ascii="Arial" w:hAnsi="Arial" w:cs="Arial"/>
          <w:b/>
          <w:bCs/>
          <w:sz w:val="24"/>
          <w:szCs w:val="24"/>
          <w:lang w:val="en-US"/>
        </w:rPr>
        <w:t>3. Implementation Roadmap and Risk Mitigation</w:t>
      </w:r>
    </w:p>
    <w:p w14:paraId="3076E9DB" w14:textId="73614D2A" w:rsidR="00CF35B1" w:rsidRPr="003819D4" w:rsidRDefault="00CF35B1" w:rsidP="00CF35B1">
      <w:pPr>
        <w:rPr>
          <w:rFonts w:ascii="Arial" w:hAnsi="Arial" w:cs="Arial"/>
          <w:sz w:val="24"/>
          <w:szCs w:val="24"/>
          <w:lang w:val="en-US"/>
        </w:rPr>
      </w:pPr>
      <w:r w:rsidRPr="003819D4">
        <w:rPr>
          <w:rFonts w:ascii="Arial" w:hAnsi="Arial" w:cs="Arial"/>
          <w:sz w:val="24"/>
          <w:szCs w:val="24"/>
          <w:lang w:val="en-US"/>
        </w:rPr>
        <w:t>To transition to a low-carbon business model while maintaining profitability, BHP's executive management will need to implement a three-phase roadmap:</w:t>
      </w:r>
    </w:p>
    <w:p w14:paraId="5B9DD145" w14:textId="73726A42" w:rsidR="00CF35B1" w:rsidRDefault="009B7096" w:rsidP="00CF35B1">
      <w:pPr>
        <w:rPr>
          <w:rFonts w:ascii="Arial" w:hAnsi="Arial" w:cs="Arial"/>
          <w:sz w:val="24"/>
          <w:szCs w:val="24"/>
          <w:lang w:val="en-US"/>
        </w:rPr>
      </w:pPr>
      <w:r w:rsidRPr="003819D4">
        <w:rPr>
          <w:rFonts w:ascii="Arial" w:hAnsi="Arial" w:cs="Arial"/>
          <w:noProof/>
          <w:sz w:val="24"/>
          <w:szCs w:val="24"/>
          <w:lang w:val="en-US"/>
        </w:rPr>
        <w:lastRenderedPageBreak/>
        <w:drawing>
          <wp:inline distT="0" distB="0" distL="0" distR="0" wp14:anchorId="07635FF7" wp14:editId="5B87A45B">
            <wp:extent cx="5731510" cy="3820795"/>
            <wp:effectExtent l="0" t="0" r="2540" b="8255"/>
            <wp:docPr id="2065196796"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5196796" name="Picture 2065196796"/>
                    <pic:cNvPicPr/>
                  </pic:nvPicPr>
                  <pic:blipFill>
                    <a:blip r:embed="rId8" cstate="print">
                      <a:extLst>
                        <a:ext uri="{28A0092B-C50C-407E-A947-70E740481C1C}">
                          <a14:useLocalDpi xmlns:a14="http://schemas.microsoft.com/office/drawing/2010/main" val="0"/>
                        </a:ext>
                      </a:extLst>
                    </a:blip>
                    <a:stretch>
                      <a:fillRect/>
                    </a:stretch>
                  </pic:blipFill>
                  <pic:spPr>
                    <a:xfrm>
                      <a:off x="0" y="0"/>
                      <a:ext cx="5731510" cy="3820795"/>
                    </a:xfrm>
                    <a:prstGeom prst="rect">
                      <a:avLst/>
                    </a:prstGeom>
                  </pic:spPr>
                </pic:pic>
              </a:graphicData>
            </a:graphic>
          </wp:inline>
        </w:drawing>
      </w:r>
    </w:p>
    <w:p w14:paraId="3BB2564B" w14:textId="486E7385" w:rsidR="00366C31" w:rsidRPr="004D3CC9" w:rsidRDefault="00366C31" w:rsidP="00CF35B1">
      <w:pPr>
        <w:rPr>
          <w:rFonts w:ascii="Arial" w:hAnsi="Arial" w:cs="Arial"/>
          <w:sz w:val="24"/>
          <w:szCs w:val="24"/>
          <w:lang w:val="en-US"/>
        </w:rPr>
      </w:pPr>
      <w:r w:rsidRPr="004D3CC9">
        <w:rPr>
          <w:rFonts w:ascii="Arial" w:hAnsi="Arial" w:cs="Arial"/>
          <w:sz w:val="24"/>
          <w:szCs w:val="24"/>
        </w:rPr>
        <w:t>Figure 3: BHP Low-Carbon Strategic Roadmap (Lower emissions. Cleaner metals. A sustainable future.) (image generated by ChatGPT)</w:t>
      </w:r>
    </w:p>
    <w:p w14:paraId="7489438F" w14:textId="65ADC7A2" w:rsidR="00320E29" w:rsidRPr="00511760" w:rsidRDefault="00320E29" w:rsidP="00CF35B1">
      <w:pPr>
        <w:rPr>
          <w:rFonts w:ascii="Arial" w:hAnsi="Arial" w:cs="Arial"/>
          <w:b/>
          <w:bCs/>
          <w:sz w:val="24"/>
          <w:szCs w:val="24"/>
          <w:lang w:val="en-US"/>
        </w:rPr>
      </w:pPr>
      <w:r w:rsidRPr="00511760">
        <w:rPr>
          <w:rFonts w:ascii="Arial" w:hAnsi="Arial" w:cs="Arial"/>
          <w:b/>
          <w:bCs/>
          <w:sz w:val="24"/>
          <w:szCs w:val="24"/>
        </w:rPr>
        <w:t>Detailed Implementation Roadmap</w:t>
      </w:r>
    </w:p>
    <w:p w14:paraId="1F33356F" w14:textId="77777777" w:rsidR="009444E2" w:rsidRPr="009444E2" w:rsidRDefault="009444E2" w:rsidP="009444E2">
      <w:pPr>
        <w:rPr>
          <w:rFonts w:ascii="Arial" w:hAnsi="Arial" w:cs="Arial"/>
          <w:b/>
          <w:bCs/>
          <w:sz w:val="24"/>
          <w:szCs w:val="24"/>
          <w:lang w:val="en-US"/>
        </w:rPr>
      </w:pPr>
      <w:r w:rsidRPr="009444E2">
        <w:rPr>
          <w:rFonts w:ascii="Arial" w:hAnsi="Arial" w:cs="Arial"/>
          <w:b/>
          <w:bCs/>
          <w:sz w:val="24"/>
          <w:szCs w:val="24"/>
          <w:lang w:val="en-US"/>
        </w:rPr>
        <w:t>1. Short-Term Phase (2024–2027) – Operational Electrification</w:t>
      </w:r>
    </w:p>
    <w:p w14:paraId="0A9595C1" w14:textId="77777777" w:rsidR="009444E2" w:rsidRPr="009444E2" w:rsidRDefault="009444E2" w:rsidP="009444E2">
      <w:pPr>
        <w:rPr>
          <w:rFonts w:ascii="Arial" w:hAnsi="Arial" w:cs="Arial"/>
          <w:b/>
          <w:bCs/>
          <w:sz w:val="24"/>
          <w:szCs w:val="24"/>
          <w:lang w:val="en-US"/>
        </w:rPr>
      </w:pPr>
      <w:r w:rsidRPr="009444E2">
        <w:rPr>
          <w:rFonts w:ascii="Arial" w:hAnsi="Arial" w:cs="Arial"/>
          <w:b/>
          <w:bCs/>
          <w:sz w:val="24"/>
          <w:szCs w:val="24"/>
          <w:lang w:val="en-US"/>
        </w:rPr>
        <w:t>Implementation Mechanism:</w:t>
      </w:r>
    </w:p>
    <w:p w14:paraId="11B6825D" w14:textId="77777777" w:rsidR="009444E2" w:rsidRPr="009444E2" w:rsidRDefault="009444E2" w:rsidP="009444E2">
      <w:pPr>
        <w:pStyle w:val="ListParagraph"/>
        <w:numPr>
          <w:ilvl w:val="0"/>
          <w:numId w:val="47"/>
        </w:numPr>
        <w:rPr>
          <w:rFonts w:ascii="Arial" w:hAnsi="Arial" w:cs="Arial"/>
          <w:sz w:val="24"/>
          <w:szCs w:val="24"/>
          <w:lang w:val="en-US"/>
        </w:rPr>
      </w:pPr>
      <w:r w:rsidRPr="009444E2">
        <w:rPr>
          <w:rFonts w:ascii="Arial" w:hAnsi="Arial" w:cs="Arial"/>
          <w:sz w:val="24"/>
          <w:szCs w:val="24"/>
          <w:lang w:val="en-US"/>
        </w:rPr>
        <w:t>E-Fleet Transition: In partnership with Caterpillar and Komatsu, high-capacity battery-electric haul trucks will be introduced in a phased manner to replace conventional diesel trucks at mining sites in Pilbara (Australia) and Atacama (Chile) (BHP, 2024; McKinsey &amp; Company, 2022).</w:t>
      </w:r>
    </w:p>
    <w:p w14:paraId="0F751FE6" w14:textId="77777777" w:rsidR="009444E2" w:rsidRPr="009444E2" w:rsidRDefault="009444E2" w:rsidP="009444E2">
      <w:pPr>
        <w:pStyle w:val="ListParagraph"/>
        <w:numPr>
          <w:ilvl w:val="0"/>
          <w:numId w:val="47"/>
        </w:numPr>
        <w:rPr>
          <w:rFonts w:ascii="Arial" w:hAnsi="Arial" w:cs="Arial"/>
          <w:sz w:val="24"/>
          <w:szCs w:val="24"/>
          <w:lang w:val="en-US"/>
        </w:rPr>
      </w:pPr>
      <w:r w:rsidRPr="009444E2">
        <w:rPr>
          <w:rFonts w:ascii="Arial" w:hAnsi="Arial" w:cs="Arial"/>
          <w:sz w:val="24"/>
          <w:szCs w:val="24"/>
          <w:lang w:val="en-US"/>
        </w:rPr>
        <w:t>Renewable Power Purchase Agreements (PPAs): Operations at the Escondida site in Chile and the Olympic Dam site in Australia will be transitioned entirely to solar and wind energy through long-term Power Purchase Agreements (PPAs) with local energy producers (BHP, 2023, 2024).</w:t>
      </w:r>
    </w:p>
    <w:p w14:paraId="7BA53A6D" w14:textId="3853D01A" w:rsidR="00F86E46" w:rsidRDefault="009444E2" w:rsidP="009444E2">
      <w:pPr>
        <w:pStyle w:val="ListParagraph"/>
        <w:numPr>
          <w:ilvl w:val="0"/>
          <w:numId w:val="47"/>
        </w:numPr>
        <w:rPr>
          <w:rFonts w:ascii="Arial" w:hAnsi="Arial" w:cs="Arial"/>
          <w:sz w:val="24"/>
          <w:szCs w:val="24"/>
          <w:lang w:val="en-US"/>
        </w:rPr>
      </w:pPr>
      <w:r w:rsidRPr="009444E2">
        <w:rPr>
          <w:rFonts w:ascii="Arial" w:hAnsi="Arial" w:cs="Arial"/>
          <w:sz w:val="24"/>
          <w:szCs w:val="24"/>
          <w:lang w:val="en-US"/>
        </w:rPr>
        <w:t>Infrastructure Development: Mega-watt continuous fast-charging stations and automated battery-swapping infrastructure will be established within the mining areas (McKinsey &amp; Company, 2022).</w:t>
      </w:r>
    </w:p>
    <w:p w14:paraId="15C6F0F1" w14:textId="77777777" w:rsidR="00B85A78" w:rsidRPr="00B85A78" w:rsidRDefault="00B85A78" w:rsidP="00B85A78">
      <w:pPr>
        <w:rPr>
          <w:rFonts w:ascii="Arial" w:hAnsi="Arial" w:cs="Arial"/>
          <w:b/>
          <w:bCs/>
          <w:sz w:val="24"/>
          <w:szCs w:val="24"/>
          <w:lang w:val="en-US"/>
        </w:rPr>
      </w:pPr>
      <w:r w:rsidRPr="00B85A78">
        <w:rPr>
          <w:rFonts w:ascii="Arial" w:hAnsi="Arial" w:cs="Arial"/>
          <w:b/>
          <w:bCs/>
          <w:sz w:val="24"/>
          <w:szCs w:val="24"/>
          <w:lang w:val="en-US"/>
        </w:rPr>
        <w:t>2. Medium-Term Phase (2027–2030) – Brand Commercialization &amp; Traceability</w:t>
      </w:r>
    </w:p>
    <w:p w14:paraId="0C16103E" w14:textId="77777777" w:rsidR="00B85A78" w:rsidRPr="00B85A78" w:rsidRDefault="00B85A78" w:rsidP="00B85A78">
      <w:pPr>
        <w:rPr>
          <w:rFonts w:ascii="Arial" w:hAnsi="Arial" w:cs="Arial"/>
          <w:b/>
          <w:bCs/>
          <w:sz w:val="24"/>
          <w:szCs w:val="24"/>
          <w:lang w:val="en-US"/>
        </w:rPr>
      </w:pPr>
      <w:r w:rsidRPr="00B85A78">
        <w:rPr>
          <w:rFonts w:ascii="Arial" w:hAnsi="Arial" w:cs="Arial"/>
          <w:b/>
          <w:bCs/>
          <w:sz w:val="24"/>
          <w:szCs w:val="24"/>
          <w:lang w:val="en-US"/>
        </w:rPr>
        <w:t>Implementation Mechanism:</w:t>
      </w:r>
    </w:p>
    <w:p w14:paraId="6AEC7E2C" w14:textId="77777777" w:rsidR="00B85A78" w:rsidRPr="00B85A78" w:rsidRDefault="00B85A78" w:rsidP="00B85A78">
      <w:pPr>
        <w:pStyle w:val="ListParagraph"/>
        <w:numPr>
          <w:ilvl w:val="0"/>
          <w:numId w:val="48"/>
        </w:numPr>
        <w:rPr>
          <w:rFonts w:ascii="Arial" w:hAnsi="Arial" w:cs="Arial"/>
          <w:sz w:val="24"/>
          <w:szCs w:val="24"/>
          <w:lang w:val="en-US"/>
        </w:rPr>
      </w:pPr>
      <w:r w:rsidRPr="00B85A78">
        <w:rPr>
          <w:rFonts w:ascii="Arial" w:hAnsi="Arial" w:cs="Arial"/>
          <w:sz w:val="24"/>
          <w:szCs w:val="24"/>
          <w:lang w:val="en-US"/>
        </w:rPr>
        <w:t xml:space="preserve">Blockchain Digital Product Passports: BHP will implement blockchain technology within its supply chain. This will enable real-time recording of carbon emissions data at every stage—from the extraction of copper or nickel </w:t>
      </w:r>
      <w:r w:rsidRPr="00B85A78">
        <w:rPr>
          <w:rFonts w:ascii="Arial" w:hAnsi="Arial" w:cs="Arial"/>
          <w:sz w:val="24"/>
          <w:szCs w:val="24"/>
          <w:lang w:val="en-US"/>
        </w:rPr>
        <w:lastRenderedPageBreak/>
        <w:t>at the mine to the final delivery to the customer (</w:t>
      </w:r>
      <w:proofErr w:type="spellStart"/>
      <w:r w:rsidRPr="00B85A78">
        <w:rPr>
          <w:rFonts w:ascii="Arial" w:hAnsi="Arial" w:cs="Arial"/>
          <w:sz w:val="24"/>
          <w:szCs w:val="24"/>
          <w:lang w:val="en-US"/>
        </w:rPr>
        <w:t>Geissdoerfer</w:t>
      </w:r>
      <w:proofErr w:type="spellEnd"/>
      <w:r w:rsidRPr="00B85A78">
        <w:rPr>
          <w:rFonts w:ascii="Arial" w:hAnsi="Arial" w:cs="Arial"/>
          <w:sz w:val="24"/>
          <w:szCs w:val="24"/>
          <w:lang w:val="en-US"/>
        </w:rPr>
        <w:t xml:space="preserve"> et al., 2020; Lieder and Rashid, 2016).</w:t>
      </w:r>
    </w:p>
    <w:p w14:paraId="669FBE64" w14:textId="77777777" w:rsidR="00B85A78" w:rsidRPr="00B85A78" w:rsidRDefault="00B85A78" w:rsidP="00B85A78">
      <w:pPr>
        <w:pStyle w:val="ListParagraph"/>
        <w:numPr>
          <w:ilvl w:val="0"/>
          <w:numId w:val="48"/>
        </w:numPr>
        <w:rPr>
          <w:rFonts w:ascii="Arial" w:hAnsi="Arial" w:cs="Arial"/>
          <w:sz w:val="24"/>
          <w:szCs w:val="24"/>
          <w:lang w:val="en-US"/>
        </w:rPr>
      </w:pPr>
      <w:r w:rsidRPr="00B85A78">
        <w:rPr>
          <w:rFonts w:ascii="Arial" w:hAnsi="Arial" w:cs="Arial"/>
          <w:sz w:val="24"/>
          <w:szCs w:val="24"/>
          <w:lang w:val="en-US"/>
        </w:rPr>
        <w:t>Third-Party Audits: BHP’s low-carbon copper will undergo certification in accordance with 'The Copper Mark' and ISO 14067 standards (OECD, 2022).</w:t>
      </w:r>
    </w:p>
    <w:p w14:paraId="138A7601" w14:textId="5F2C9B2C" w:rsidR="00B85A78" w:rsidRDefault="00B85A78" w:rsidP="00B85A78">
      <w:pPr>
        <w:pStyle w:val="ListParagraph"/>
        <w:numPr>
          <w:ilvl w:val="0"/>
          <w:numId w:val="48"/>
        </w:numPr>
        <w:rPr>
          <w:rFonts w:ascii="Arial" w:hAnsi="Arial" w:cs="Arial"/>
          <w:sz w:val="24"/>
          <w:szCs w:val="24"/>
          <w:lang w:val="en-US"/>
        </w:rPr>
      </w:pPr>
      <w:r w:rsidRPr="00B85A78">
        <w:rPr>
          <w:rFonts w:ascii="Arial" w:hAnsi="Arial" w:cs="Arial"/>
          <w:sz w:val="24"/>
          <w:szCs w:val="24"/>
          <w:lang w:val="en-US"/>
        </w:rPr>
        <w:t>Green Premium Pricing Model: Long-term supply contracts (offtake agreements) will be established with B2B clients (such as electric vehicle manufacturers like Tesla and BMW). These agreements will include legal provisions for charging a "green premium" for certified low-carbon metal (Kotler et al., 2024; Jobber and Ellis-Chadwick, 2019).</w:t>
      </w:r>
    </w:p>
    <w:p w14:paraId="3636CD5D" w14:textId="77777777" w:rsidR="00DD2085" w:rsidRPr="00DD2085" w:rsidRDefault="00DD2085" w:rsidP="00DD2085">
      <w:pPr>
        <w:rPr>
          <w:rFonts w:ascii="Arial" w:hAnsi="Arial" w:cs="Arial"/>
          <w:b/>
          <w:bCs/>
          <w:sz w:val="24"/>
          <w:szCs w:val="24"/>
          <w:lang w:val="en-US"/>
        </w:rPr>
      </w:pPr>
      <w:r w:rsidRPr="00DD2085">
        <w:rPr>
          <w:rFonts w:ascii="Arial" w:hAnsi="Arial" w:cs="Arial"/>
          <w:b/>
          <w:bCs/>
          <w:sz w:val="24"/>
          <w:szCs w:val="24"/>
          <w:lang w:val="en-US"/>
        </w:rPr>
        <w:t>3. Long-Term Phase (2030–2050) – Scope 3 Downstream Partnerships</w:t>
      </w:r>
    </w:p>
    <w:p w14:paraId="6F7127DF" w14:textId="77777777" w:rsidR="00DD2085" w:rsidRPr="00DD2085" w:rsidRDefault="00DD2085" w:rsidP="00DD2085">
      <w:pPr>
        <w:rPr>
          <w:rFonts w:ascii="Arial" w:hAnsi="Arial" w:cs="Arial"/>
          <w:b/>
          <w:bCs/>
          <w:sz w:val="24"/>
          <w:szCs w:val="24"/>
          <w:lang w:val="en-US"/>
        </w:rPr>
      </w:pPr>
      <w:r w:rsidRPr="00DD2085">
        <w:rPr>
          <w:rFonts w:ascii="Arial" w:hAnsi="Arial" w:cs="Arial"/>
          <w:b/>
          <w:bCs/>
          <w:sz w:val="24"/>
          <w:szCs w:val="24"/>
          <w:lang w:val="en-US"/>
        </w:rPr>
        <w:t>Implementation Mechanism:</w:t>
      </w:r>
    </w:p>
    <w:p w14:paraId="0120519C" w14:textId="77777777" w:rsidR="00DD2085" w:rsidRPr="00DD2085" w:rsidRDefault="00DD2085" w:rsidP="00DD2085">
      <w:pPr>
        <w:pStyle w:val="ListParagraph"/>
        <w:numPr>
          <w:ilvl w:val="0"/>
          <w:numId w:val="49"/>
        </w:numPr>
        <w:rPr>
          <w:rFonts w:ascii="Arial" w:hAnsi="Arial" w:cs="Arial"/>
          <w:sz w:val="24"/>
          <w:szCs w:val="24"/>
          <w:lang w:val="en-US"/>
        </w:rPr>
      </w:pPr>
      <w:r w:rsidRPr="00DD2085">
        <w:rPr>
          <w:rFonts w:ascii="Arial" w:hAnsi="Arial" w:cs="Arial"/>
          <w:sz w:val="24"/>
          <w:szCs w:val="24"/>
          <w:lang w:val="en-US"/>
        </w:rPr>
        <w:t>Joint R&amp;D Projects (Joint Ventures): Through joint R&amp;D partnerships with global steel mills (such as POSCO and Mitsubishi), technology for Direct Reduced Iron (DRI) based on Green Hydrogen will be developed (BHP, 2023; World Steel Association, 2023).</w:t>
      </w:r>
    </w:p>
    <w:p w14:paraId="0194267D" w14:textId="77777777" w:rsidR="00DD2085" w:rsidRPr="00DD2085" w:rsidRDefault="00DD2085" w:rsidP="00DD2085">
      <w:pPr>
        <w:pStyle w:val="ListParagraph"/>
        <w:numPr>
          <w:ilvl w:val="0"/>
          <w:numId w:val="49"/>
        </w:numPr>
        <w:rPr>
          <w:rFonts w:ascii="Arial" w:hAnsi="Arial" w:cs="Arial"/>
          <w:sz w:val="24"/>
          <w:szCs w:val="24"/>
          <w:lang w:val="en-US"/>
        </w:rPr>
      </w:pPr>
      <w:r w:rsidRPr="00DD2085">
        <w:rPr>
          <w:rFonts w:ascii="Arial" w:hAnsi="Arial" w:cs="Arial"/>
          <w:sz w:val="24"/>
          <w:szCs w:val="24"/>
          <w:lang w:val="en-US"/>
        </w:rPr>
        <w:t>Shift to High-Grade Feedstock: BHP will increase the proportion of processed high-grade pellets—as opposed to standard iron ore—within its portfolio, thereby helping to reduce emissions at steel mills (BHP, 2024; World Steel Association, 2023).</w:t>
      </w:r>
    </w:p>
    <w:p w14:paraId="33DAE9C2" w14:textId="158D3651" w:rsidR="00891E5C" w:rsidRPr="00DD2085" w:rsidRDefault="00DD2085" w:rsidP="00DD2085">
      <w:pPr>
        <w:pStyle w:val="ListParagraph"/>
        <w:numPr>
          <w:ilvl w:val="0"/>
          <w:numId w:val="49"/>
        </w:numPr>
        <w:rPr>
          <w:rFonts w:ascii="Arial" w:hAnsi="Arial" w:cs="Arial"/>
          <w:sz w:val="24"/>
          <w:szCs w:val="24"/>
          <w:lang w:val="en-US"/>
        </w:rPr>
      </w:pPr>
      <w:r w:rsidRPr="00DD2085">
        <w:rPr>
          <w:rFonts w:ascii="Arial" w:hAnsi="Arial" w:cs="Arial"/>
          <w:sz w:val="24"/>
          <w:szCs w:val="24"/>
          <w:lang w:val="en-US"/>
        </w:rPr>
        <w:t>Carbon Capture, Utilization, and Storage (CCUS Pilot Projects): For steel mills that cannot transition to hydrogen-based processes, BHP will make joint financial investments in carbon capture technologies (IEA, 2023; World Steel Association, 2023).</w:t>
      </w:r>
    </w:p>
    <w:p w14:paraId="74CC738E" w14:textId="7DECC044" w:rsidR="00F86E46" w:rsidRPr="000475A1" w:rsidRDefault="00F86E46" w:rsidP="00F86E46">
      <w:pPr>
        <w:rPr>
          <w:rFonts w:ascii="Arial" w:hAnsi="Arial" w:cs="Arial"/>
          <w:b/>
          <w:bCs/>
          <w:sz w:val="24"/>
          <w:szCs w:val="24"/>
          <w:lang w:val="en-US"/>
        </w:rPr>
      </w:pPr>
      <w:r w:rsidRPr="000475A1">
        <w:rPr>
          <w:rFonts w:ascii="Arial" w:hAnsi="Arial" w:cs="Arial"/>
          <w:b/>
          <w:bCs/>
          <w:sz w:val="24"/>
          <w:szCs w:val="24"/>
          <w:lang w:val="en-US"/>
        </w:rPr>
        <w:t xml:space="preserve">4. Conclusion </w:t>
      </w:r>
    </w:p>
    <w:p w14:paraId="053E0DE6" w14:textId="3E8D348F" w:rsidR="004B5A7F" w:rsidRPr="003819D4" w:rsidRDefault="00F86E46" w:rsidP="00CF35B1">
      <w:pPr>
        <w:rPr>
          <w:rFonts w:ascii="Arial" w:hAnsi="Arial" w:cs="Arial"/>
          <w:sz w:val="24"/>
          <w:szCs w:val="24"/>
          <w:lang w:val="en-US"/>
        </w:rPr>
      </w:pPr>
      <w:r w:rsidRPr="003819D4">
        <w:rPr>
          <w:rFonts w:ascii="Arial" w:hAnsi="Arial" w:cs="Arial"/>
          <w:sz w:val="24"/>
          <w:szCs w:val="24"/>
          <w:lang w:val="en-US"/>
        </w:rPr>
        <w:t>By adopting Ansoff’s Product Development growth vector and Porter’s Differentiation Strategy, BHP Group Limited can decouple its business growth from carbon emissions. Transitioning from a low-cost bulk supplier to a premium provider of certified low-carbon minerals will help BHP mitigate regulatory risks (such as EU CBAM and the Safeguard Mechanism), command higher prices from customers, and secure a sustainable competitive advantage in a net-zero economy.</w:t>
      </w:r>
    </w:p>
    <w:p w14:paraId="13B4014A" w14:textId="77777777" w:rsidR="000475A1" w:rsidRDefault="000475A1" w:rsidP="004B5A7F">
      <w:pPr>
        <w:rPr>
          <w:rFonts w:ascii="Arial" w:hAnsi="Arial" w:cs="Arial"/>
          <w:b/>
          <w:bCs/>
          <w:sz w:val="24"/>
          <w:szCs w:val="24"/>
        </w:rPr>
      </w:pPr>
    </w:p>
    <w:p w14:paraId="17F4D8C7" w14:textId="77777777" w:rsidR="000475A1" w:rsidRDefault="000475A1" w:rsidP="004B5A7F">
      <w:pPr>
        <w:rPr>
          <w:rFonts w:ascii="Arial" w:hAnsi="Arial" w:cs="Arial"/>
          <w:b/>
          <w:bCs/>
          <w:sz w:val="24"/>
          <w:szCs w:val="24"/>
        </w:rPr>
      </w:pPr>
    </w:p>
    <w:p w14:paraId="03A30528" w14:textId="77777777" w:rsidR="000475A1" w:rsidRDefault="000475A1" w:rsidP="004B5A7F">
      <w:pPr>
        <w:rPr>
          <w:rFonts w:ascii="Arial" w:hAnsi="Arial" w:cs="Arial"/>
          <w:b/>
          <w:bCs/>
          <w:sz w:val="24"/>
          <w:szCs w:val="24"/>
        </w:rPr>
      </w:pPr>
    </w:p>
    <w:p w14:paraId="285B30BF" w14:textId="77777777" w:rsidR="000475A1" w:rsidRDefault="000475A1" w:rsidP="004B5A7F">
      <w:pPr>
        <w:rPr>
          <w:rFonts w:ascii="Arial" w:hAnsi="Arial" w:cs="Arial"/>
          <w:b/>
          <w:bCs/>
          <w:sz w:val="24"/>
          <w:szCs w:val="24"/>
        </w:rPr>
      </w:pPr>
    </w:p>
    <w:p w14:paraId="6E17A1F0" w14:textId="77777777" w:rsidR="000475A1" w:rsidRDefault="000475A1" w:rsidP="004B5A7F">
      <w:pPr>
        <w:rPr>
          <w:rFonts w:ascii="Arial" w:hAnsi="Arial" w:cs="Arial"/>
          <w:b/>
          <w:bCs/>
          <w:sz w:val="24"/>
          <w:szCs w:val="24"/>
        </w:rPr>
      </w:pPr>
    </w:p>
    <w:p w14:paraId="3E1D1E90" w14:textId="77777777" w:rsidR="000475A1" w:rsidRDefault="000475A1" w:rsidP="004B5A7F">
      <w:pPr>
        <w:rPr>
          <w:rFonts w:ascii="Arial" w:hAnsi="Arial" w:cs="Arial"/>
          <w:b/>
          <w:bCs/>
          <w:sz w:val="24"/>
          <w:szCs w:val="24"/>
        </w:rPr>
      </w:pPr>
    </w:p>
    <w:p w14:paraId="39A045B1" w14:textId="77777777" w:rsidR="000475A1" w:rsidRDefault="000475A1" w:rsidP="004B5A7F">
      <w:pPr>
        <w:rPr>
          <w:rFonts w:ascii="Arial" w:hAnsi="Arial" w:cs="Arial"/>
          <w:b/>
          <w:bCs/>
          <w:sz w:val="24"/>
          <w:szCs w:val="24"/>
        </w:rPr>
      </w:pPr>
    </w:p>
    <w:p w14:paraId="5EAEF501" w14:textId="77777777" w:rsidR="000475A1" w:rsidRDefault="000475A1" w:rsidP="004B5A7F">
      <w:pPr>
        <w:rPr>
          <w:rFonts w:ascii="Arial" w:hAnsi="Arial" w:cs="Arial"/>
          <w:b/>
          <w:bCs/>
          <w:sz w:val="24"/>
          <w:szCs w:val="24"/>
        </w:rPr>
      </w:pPr>
    </w:p>
    <w:p w14:paraId="5FC3CFE8" w14:textId="77777777" w:rsidR="001B32CD" w:rsidRDefault="001B32CD" w:rsidP="004B5A7F">
      <w:pPr>
        <w:rPr>
          <w:rFonts w:ascii="Arial" w:hAnsi="Arial" w:cs="Arial"/>
          <w:b/>
          <w:bCs/>
          <w:sz w:val="24"/>
          <w:szCs w:val="24"/>
        </w:rPr>
      </w:pPr>
    </w:p>
    <w:p w14:paraId="61C6B579" w14:textId="75F554D1" w:rsidR="004B5A7F" w:rsidRPr="003819D4" w:rsidRDefault="004B5A7F" w:rsidP="004B5A7F">
      <w:pPr>
        <w:rPr>
          <w:rFonts w:ascii="Arial" w:hAnsi="Arial" w:cs="Arial"/>
          <w:b/>
          <w:bCs/>
          <w:sz w:val="24"/>
          <w:szCs w:val="24"/>
        </w:rPr>
      </w:pPr>
      <w:r w:rsidRPr="003819D4">
        <w:rPr>
          <w:rFonts w:ascii="Arial" w:hAnsi="Arial" w:cs="Arial"/>
          <w:b/>
          <w:bCs/>
          <w:sz w:val="24"/>
          <w:szCs w:val="24"/>
        </w:rPr>
        <w:lastRenderedPageBreak/>
        <w:t>Task 3: Managerial and Professional Reflection</w:t>
      </w:r>
    </w:p>
    <w:p w14:paraId="70858BCB" w14:textId="77777777" w:rsidR="004B5A7F" w:rsidRPr="000475A1" w:rsidRDefault="004B5A7F" w:rsidP="004B5A7F">
      <w:pPr>
        <w:rPr>
          <w:rFonts w:ascii="Arial" w:hAnsi="Arial" w:cs="Arial"/>
          <w:b/>
          <w:bCs/>
          <w:sz w:val="24"/>
          <w:szCs w:val="24"/>
          <w:lang w:val="en-US"/>
        </w:rPr>
      </w:pPr>
      <w:r w:rsidRPr="000475A1">
        <w:rPr>
          <w:rFonts w:ascii="Arial" w:hAnsi="Arial" w:cs="Arial"/>
          <w:b/>
          <w:bCs/>
          <w:sz w:val="24"/>
          <w:szCs w:val="24"/>
          <w:lang w:val="en-US"/>
        </w:rPr>
        <w:t>1. Justification of Key Decisions</w:t>
      </w:r>
    </w:p>
    <w:p w14:paraId="4E50D18C" w14:textId="77777777" w:rsidR="004B5A7F" w:rsidRPr="003819D4" w:rsidRDefault="004B5A7F" w:rsidP="004B5A7F">
      <w:pPr>
        <w:rPr>
          <w:rFonts w:ascii="Arial" w:hAnsi="Arial" w:cs="Arial"/>
          <w:sz w:val="24"/>
          <w:szCs w:val="24"/>
          <w:lang w:val="en-US"/>
        </w:rPr>
      </w:pPr>
      <w:r w:rsidRPr="003819D4">
        <w:rPr>
          <w:rFonts w:ascii="Arial" w:hAnsi="Arial" w:cs="Arial"/>
          <w:sz w:val="24"/>
          <w:szCs w:val="24"/>
          <w:lang w:val="en-US"/>
        </w:rPr>
        <w:t>There was a strong business rationale for selecting BHP Group Limited when evaluating how a major resource enterprise can successfully navigate the transition to low-carbon energy. As the world’s largest diversified mining company, BHP’s scale and dominance in critical resources—such as copper, nickel, and iron ore—serve as a representative case study for the decarbonization of the entire mining sector (BHP, 2024).</w:t>
      </w:r>
    </w:p>
    <w:p w14:paraId="13E133BC" w14:textId="77777777" w:rsidR="004B5A7F" w:rsidRPr="003819D4" w:rsidRDefault="004B5A7F" w:rsidP="004B5A7F">
      <w:pPr>
        <w:rPr>
          <w:rFonts w:ascii="Arial" w:hAnsi="Arial" w:cs="Arial"/>
          <w:sz w:val="24"/>
          <w:szCs w:val="24"/>
          <w:lang w:val="en-US"/>
        </w:rPr>
      </w:pPr>
      <w:r w:rsidRPr="003819D4">
        <w:rPr>
          <w:rFonts w:ascii="Arial" w:hAnsi="Arial" w:cs="Arial"/>
          <w:sz w:val="24"/>
          <w:szCs w:val="24"/>
          <w:lang w:val="en-US"/>
        </w:rPr>
        <w:t xml:space="preserve">In Task 1, specific external marketing factors were selected to identify the primary </w:t>
      </w:r>
      <w:proofErr w:type="gramStart"/>
      <w:r w:rsidRPr="003819D4">
        <w:rPr>
          <w:rFonts w:ascii="Arial" w:hAnsi="Arial" w:cs="Arial"/>
          <w:sz w:val="24"/>
          <w:szCs w:val="24"/>
          <w:lang w:val="en-US"/>
        </w:rPr>
        <w:t>forces</w:t>
      </w:r>
      <w:proofErr w:type="gramEnd"/>
      <w:r w:rsidRPr="003819D4">
        <w:rPr>
          <w:rFonts w:ascii="Arial" w:hAnsi="Arial" w:cs="Arial"/>
          <w:sz w:val="24"/>
          <w:szCs w:val="24"/>
          <w:lang w:val="en-US"/>
        </w:rPr>
        <w:t xml:space="preserve"> driving change within the mining industry:</w:t>
      </w:r>
    </w:p>
    <w:p w14:paraId="77CEB1FE" w14:textId="77777777" w:rsidR="004B5A7F" w:rsidRPr="003819D4" w:rsidRDefault="004B5A7F" w:rsidP="004B5A7F">
      <w:pPr>
        <w:rPr>
          <w:rFonts w:ascii="Arial" w:hAnsi="Arial" w:cs="Arial"/>
          <w:sz w:val="24"/>
          <w:szCs w:val="24"/>
          <w:lang w:val="en-US"/>
        </w:rPr>
      </w:pPr>
      <w:r w:rsidRPr="003819D4">
        <w:rPr>
          <w:rFonts w:ascii="Arial" w:hAnsi="Arial" w:cs="Arial"/>
          <w:sz w:val="24"/>
          <w:szCs w:val="24"/>
          <w:lang w:val="en-US"/>
        </w:rPr>
        <w:t>The natural environment was prioritized because physical risks—such as severe water scarcity in Chile’s Atacama Desert—directly impact production costs. Furthermore, global decarbonization efforts have triggered an unprecedented surge in demand for copper and nickel (IEA, 2023).</w:t>
      </w:r>
    </w:p>
    <w:p w14:paraId="1A264CA0" w14:textId="246A7C72" w:rsidR="004B5A7F" w:rsidRPr="008D4C06" w:rsidRDefault="008D4C06" w:rsidP="004B5A7F">
      <w:pPr>
        <w:rPr>
          <w:rFonts w:ascii="Arial" w:hAnsi="Arial" w:cs="Arial"/>
          <w:sz w:val="24"/>
          <w:szCs w:val="24"/>
        </w:rPr>
      </w:pPr>
      <w:r w:rsidRPr="008D4C06">
        <w:rPr>
          <w:rFonts w:ascii="Arial" w:hAnsi="Arial" w:cs="Arial"/>
          <w:sz w:val="24"/>
          <w:szCs w:val="24"/>
        </w:rPr>
        <w:t xml:space="preserve">Political and Legal </w:t>
      </w:r>
      <w:r w:rsidR="004B5A7F" w:rsidRPr="003819D4">
        <w:rPr>
          <w:rFonts w:ascii="Arial" w:hAnsi="Arial" w:cs="Arial"/>
          <w:sz w:val="24"/>
          <w:szCs w:val="24"/>
          <w:lang w:val="en-US"/>
        </w:rPr>
        <w:t>(such as the EU CBAM and Australia’s Safeguard Mechanism), along with the preferences of customers and ESG investors, were examined to assess how BHP can avoid regulatory penalties and maintain its 'license to operate' within the market (Porter &amp; van der Linde, 1995).</w:t>
      </w:r>
    </w:p>
    <w:p w14:paraId="781FCD01" w14:textId="1E0DDEFF" w:rsidR="00A2634D" w:rsidRPr="003819D4" w:rsidRDefault="00A2634D" w:rsidP="004B5A7F">
      <w:pPr>
        <w:rPr>
          <w:rFonts w:ascii="Arial" w:hAnsi="Arial" w:cs="Arial"/>
          <w:sz w:val="24"/>
          <w:szCs w:val="24"/>
          <w:lang w:val="en-US"/>
        </w:rPr>
      </w:pPr>
      <w:r w:rsidRPr="003819D4">
        <w:rPr>
          <w:rFonts w:ascii="Arial" w:hAnsi="Arial" w:cs="Arial"/>
          <w:sz w:val="24"/>
          <w:szCs w:val="24"/>
          <w:lang w:val="en-US"/>
        </w:rPr>
        <w:t>In Task 2, the recommendation to adopt Ansoff’s Product Development strategy and Porter’s Differentiation Strategy was based on the rationale that, rather than merely acting as a low-cost bulk supplier, BHP could produce "Certified Low-Carbon Copper." This would allow the company to command a "green premium" from automotive manufacturers (such as Tesla and BMW) while also avoiding carbon tariffs (Kotler et al., 2024).</w:t>
      </w:r>
    </w:p>
    <w:p w14:paraId="67484EB2" w14:textId="77777777" w:rsidR="004D00E9" w:rsidRPr="000475A1" w:rsidRDefault="004D00E9" w:rsidP="004D00E9">
      <w:pPr>
        <w:rPr>
          <w:rFonts w:ascii="Arial" w:hAnsi="Arial" w:cs="Arial"/>
          <w:b/>
          <w:bCs/>
          <w:sz w:val="24"/>
          <w:szCs w:val="24"/>
          <w:lang w:val="en-US"/>
        </w:rPr>
      </w:pPr>
      <w:r w:rsidRPr="000475A1">
        <w:rPr>
          <w:rFonts w:ascii="Arial" w:hAnsi="Arial" w:cs="Arial"/>
          <w:b/>
          <w:bCs/>
          <w:sz w:val="24"/>
          <w:szCs w:val="24"/>
          <w:lang w:val="en-US"/>
        </w:rPr>
        <w:t>2. Analytical Limitations &amp; Gaps</w:t>
      </w:r>
    </w:p>
    <w:p w14:paraId="53573265" w14:textId="5BFFE57E" w:rsidR="004D00E9" w:rsidRPr="003819D4" w:rsidRDefault="004D00E9" w:rsidP="004D00E9">
      <w:pPr>
        <w:rPr>
          <w:rFonts w:ascii="Arial" w:hAnsi="Arial" w:cs="Arial"/>
          <w:sz w:val="24"/>
          <w:szCs w:val="24"/>
          <w:lang w:val="en-US"/>
        </w:rPr>
      </w:pPr>
      <w:r w:rsidRPr="003819D4">
        <w:rPr>
          <w:rFonts w:ascii="Arial" w:hAnsi="Arial" w:cs="Arial"/>
          <w:sz w:val="24"/>
          <w:szCs w:val="24"/>
          <w:lang w:val="en-US"/>
        </w:rPr>
        <w:t xml:space="preserve">While this report provides a robust strategic framework, as a practical management consultant, it is necessary to acknowledge the limitations of </w:t>
      </w:r>
      <w:proofErr w:type="gramStart"/>
      <w:r w:rsidRPr="003819D4">
        <w:rPr>
          <w:rFonts w:ascii="Arial" w:hAnsi="Arial" w:cs="Arial"/>
          <w:sz w:val="24"/>
          <w:szCs w:val="24"/>
          <w:lang w:val="en-US"/>
        </w:rPr>
        <w:t>an analysis</w:t>
      </w:r>
      <w:proofErr w:type="gramEnd"/>
      <w:r w:rsidRPr="003819D4">
        <w:rPr>
          <w:rFonts w:ascii="Arial" w:hAnsi="Arial" w:cs="Arial"/>
          <w:sz w:val="24"/>
          <w:szCs w:val="24"/>
          <w:lang w:val="en-US"/>
        </w:rPr>
        <w:t xml:space="preserve"> based on secondary (publicly available) data:</w:t>
      </w:r>
    </w:p>
    <w:p w14:paraId="31C48E0A" w14:textId="77777777" w:rsidR="004D00E9" w:rsidRPr="003819D4" w:rsidRDefault="004D00E9" w:rsidP="004D00E9">
      <w:pPr>
        <w:rPr>
          <w:rFonts w:ascii="Arial" w:hAnsi="Arial" w:cs="Arial"/>
          <w:sz w:val="24"/>
          <w:szCs w:val="24"/>
          <w:lang w:val="en-US"/>
        </w:rPr>
      </w:pPr>
    </w:p>
    <w:p w14:paraId="31F4464C" w14:textId="232E360B" w:rsidR="004D00E9" w:rsidRPr="003819D4" w:rsidRDefault="003819D4" w:rsidP="004D00E9">
      <w:pPr>
        <w:rPr>
          <w:rFonts w:ascii="Arial" w:hAnsi="Arial" w:cs="Arial"/>
          <w:sz w:val="24"/>
          <w:szCs w:val="24"/>
          <w:lang w:val="en-US"/>
        </w:rPr>
      </w:pPr>
      <w:r w:rsidRPr="003819D4">
        <w:rPr>
          <w:rFonts w:ascii="Arial" w:hAnsi="Arial" w:cs="Arial"/>
          <w:noProof/>
          <w:sz w:val="24"/>
          <w:szCs w:val="24"/>
          <w:lang w:val="en-US"/>
        </w:rPr>
        <w:lastRenderedPageBreak/>
        <w:drawing>
          <wp:inline distT="0" distB="0" distL="0" distR="0" wp14:anchorId="3EDBF7B2" wp14:editId="56891C2C">
            <wp:extent cx="5731510" cy="3820795"/>
            <wp:effectExtent l="0" t="0" r="2540" b="8255"/>
            <wp:docPr id="127329604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3296049" name="Picture 1273296049"/>
                    <pic:cNvPicPr/>
                  </pic:nvPicPr>
                  <pic:blipFill>
                    <a:blip r:embed="rId9" cstate="print">
                      <a:extLst>
                        <a:ext uri="{28A0092B-C50C-407E-A947-70E740481C1C}">
                          <a14:useLocalDpi xmlns:a14="http://schemas.microsoft.com/office/drawing/2010/main" val="0"/>
                        </a:ext>
                      </a:extLst>
                    </a:blip>
                    <a:stretch>
                      <a:fillRect/>
                    </a:stretch>
                  </pic:blipFill>
                  <pic:spPr>
                    <a:xfrm>
                      <a:off x="0" y="0"/>
                      <a:ext cx="5731510" cy="3820795"/>
                    </a:xfrm>
                    <a:prstGeom prst="rect">
                      <a:avLst/>
                    </a:prstGeom>
                  </pic:spPr>
                </pic:pic>
              </a:graphicData>
            </a:graphic>
          </wp:inline>
        </w:drawing>
      </w:r>
    </w:p>
    <w:p w14:paraId="091508F3" w14:textId="77777777" w:rsidR="004D00E9" w:rsidRPr="003819D4" w:rsidRDefault="004D00E9" w:rsidP="004C6E97">
      <w:pPr>
        <w:pStyle w:val="ListParagraph"/>
        <w:numPr>
          <w:ilvl w:val="0"/>
          <w:numId w:val="15"/>
        </w:numPr>
        <w:rPr>
          <w:rFonts w:ascii="Arial" w:hAnsi="Arial" w:cs="Arial"/>
          <w:sz w:val="24"/>
          <w:szCs w:val="24"/>
          <w:lang w:val="en-US"/>
        </w:rPr>
      </w:pPr>
      <w:r w:rsidRPr="003819D4">
        <w:rPr>
          <w:rFonts w:ascii="Arial" w:hAnsi="Arial" w:cs="Arial"/>
          <w:sz w:val="24"/>
          <w:szCs w:val="24"/>
          <w:lang w:val="en-US"/>
        </w:rPr>
        <w:t>Detailed Financial and Operational Data: Public reports present high-level targets but do not disclose mine-level capital expenditure (</w:t>
      </w:r>
      <w:proofErr w:type="spellStart"/>
      <w:r w:rsidRPr="003819D4">
        <w:rPr>
          <w:rFonts w:ascii="Arial" w:hAnsi="Arial" w:cs="Arial"/>
          <w:sz w:val="24"/>
          <w:szCs w:val="24"/>
          <w:lang w:val="en-US"/>
        </w:rPr>
        <w:t>CapEx</w:t>
      </w:r>
      <w:proofErr w:type="spellEnd"/>
      <w:r w:rsidRPr="003819D4">
        <w:rPr>
          <w:rFonts w:ascii="Arial" w:hAnsi="Arial" w:cs="Arial"/>
          <w:sz w:val="24"/>
          <w:szCs w:val="24"/>
          <w:lang w:val="en-US"/>
        </w:rPr>
        <w:t>), the payback period for return on investment (ROI), or the actual operational expenditure (</w:t>
      </w:r>
      <w:proofErr w:type="spellStart"/>
      <w:r w:rsidRPr="003819D4">
        <w:rPr>
          <w:rFonts w:ascii="Arial" w:hAnsi="Arial" w:cs="Arial"/>
          <w:sz w:val="24"/>
          <w:szCs w:val="24"/>
          <w:lang w:val="en-US"/>
        </w:rPr>
        <w:t>OpEx</w:t>
      </w:r>
      <w:proofErr w:type="spellEnd"/>
      <w:r w:rsidRPr="003819D4">
        <w:rPr>
          <w:rFonts w:ascii="Arial" w:hAnsi="Arial" w:cs="Arial"/>
          <w:sz w:val="24"/>
          <w:szCs w:val="24"/>
          <w:lang w:val="en-US"/>
        </w:rPr>
        <w:t>) associated with transitioning from diesel to electric operations (McKinsey &amp; Company, 2022).</w:t>
      </w:r>
    </w:p>
    <w:p w14:paraId="7A5893AE" w14:textId="66CBCE02" w:rsidR="004D00E9" w:rsidRPr="003819D4" w:rsidRDefault="004D00E9" w:rsidP="004C6E97">
      <w:pPr>
        <w:pStyle w:val="ListParagraph"/>
        <w:numPr>
          <w:ilvl w:val="0"/>
          <w:numId w:val="15"/>
        </w:numPr>
        <w:rPr>
          <w:rFonts w:ascii="Arial" w:hAnsi="Arial" w:cs="Arial"/>
          <w:sz w:val="24"/>
          <w:szCs w:val="24"/>
          <w:lang w:val="en-US"/>
        </w:rPr>
      </w:pPr>
      <w:r w:rsidRPr="003819D4">
        <w:rPr>
          <w:rFonts w:ascii="Arial" w:hAnsi="Arial" w:cs="Arial"/>
          <w:sz w:val="24"/>
          <w:szCs w:val="24"/>
          <w:lang w:val="en-US"/>
        </w:rPr>
        <w:t>Scope 3 Emission Risk: More than 90% of BHP’s carbon footprint is generated by steel mills in Asia (Scope 3). Secondary reports do not provide a reliable estimate of when these third-party steel mills will adopt green hydrogen technology.</w:t>
      </w:r>
    </w:p>
    <w:p w14:paraId="2F856D18" w14:textId="77777777" w:rsidR="004C6E97" w:rsidRPr="000475A1" w:rsidRDefault="004C6E97" w:rsidP="004C6E97">
      <w:pPr>
        <w:rPr>
          <w:rFonts w:ascii="Arial" w:hAnsi="Arial" w:cs="Arial"/>
          <w:b/>
          <w:bCs/>
          <w:sz w:val="24"/>
          <w:szCs w:val="24"/>
          <w:lang w:val="en-US"/>
        </w:rPr>
      </w:pPr>
      <w:r w:rsidRPr="000475A1">
        <w:rPr>
          <w:rFonts w:ascii="Arial" w:hAnsi="Arial" w:cs="Arial"/>
          <w:b/>
          <w:bCs/>
          <w:sz w:val="24"/>
          <w:szCs w:val="24"/>
          <w:lang w:val="en-US"/>
        </w:rPr>
        <w:t>3. Additional Information a Real Consultant Would Seek</w:t>
      </w:r>
    </w:p>
    <w:p w14:paraId="2CB6F7B4" w14:textId="77777777" w:rsidR="004C6E97" w:rsidRPr="003819D4" w:rsidRDefault="004C6E97" w:rsidP="004C6E97">
      <w:pPr>
        <w:rPr>
          <w:rFonts w:ascii="Arial" w:hAnsi="Arial" w:cs="Arial"/>
          <w:sz w:val="24"/>
          <w:szCs w:val="24"/>
          <w:lang w:val="en-US"/>
        </w:rPr>
      </w:pPr>
      <w:r w:rsidRPr="003819D4">
        <w:rPr>
          <w:rFonts w:ascii="Arial" w:hAnsi="Arial" w:cs="Arial"/>
          <w:sz w:val="24"/>
          <w:szCs w:val="24"/>
          <w:lang w:val="en-US"/>
        </w:rPr>
        <w:t>Before finalizing any recommendations, a real-world consulting team would require the following details:</w:t>
      </w:r>
    </w:p>
    <w:p w14:paraId="58E29620" w14:textId="77777777" w:rsidR="004C6E97" w:rsidRPr="003819D4" w:rsidRDefault="004C6E97" w:rsidP="004C6E97">
      <w:pPr>
        <w:pStyle w:val="ListParagraph"/>
        <w:numPr>
          <w:ilvl w:val="0"/>
          <w:numId w:val="16"/>
        </w:numPr>
        <w:rPr>
          <w:rFonts w:ascii="Arial" w:hAnsi="Arial" w:cs="Arial"/>
          <w:sz w:val="24"/>
          <w:szCs w:val="24"/>
          <w:lang w:val="en-US"/>
        </w:rPr>
      </w:pPr>
      <w:r w:rsidRPr="003819D4">
        <w:rPr>
          <w:rFonts w:ascii="Arial" w:hAnsi="Arial" w:cs="Arial"/>
          <w:sz w:val="24"/>
          <w:szCs w:val="24"/>
          <w:lang w:val="en-US"/>
        </w:rPr>
        <w:t>Internal Site-Level Audits: Direct access to engineering and energy management data from major mines, such as those at Escondida and Pilbara.</w:t>
      </w:r>
    </w:p>
    <w:p w14:paraId="0C4C6DAB" w14:textId="77777777" w:rsidR="004C6E97" w:rsidRPr="003819D4" w:rsidRDefault="004C6E97" w:rsidP="004C6E97">
      <w:pPr>
        <w:pStyle w:val="ListParagraph"/>
        <w:numPr>
          <w:ilvl w:val="0"/>
          <w:numId w:val="16"/>
        </w:numPr>
        <w:rPr>
          <w:rFonts w:ascii="Arial" w:hAnsi="Arial" w:cs="Arial"/>
          <w:sz w:val="24"/>
          <w:szCs w:val="24"/>
          <w:lang w:val="en-US"/>
        </w:rPr>
      </w:pPr>
      <w:r w:rsidRPr="003819D4">
        <w:rPr>
          <w:rFonts w:ascii="Arial" w:hAnsi="Arial" w:cs="Arial"/>
          <w:sz w:val="24"/>
          <w:szCs w:val="24"/>
          <w:lang w:val="en-US"/>
        </w:rPr>
        <w:t>Stakeholder Interviews: Conducting price-sensitivity analysis by engaging with key buyers in the automotive and construction sectors to determine the "green premium" they are willing to pay.</w:t>
      </w:r>
    </w:p>
    <w:p w14:paraId="3C17E9F7" w14:textId="0E586CB7" w:rsidR="004C6E97" w:rsidRDefault="004C6E97" w:rsidP="004C6E97">
      <w:pPr>
        <w:pStyle w:val="ListParagraph"/>
        <w:numPr>
          <w:ilvl w:val="0"/>
          <w:numId w:val="16"/>
        </w:numPr>
        <w:rPr>
          <w:rFonts w:ascii="Arial" w:hAnsi="Arial" w:cs="Arial"/>
          <w:sz w:val="24"/>
          <w:szCs w:val="24"/>
          <w:lang w:val="en-US"/>
        </w:rPr>
      </w:pPr>
      <w:r w:rsidRPr="003819D4">
        <w:rPr>
          <w:rFonts w:ascii="Arial" w:hAnsi="Arial" w:cs="Arial"/>
          <w:sz w:val="24"/>
          <w:szCs w:val="24"/>
          <w:lang w:val="en-US"/>
        </w:rPr>
        <w:t>Geopolitical Risk Modeling: Performing advanced scenario planning regarding carbon taxes, trade policies, and mineral protectionism across various countries (World Bank, 2023).</w:t>
      </w:r>
    </w:p>
    <w:p w14:paraId="31FB1DA1" w14:textId="77777777" w:rsidR="00E91C99" w:rsidRDefault="00E91C99" w:rsidP="00E91C99">
      <w:pPr>
        <w:rPr>
          <w:rFonts w:ascii="Arial" w:hAnsi="Arial" w:cs="Arial"/>
          <w:sz w:val="24"/>
          <w:szCs w:val="24"/>
          <w:lang w:val="en-US"/>
        </w:rPr>
      </w:pPr>
    </w:p>
    <w:p w14:paraId="0842CEAF" w14:textId="77777777" w:rsidR="000475A1" w:rsidRDefault="000475A1" w:rsidP="00E91C99">
      <w:pPr>
        <w:rPr>
          <w:rFonts w:ascii="Arial" w:hAnsi="Arial" w:cs="Arial"/>
          <w:sz w:val="24"/>
          <w:szCs w:val="24"/>
          <w:lang w:val="en-US"/>
        </w:rPr>
      </w:pPr>
    </w:p>
    <w:p w14:paraId="4BA19C1C" w14:textId="77777777" w:rsidR="00390216" w:rsidRDefault="00E91C99" w:rsidP="00390216">
      <w:pPr>
        <w:rPr>
          <w:rFonts w:ascii="Arial" w:hAnsi="Arial" w:cs="Arial"/>
          <w:sz w:val="24"/>
          <w:szCs w:val="24"/>
          <w:lang w:val="en-US"/>
        </w:rPr>
      </w:pPr>
      <w:r w:rsidRPr="00EE2E0A">
        <w:rPr>
          <w:rFonts w:ascii="Arial" w:hAnsi="Arial" w:cs="Arial"/>
          <w:b/>
          <w:bCs/>
          <w:sz w:val="24"/>
          <w:szCs w:val="24"/>
          <w:lang w:val="en-US"/>
        </w:rPr>
        <w:lastRenderedPageBreak/>
        <w:t>References</w:t>
      </w:r>
      <w:r>
        <w:rPr>
          <w:rFonts w:ascii="Arial" w:hAnsi="Arial" w:cs="Arial"/>
          <w:sz w:val="24"/>
          <w:szCs w:val="24"/>
          <w:lang w:val="en-US"/>
        </w:rPr>
        <w:t>:</w:t>
      </w:r>
    </w:p>
    <w:p w14:paraId="14D55A24" w14:textId="5F22EA04" w:rsidR="00E91C99" w:rsidRPr="00390216" w:rsidRDefault="00E91C99" w:rsidP="00390216">
      <w:pPr>
        <w:pStyle w:val="ListParagraph"/>
        <w:numPr>
          <w:ilvl w:val="0"/>
          <w:numId w:val="43"/>
        </w:numPr>
        <w:rPr>
          <w:rFonts w:ascii="Arial" w:hAnsi="Arial" w:cs="Arial"/>
          <w:sz w:val="24"/>
          <w:szCs w:val="24"/>
          <w:lang w:val="en-US"/>
        </w:rPr>
      </w:pPr>
      <w:r w:rsidRPr="00390216">
        <w:rPr>
          <w:rFonts w:ascii="Arial" w:hAnsi="Arial" w:cs="Arial"/>
          <w:sz w:val="24"/>
          <w:szCs w:val="24"/>
        </w:rPr>
        <w:t xml:space="preserve">BHP. (2023) </w:t>
      </w:r>
      <w:r w:rsidRPr="00390216">
        <w:rPr>
          <w:rFonts w:ascii="Arial" w:hAnsi="Arial" w:cs="Arial"/>
          <w:i/>
          <w:iCs/>
          <w:sz w:val="24"/>
          <w:szCs w:val="24"/>
        </w:rPr>
        <w:t>BHP Climate Transition Action Plan 2023</w:t>
      </w:r>
      <w:r w:rsidRPr="00390216">
        <w:rPr>
          <w:rFonts w:ascii="Arial" w:hAnsi="Arial" w:cs="Arial"/>
          <w:sz w:val="24"/>
          <w:szCs w:val="24"/>
        </w:rPr>
        <w:t>. Melbourne: BHP Group Limited.</w:t>
      </w:r>
    </w:p>
    <w:p w14:paraId="57EFC382" w14:textId="53091516" w:rsidR="00E91C99" w:rsidRPr="00390216" w:rsidRDefault="00E91C99" w:rsidP="00390216">
      <w:pPr>
        <w:pStyle w:val="ListParagraph"/>
        <w:numPr>
          <w:ilvl w:val="0"/>
          <w:numId w:val="43"/>
        </w:numPr>
        <w:rPr>
          <w:rFonts w:ascii="Arial" w:hAnsi="Arial" w:cs="Arial"/>
          <w:sz w:val="24"/>
          <w:szCs w:val="24"/>
        </w:rPr>
      </w:pPr>
      <w:r w:rsidRPr="00390216">
        <w:rPr>
          <w:rFonts w:ascii="Arial" w:hAnsi="Arial" w:cs="Arial"/>
          <w:sz w:val="24"/>
          <w:szCs w:val="24"/>
        </w:rPr>
        <w:t xml:space="preserve">BHP. (2024) </w:t>
      </w:r>
      <w:r w:rsidRPr="00390216">
        <w:rPr>
          <w:rFonts w:ascii="Arial" w:hAnsi="Arial" w:cs="Arial"/>
          <w:i/>
          <w:iCs/>
          <w:sz w:val="24"/>
          <w:szCs w:val="24"/>
        </w:rPr>
        <w:t>BHP Annual Report 2024</w:t>
      </w:r>
      <w:r w:rsidRPr="00390216">
        <w:rPr>
          <w:rFonts w:ascii="Arial" w:hAnsi="Arial" w:cs="Arial"/>
          <w:sz w:val="24"/>
          <w:szCs w:val="24"/>
        </w:rPr>
        <w:t>. Melbourne: BHP Group Limited.</w:t>
      </w:r>
    </w:p>
    <w:p w14:paraId="242C476B" w14:textId="21881D14" w:rsidR="00E91C99" w:rsidRPr="00390216" w:rsidRDefault="00E91C99" w:rsidP="00390216">
      <w:pPr>
        <w:pStyle w:val="ListParagraph"/>
        <w:numPr>
          <w:ilvl w:val="0"/>
          <w:numId w:val="43"/>
        </w:numPr>
        <w:rPr>
          <w:rFonts w:ascii="Arial" w:hAnsi="Arial" w:cs="Arial"/>
          <w:sz w:val="24"/>
          <w:szCs w:val="24"/>
        </w:rPr>
      </w:pPr>
      <w:r w:rsidRPr="00390216">
        <w:rPr>
          <w:rFonts w:ascii="Arial" w:hAnsi="Arial" w:cs="Arial"/>
          <w:sz w:val="24"/>
          <w:szCs w:val="24"/>
        </w:rPr>
        <w:t xml:space="preserve">Ansoff, H.I. (1957) ‘Strategies for diversification’, </w:t>
      </w:r>
      <w:r w:rsidRPr="00390216">
        <w:rPr>
          <w:rFonts w:ascii="Arial" w:hAnsi="Arial" w:cs="Arial"/>
          <w:i/>
          <w:iCs/>
          <w:sz w:val="24"/>
          <w:szCs w:val="24"/>
        </w:rPr>
        <w:t>Harvard Business Review</w:t>
      </w:r>
      <w:r w:rsidRPr="00390216">
        <w:rPr>
          <w:rFonts w:ascii="Arial" w:hAnsi="Arial" w:cs="Arial"/>
          <w:sz w:val="24"/>
          <w:szCs w:val="24"/>
        </w:rPr>
        <w:t>, 35(5), pp. 113-124.</w:t>
      </w:r>
    </w:p>
    <w:p w14:paraId="51BC8AA5" w14:textId="55DB07C8" w:rsidR="00E91C99" w:rsidRPr="00390216" w:rsidRDefault="00E91C99" w:rsidP="00390216">
      <w:pPr>
        <w:pStyle w:val="ListParagraph"/>
        <w:numPr>
          <w:ilvl w:val="0"/>
          <w:numId w:val="43"/>
        </w:numPr>
        <w:rPr>
          <w:rFonts w:ascii="Arial" w:hAnsi="Arial" w:cs="Arial"/>
          <w:sz w:val="24"/>
          <w:szCs w:val="24"/>
        </w:rPr>
      </w:pPr>
      <w:r w:rsidRPr="00390216">
        <w:rPr>
          <w:rFonts w:ascii="Arial" w:hAnsi="Arial" w:cs="Arial"/>
          <w:sz w:val="24"/>
          <w:szCs w:val="24"/>
        </w:rPr>
        <w:t xml:space="preserve">Department of Climate Change, Energy, the Environment and Water (DCCEEW). (2023) </w:t>
      </w:r>
      <w:r w:rsidRPr="00390216">
        <w:rPr>
          <w:rFonts w:ascii="Arial" w:hAnsi="Arial" w:cs="Arial"/>
          <w:i/>
          <w:iCs/>
          <w:sz w:val="24"/>
          <w:szCs w:val="24"/>
        </w:rPr>
        <w:t>Safeguard Mechanism reform: Overview</w:t>
      </w:r>
      <w:r w:rsidRPr="00390216">
        <w:rPr>
          <w:rFonts w:ascii="Arial" w:hAnsi="Arial" w:cs="Arial"/>
          <w:sz w:val="24"/>
          <w:szCs w:val="24"/>
        </w:rPr>
        <w:t>. Canberra: Australian Government.</w:t>
      </w:r>
    </w:p>
    <w:p w14:paraId="491FAD50" w14:textId="7E658B24" w:rsidR="00E91C99" w:rsidRPr="00390216" w:rsidRDefault="00E91C99" w:rsidP="00390216">
      <w:pPr>
        <w:pStyle w:val="ListParagraph"/>
        <w:numPr>
          <w:ilvl w:val="0"/>
          <w:numId w:val="43"/>
        </w:numPr>
        <w:rPr>
          <w:rFonts w:ascii="Arial" w:hAnsi="Arial" w:cs="Arial"/>
          <w:sz w:val="24"/>
          <w:szCs w:val="24"/>
        </w:rPr>
      </w:pPr>
      <w:r w:rsidRPr="00390216">
        <w:rPr>
          <w:rFonts w:ascii="Arial" w:hAnsi="Arial" w:cs="Arial"/>
          <w:sz w:val="24"/>
          <w:szCs w:val="24"/>
        </w:rPr>
        <w:t xml:space="preserve">Eccles, R.G., Ioannou, I. and Serafeim, G. (2014) ‘The impact of corporate sustainability on organizational processes and performance’, </w:t>
      </w:r>
      <w:r w:rsidRPr="00390216">
        <w:rPr>
          <w:rFonts w:ascii="Arial" w:hAnsi="Arial" w:cs="Arial"/>
          <w:i/>
          <w:iCs/>
          <w:sz w:val="24"/>
          <w:szCs w:val="24"/>
        </w:rPr>
        <w:t>Management Science</w:t>
      </w:r>
      <w:r w:rsidRPr="00390216">
        <w:rPr>
          <w:rFonts w:ascii="Arial" w:hAnsi="Arial" w:cs="Arial"/>
          <w:sz w:val="24"/>
          <w:szCs w:val="24"/>
        </w:rPr>
        <w:t>, 60(11), pp. 2835-2857.</w:t>
      </w:r>
    </w:p>
    <w:p w14:paraId="5F48B9F1" w14:textId="3F4240F7" w:rsidR="00E91C99" w:rsidRPr="00390216" w:rsidRDefault="00E91C99" w:rsidP="00390216">
      <w:pPr>
        <w:pStyle w:val="ListParagraph"/>
        <w:numPr>
          <w:ilvl w:val="0"/>
          <w:numId w:val="43"/>
        </w:numPr>
        <w:rPr>
          <w:rFonts w:ascii="Arial" w:hAnsi="Arial" w:cs="Arial"/>
          <w:sz w:val="24"/>
          <w:szCs w:val="24"/>
        </w:rPr>
      </w:pPr>
      <w:r w:rsidRPr="00390216">
        <w:rPr>
          <w:rFonts w:ascii="Arial" w:hAnsi="Arial" w:cs="Arial"/>
          <w:sz w:val="24"/>
          <w:szCs w:val="24"/>
        </w:rPr>
        <w:t xml:space="preserve">European Commission. (2023) </w:t>
      </w:r>
      <w:r w:rsidRPr="00390216">
        <w:rPr>
          <w:rFonts w:ascii="Arial" w:hAnsi="Arial" w:cs="Arial"/>
          <w:i/>
          <w:iCs/>
          <w:sz w:val="24"/>
          <w:szCs w:val="24"/>
        </w:rPr>
        <w:t>Carbon Border Adjustment Mechanism (CBAM)</w:t>
      </w:r>
      <w:r w:rsidRPr="00390216">
        <w:rPr>
          <w:rFonts w:ascii="Arial" w:hAnsi="Arial" w:cs="Arial"/>
          <w:sz w:val="24"/>
          <w:szCs w:val="24"/>
        </w:rPr>
        <w:t>. Brussels: European Union.</w:t>
      </w:r>
    </w:p>
    <w:p w14:paraId="04123144" w14:textId="238BDFEC" w:rsidR="00E91C99" w:rsidRPr="00390216" w:rsidRDefault="00E91C99" w:rsidP="00390216">
      <w:pPr>
        <w:pStyle w:val="ListParagraph"/>
        <w:numPr>
          <w:ilvl w:val="0"/>
          <w:numId w:val="43"/>
        </w:numPr>
        <w:rPr>
          <w:rFonts w:ascii="Arial" w:hAnsi="Arial" w:cs="Arial"/>
          <w:sz w:val="24"/>
          <w:szCs w:val="24"/>
        </w:rPr>
      </w:pPr>
      <w:r w:rsidRPr="00390216">
        <w:rPr>
          <w:rFonts w:ascii="Arial" w:hAnsi="Arial" w:cs="Arial"/>
          <w:sz w:val="24"/>
          <w:szCs w:val="24"/>
        </w:rPr>
        <w:t xml:space="preserve">Geissdoerfer, M., Pieroni, M.P., </w:t>
      </w:r>
      <w:proofErr w:type="spellStart"/>
      <w:r w:rsidRPr="00390216">
        <w:rPr>
          <w:rFonts w:ascii="Arial" w:hAnsi="Arial" w:cs="Arial"/>
          <w:sz w:val="24"/>
          <w:szCs w:val="24"/>
        </w:rPr>
        <w:t>Pigosso</w:t>
      </w:r>
      <w:proofErr w:type="spellEnd"/>
      <w:r w:rsidRPr="00390216">
        <w:rPr>
          <w:rFonts w:ascii="Arial" w:hAnsi="Arial" w:cs="Arial"/>
          <w:sz w:val="24"/>
          <w:szCs w:val="24"/>
        </w:rPr>
        <w:t xml:space="preserve">, D.C. and </w:t>
      </w:r>
      <w:proofErr w:type="spellStart"/>
      <w:r w:rsidRPr="00390216">
        <w:rPr>
          <w:rFonts w:ascii="Arial" w:hAnsi="Arial" w:cs="Arial"/>
          <w:sz w:val="24"/>
          <w:szCs w:val="24"/>
        </w:rPr>
        <w:t>Soufani</w:t>
      </w:r>
      <w:proofErr w:type="spellEnd"/>
      <w:r w:rsidRPr="00390216">
        <w:rPr>
          <w:rFonts w:ascii="Arial" w:hAnsi="Arial" w:cs="Arial"/>
          <w:sz w:val="24"/>
          <w:szCs w:val="24"/>
        </w:rPr>
        <w:t xml:space="preserve">, K. (2020) ‘Circular business models: A review’, </w:t>
      </w:r>
      <w:r w:rsidRPr="00390216">
        <w:rPr>
          <w:rFonts w:ascii="Arial" w:hAnsi="Arial" w:cs="Arial"/>
          <w:i/>
          <w:iCs/>
          <w:sz w:val="24"/>
          <w:szCs w:val="24"/>
        </w:rPr>
        <w:t>Journal of Cleaner Production</w:t>
      </w:r>
      <w:r w:rsidRPr="00390216">
        <w:rPr>
          <w:rFonts w:ascii="Arial" w:hAnsi="Arial" w:cs="Arial"/>
          <w:sz w:val="24"/>
          <w:szCs w:val="24"/>
        </w:rPr>
        <w:t>, 277, p. 123741.</w:t>
      </w:r>
    </w:p>
    <w:p w14:paraId="48F8A198" w14:textId="29D9FB44" w:rsidR="00E91C99" w:rsidRPr="00390216" w:rsidRDefault="00E91C99" w:rsidP="00390216">
      <w:pPr>
        <w:pStyle w:val="ListParagraph"/>
        <w:numPr>
          <w:ilvl w:val="0"/>
          <w:numId w:val="43"/>
        </w:numPr>
        <w:rPr>
          <w:rFonts w:ascii="Arial" w:hAnsi="Arial" w:cs="Arial"/>
          <w:sz w:val="24"/>
          <w:szCs w:val="24"/>
        </w:rPr>
      </w:pPr>
      <w:r w:rsidRPr="00390216">
        <w:rPr>
          <w:rFonts w:ascii="Arial" w:hAnsi="Arial" w:cs="Arial"/>
          <w:sz w:val="24"/>
          <w:szCs w:val="24"/>
        </w:rPr>
        <w:t xml:space="preserve">International Energy Agency (IEA). (2023) </w:t>
      </w:r>
      <w:r w:rsidRPr="00390216">
        <w:rPr>
          <w:rFonts w:ascii="Arial" w:hAnsi="Arial" w:cs="Arial"/>
          <w:i/>
          <w:iCs/>
          <w:sz w:val="24"/>
          <w:szCs w:val="24"/>
        </w:rPr>
        <w:t>The Role of Critical Minerals in Clean Energy Transitions</w:t>
      </w:r>
      <w:r w:rsidRPr="00390216">
        <w:rPr>
          <w:rFonts w:ascii="Arial" w:hAnsi="Arial" w:cs="Arial"/>
          <w:sz w:val="24"/>
          <w:szCs w:val="24"/>
        </w:rPr>
        <w:t>. Paris: IEA Publications.</w:t>
      </w:r>
    </w:p>
    <w:p w14:paraId="055C1E49" w14:textId="782626DF" w:rsidR="00E91C99" w:rsidRPr="00390216" w:rsidRDefault="00E91C99" w:rsidP="00390216">
      <w:pPr>
        <w:pStyle w:val="ListParagraph"/>
        <w:numPr>
          <w:ilvl w:val="0"/>
          <w:numId w:val="43"/>
        </w:numPr>
        <w:rPr>
          <w:rFonts w:ascii="Arial" w:hAnsi="Arial" w:cs="Arial"/>
          <w:sz w:val="24"/>
          <w:szCs w:val="24"/>
        </w:rPr>
      </w:pPr>
      <w:r w:rsidRPr="00390216">
        <w:rPr>
          <w:rFonts w:ascii="Arial" w:hAnsi="Arial" w:cs="Arial"/>
          <w:sz w:val="24"/>
          <w:szCs w:val="24"/>
        </w:rPr>
        <w:t xml:space="preserve">Jobber, D. and Ellis-Chadwick, F. (2019) </w:t>
      </w:r>
      <w:r w:rsidRPr="00390216">
        <w:rPr>
          <w:rFonts w:ascii="Arial" w:hAnsi="Arial" w:cs="Arial"/>
          <w:i/>
          <w:iCs/>
          <w:sz w:val="24"/>
          <w:szCs w:val="24"/>
        </w:rPr>
        <w:t>Principles and Practice of Marketing</w:t>
      </w:r>
      <w:r w:rsidRPr="00390216">
        <w:rPr>
          <w:rFonts w:ascii="Arial" w:hAnsi="Arial" w:cs="Arial"/>
          <w:sz w:val="24"/>
          <w:szCs w:val="24"/>
        </w:rPr>
        <w:t xml:space="preserve">. 9th </w:t>
      </w:r>
      <w:proofErr w:type="spellStart"/>
      <w:r w:rsidRPr="00390216">
        <w:rPr>
          <w:rFonts w:ascii="Arial" w:hAnsi="Arial" w:cs="Arial"/>
          <w:sz w:val="24"/>
          <w:szCs w:val="24"/>
        </w:rPr>
        <w:t>edn</w:t>
      </w:r>
      <w:proofErr w:type="spellEnd"/>
      <w:r w:rsidRPr="00390216">
        <w:rPr>
          <w:rFonts w:ascii="Arial" w:hAnsi="Arial" w:cs="Arial"/>
          <w:sz w:val="24"/>
          <w:szCs w:val="24"/>
        </w:rPr>
        <w:t>. London: McGraw-Hill Education.</w:t>
      </w:r>
    </w:p>
    <w:p w14:paraId="3A0296BC" w14:textId="42AD4F63" w:rsidR="00E91C99" w:rsidRPr="00390216" w:rsidRDefault="00E91C99" w:rsidP="00390216">
      <w:pPr>
        <w:pStyle w:val="ListParagraph"/>
        <w:numPr>
          <w:ilvl w:val="0"/>
          <w:numId w:val="43"/>
        </w:numPr>
        <w:rPr>
          <w:rFonts w:ascii="Arial" w:hAnsi="Arial" w:cs="Arial"/>
          <w:sz w:val="24"/>
          <w:szCs w:val="24"/>
        </w:rPr>
      </w:pPr>
      <w:r w:rsidRPr="00390216">
        <w:rPr>
          <w:rFonts w:ascii="Arial" w:hAnsi="Arial" w:cs="Arial"/>
          <w:sz w:val="24"/>
          <w:szCs w:val="24"/>
        </w:rPr>
        <w:t xml:space="preserve">Kotler, P., Armstrong, G., Harris, L.C. and He, H. (2024) </w:t>
      </w:r>
      <w:r w:rsidRPr="00390216">
        <w:rPr>
          <w:rFonts w:ascii="Arial" w:hAnsi="Arial" w:cs="Arial"/>
          <w:i/>
          <w:iCs/>
          <w:sz w:val="24"/>
          <w:szCs w:val="24"/>
        </w:rPr>
        <w:t>Principles of Marketing</w:t>
      </w:r>
      <w:r w:rsidRPr="00390216">
        <w:rPr>
          <w:rFonts w:ascii="Arial" w:hAnsi="Arial" w:cs="Arial"/>
          <w:sz w:val="24"/>
          <w:szCs w:val="24"/>
        </w:rPr>
        <w:t xml:space="preserve">. 19th </w:t>
      </w:r>
      <w:proofErr w:type="spellStart"/>
      <w:r w:rsidRPr="00390216">
        <w:rPr>
          <w:rFonts w:ascii="Arial" w:hAnsi="Arial" w:cs="Arial"/>
          <w:sz w:val="24"/>
          <w:szCs w:val="24"/>
        </w:rPr>
        <w:t>edn</w:t>
      </w:r>
      <w:proofErr w:type="spellEnd"/>
      <w:r w:rsidRPr="00390216">
        <w:rPr>
          <w:rFonts w:ascii="Arial" w:hAnsi="Arial" w:cs="Arial"/>
          <w:sz w:val="24"/>
          <w:szCs w:val="24"/>
        </w:rPr>
        <w:t>. Harlow: Pearson.</w:t>
      </w:r>
    </w:p>
    <w:p w14:paraId="105D7754" w14:textId="2D6B4238" w:rsidR="00E91C99" w:rsidRPr="00390216" w:rsidRDefault="00E91C99" w:rsidP="00390216">
      <w:pPr>
        <w:pStyle w:val="ListParagraph"/>
        <w:numPr>
          <w:ilvl w:val="0"/>
          <w:numId w:val="43"/>
        </w:numPr>
        <w:rPr>
          <w:rFonts w:ascii="Arial" w:hAnsi="Arial" w:cs="Arial"/>
          <w:sz w:val="24"/>
          <w:szCs w:val="24"/>
        </w:rPr>
      </w:pPr>
      <w:r w:rsidRPr="00390216">
        <w:rPr>
          <w:rFonts w:ascii="Arial" w:hAnsi="Arial" w:cs="Arial"/>
          <w:sz w:val="24"/>
          <w:szCs w:val="24"/>
        </w:rPr>
        <w:t xml:space="preserve">Lieder, M. and Rashid, A. (2016) ‘Towards circular economy implementation: A comprehensive review in context of manufacturing industry’, </w:t>
      </w:r>
      <w:r w:rsidRPr="00390216">
        <w:rPr>
          <w:rFonts w:ascii="Arial" w:hAnsi="Arial" w:cs="Arial"/>
          <w:i/>
          <w:iCs/>
          <w:sz w:val="24"/>
          <w:szCs w:val="24"/>
        </w:rPr>
        <w:t>Journal of Cleaner Production</w:t>
      </w:r>
      <w:r w:rsidRPr="00390216">
        <w:rPr>
          <w:rFonts w:ascii="Arial" w:hAnsi="Arial" w:cs="Arial"/>
          <w:sz w:val="24"/>
          <w:szCs w:val="24"/>
        </w:rPr>
        <w:t>, 115, pp. 36-51.</w:t>
      </w:r>
    </w:p>
    <w:p w14:paraId="6CB77A80" w14:textId="6124E9AE" w:rsidR="00E91C99" w:rsidRPr="00390216" w:rsidRDefault="00E91C99" w:rsidP="00390216">
      <w:pPr>
        <w:pStyle w:val="ListParagraph"/>
        <w:numPr>
          <w:ilvl w:val="0"/>
          <w:numId w:val="43"/>
        </w:numPr>
        <w:rPr>
          <w:rFonts w:ascii="Arial" w:hAnsi="Arial" w:cs="Arial"/>
          <w:sz w:val="24"/>
          <w:szCs w:val="24"/>
        </w:rPr>
      </w:pPr>
      <w:r w:rsidRPr="00390216">
        <w:rPr>
          <w:rFonts w:ascii="Arial" w:hAnsi="Arial" w:cs="Arial"/>
          <w:sz w:val="24"/>
          <w:szCs w:val="24"/>
        </w:rPr>
        <w:t xml:space="preserve">McKinsey &amp; Company. (2022) </w:t>
      </w:r>
      <w:r w:rsidRPr="00390216">
        <w:rPr>
          <w:rFonts w:ascii="Arial" w:hAnsi="Arial" w:cs="Arial"/>
          <w:i/>
          <w:iCs/>
          <w:sz w:val="24"/>
          <w:szCs w:val="24"/>
        </w:rPr>
        <w:t>Climate risk and decarbonization: A guide for resource companies</w:t>
      </w:r>
      <w:r w:rsidRPr="00390216">
        <w:rPr>
          <w:rFonts w:ascii="Arial" w:hAnsi="Arial" w:cs="Arial"/>
          <w:sz w:val="24"/>
          <w:szCs w:val="24"/>
        </w:rPr>
        <w:t>. New York: McKinsey Publishing.</w:t>
      </w:r>
    </w:p>
    <w:p w14:paraId="55E3680D" w14:textId="485E5DA7" w:rsidR="00E91C99" w:rsidRPr="00390216" w:rsidRDefault="00E91C99" w:rsidP="00390216">
      <w:pPr>
        <w:pStyle w:val="ListParagraph"/>
        <w:numPr>
          <w:ilvl w:val="0"/>
          <w:numId w:val="43"/>
        </w:numPr>
        <w:rPr>
          <w:rFonts w:ascii="Arial" w:hAnsi="Arial" w:cs="Arial"/>
          <w:sz w:val="24"/>
          <w:szCs w:val="24"/>
        </w:rPr>
      </w:pPr>
      <w:r w:rsidRPr="00390216">
        <w:rPr>
          <w:rFonts w:ascii="Arial" w:hAnsi="Arial" w:cs="Arial"/>
          <w:sz w:val="24"/>
          <w:szCs w:val="24"/>
        </w:rPr>
        <w:t xml:space="preserve">OECD. (2022) </w:t>
      </w:r>
      <w:r w:rsidRPr="00390216">
        <w:rPr>
          <w:rFonts w:ascii="Arial" w:hAnsi="Arial" w:cs="Arial"/>
          <w:i/>
          <w:iCs/>
          <w:sz w:val="24"/>
          <w:szCs w:val="24"/>
        </w:rPr>
        <w:t>ESG Investing and Climate Transition: Market Practices, Issues and Policy Implications</w:t>
      </w:r>
      <w:r w:rsidRPr="00390216">
        <w:rPr>
          <w:rFonts w:ascii="Arial" w:hAnsi="Arial" w:cs="Arial"/>
          <w:sz w:val="24"/>
          <w:szCs w:val="24"/>
        </w:rPr>
        <w:t>. Paris: OECD Publishing.</w:t>
      </w:r>
    </w:p>
    <w:p w14:paraId="101B95C4" w14:textId="1117AAB8" w:rsidR="00E91C99" w:rsidRPr="00390216" w:rsidRDefault="00E91C99" w:rsidP="00390216">
      <w:pPr>
        <w:pStyle w:val="ListParagraph"/>
        <w:numPr>
          <w:ilvl w:val="0"/>
          <w:numId w:val="43"/>
        </w:numPr>
        <w:rPr>
          <w:rFonts w:ascii="Arial" w:hAnsi="Arial" w:cs="Arial"/>
          <w:sz w:val="24"/>
          <w:szCs w:val="24"/>
        </w:rPr>
      </w:pPr>
      <w:r w:rsidRPr="00390216">
        <w:rPr>
          <w:rFonts w:ascii="Arial" w:hAnsi="Arial" w:cs="Arial"/>
          <w:sz w:val="24"/>
          <w:szCs w:val="24"/>
        </w:rPr>
        <w:t xml:space="preserve">Palmer, A. (2012) </w:t>
      </w:r>
      <w:r w:rsidRPr="00390216">
        <w:rPr>
          <w:rFonts w:ascii="Arial" w:hAnsi="Arial" w:cs="Arial"/>
          <w:i/>
          <w:iCs/>
          <w:sz w:val="24"/>
          <w:szCs w:val="24"/>
        </w:rPr>
        <w:t>Introduction to Marketing: Theory and Practice</w:t>
      </w:r>
      <w:r w:rsidRPr="00390216">
        <w:rPr>
          <w:rFonts w:ascii="Arial" w:hAnsi="Arial" w:cs="Arial"/>
          <w:sz w:val="24"/>
          <w:szCs w:val="24"/>
        </w:rPr>
        <w:t xml:space="preserve">. 3rd </w:t>
      </w:r>
      <w:proofErr w:type="spellStart"/>
      <w:r w:rsidRPr="00390216">
        <w:rPr>
          <w:rFonts w:ascii="Arial" w:hAnsi="Arial" w:cs="Arial"/>
          <w:sz w:val="24"/>
          <w:szCs w:val="24"/>
        </w:rPr>
        <w:t>edn</w:t>
      </w:r>
      <w:proofErr w:type="spellEnd"/>
      <w:r w:rsidRPr="00390216">
        <w:rPr>
          <w:rFonts w:ascii="Arial" w:hAnsi="Arial" w:cs="Arial"/>
          <w:sz w:val="24"/>
          <w:szCs w:val="24"/>
        </w:rPr>
        <w:t>. Oxford: Oxford University Press.</w:t>
      </w:r>
    </w:p>
    <w:p w14:paraId="0D4D27EB" w14:textId="0D51CDD2" w:rsidR="00E91C99" w:rsidRPr="00390216" w:rsidRDefault="00E91C99" w:rsidP="00390216">
      <w:pPr>
        <w:pStyle w:val="ListParagraph"/>
        <w:numPr>
          <w:ilvl w:val="0"/>
          <w:numId w:val="43"/>
        </w:numPr>
        <w:rPr>
          <w:rFonts w:ascii="Arial" w:hAnsi="Arial" w:cs="Arial"/>
          <w:sz w:val="24"/>
          <w:szCs w:val="24"/>
        </w:rPr>
      </w:pPr>
      <w:r w:rsidRPr="00390216">
        <w:rPr>
          <w:rFonts w:ascii="Arial" w:hAnsi="Arial" w:cs="Arial"/>
          <w:sz w:val="24"/>
          <w:szCs w:val="24"/>
        </w:rPr>
        <w:t xml:space="preserve">Porter, M.E. (1985) </w:t>
      </w:r>
      <w:r w:rsidRPr="00390216">
        <w:rPr>
          <w:rFonts w:ascii="Arial" w:hAnsi="Arial" w:cs="Arial"/>
          <w:i/>
          <w:iCs/>
          <w:sz w:val="24"/>
          <w:szCs w:val="24"/>
        </w:rPr>
        <w:t>Competitive Advantage: Creating and Sustaining Superior Performance</w:t>
      </w:r>
      <w:r w:rsidRPr="00390216">
        <w:rPr>
          <w:rFonts w:ascii="Arial" w:hAnsi="Arial" w:cs="Arial"/>
          <w:sz w:val="24"/>
          <w:szCs w:val="24"/>
        </w:rPr>
        <w:t>. New York: Free Press.</w:t>
      </w:r>
    </w:p>
    <w:p w14:paraId="6401202F" w14:textId="727D3288" w:rsidR="00E91C99" w:rsidRPr="00390216" w:rsidRDefault="00E91C99" w:rsidP="00390216">
      <w:pPr>
        <w:pStyle w:val="ListParagraph"/>
        <w:numPr>
          <w:ilvl w:val="0"/>
          <w:numId w:val="43"/>
        </w:numPr>
        <w:rPr>
          <w:rFonts w:ascii="Arial" w:hAnsi="Arial" w:cs="Arial"/>
          <w:sz w:val="24"/>
          <w:szCs w:val="24"/>
        </w:rPr>
      </w:pPr>
      <w:r w:rsidRPr="00390216">
        <w:rPr>
          <w:rFonts w:ascii="Arial" w:hAnsi="Arial" w:cs="Arial"/>
          <w:sz w:val="24"/>
          <w:szCs w:val="24"/>
        </w:rPr>
        <w:t xml:space="preserve">Porter, M.E. and van der Linde, C. (1995) ‘Toward a new conception of the environment-competitiveness relationship’, </w:t>
      </w:r>
      <w:r w:rsidRPr="00390216">
        <w:rPr>
          <w:rFonts w:ascii="Arial" w:hAnsi="Arial" w:cs="Arial"/>
          <w:i/>
          <w:iCs/>
          <w:sz w:val="24"/>
          <w:szCs w:val="24"/>
        </w:rPr>
        <w:t>Journal of Economic Perspectives</w:t>
      </w:r>
      <w:r w:rsidRPr="00390216">
        <w:rPr>
          <w:rFonts w:ascii="Arial" w:hAnsi="Arial" w:cs="Arial"/>
          <w:sz w:val="24"/>
          <w:szCs w:val="24"/>
        </w:rPr>
        <w:t>, 9(4), pp. 97-118.</w:t>
      </w:r>
    </w:p>
    <w:p w14:paraId="1A3CA5A9" w14:textId="5BF133FF" w:rsidR="00E91C99" w:rsidRPr="00390216" w:rsidRDefault="00E91C99" w:rsidP="00390216">
      <w:pPr>
        <w:pStyle w:val="ListParagraph"/>
        <w:numPr>
          <w:ilvl w:val="0"/>
          <w:numId w:val="43"/>
        </w:numPr>
        <w:rPr>
          <w:rFonts w:ascii="Arial" w:hAnsi="Arial" w:cs="Arial"/>
          <w:sz w:val="24"/>
          <w:szCs w:val="24"/>
        </w:rPr>
      </w:pPr>
      <w:r w:rsidRPr="00390216">
        <w:rPr>
          <w:rFonts w:ascii="Arial" w:hAnsi="Arial" w:cs="Arial"/>
          <w:sz w:val="24"/>
          <w:szCs w:val="24"/>
        </w:rPr>
        <w:t xml:space="preserve">World Bank. (2023) </w:t>
      </w:r>
      <w:r w:rsidRPr="00390216">
        <w:rPr>
          <w:rFonts w:ascii="Arial" w:hAnsi="Arial" w:cs="Arial"/>
          <w:i/>
          <w:iCs/>
          <w:sz w:val="24"/>
          <w:szCs w:val="24"/>
        </w:rPr>
        <w:t>Minerals for Climate Action: The Mineral Intensity of the Clean Energy Transition</w:t>
      </w:r>
      <w:r w:rsidRPr="00390216">
        <w:rPr>
          <w:rFonts w:ascii="Arial" w:hAnsi="Arial" w:cs="Arial"/>
          <w:sz w:val="24"/>
          <w:szCs w:val="24"/>
        </w:rPr>
        <w:t>. Washington, DC: World Bank Group.</w:t>
      </w:r>
    </w:p>
    <w:p w14:paraId="23ABFE2B" w14:textId="51DCC589" w:rsidR="00E91C99" w:rsidRPr="00390216" w:rsidRDefault="00E91C99" w:rsidP="00390216">
      <w:pPr>
        <w:pStyle w:val="ListParagraph"/>
        <w:numPr>
          <w:ilvl w:val="0"/>
          <w:numId w:val="43"/>
        </w:numPr>
        <w:rPr>
          <w:rFonts w:ascii="Arial" w:hAnsi="Arial" w:cs="Arial"/>
          <w:sz w:val="24"/>
          <w:szCs w:val="24"/>
        </w:rPr>
      </w:pPr>
      <w:r w:rsidRPr="00390216">
        <w:rPr>
          <w:rFonts w:ascii="Arial" w:hAnsi="Arial" w:cs="Arial"/>
          <w:sz w:val="24"/>
          <w:szCs w:val="24"/>
        </w:rPr>
        <w:t xml:space="preserve">World Steel Association. (2023) </w:t>
      </w:r>
      <w:r w:rsidRPr="00390216">
        <w:rPr>
          <w:rFonts w:ascii="Arial" w:hAnsi="Arial" w:cs="Arial"/>
          <w:i/>
          <w:iCs/>
          <w:sz w:val="24"/>
          <w:szCs w:val="24"/>
        </w:rPr>
        <w:t>Sustainable Steel: Policy and Indicator Performance Report</w:t>
      </w:r>
      <w:r w:rsidRPr="00390216">
        <w:rPr>
          <w:rFonts w:ascii="Arial" w:hAnsi="Arial" w:cs="Arial"/>
          <w:sz w:val="24"/>
          <w:szCs w:val="24"/>
        </w:rPr>
        <w:t>. Brussels: World Steel Association.</w:t>
      </w:r>
    </w:p>
    <w:p w14:paraId="43A81924" w14:textId="77777777" w:rsidR="00E91C99" w:rsidRPr="00E91C99" w:rsidRDefault="00E91C99" w:rsidP="00E91C99">
      <w:pPr>
        <w:rPr>
          <w:rFonts w:ascii="Arial" w:hAnsi="Arial" w:cs="Arial"/>
          <w:sz w:val="24"/>
          <w:szCs w:val="24"/>
          <w:lang w:val="en-US"/>
        </w:rPr>
      </w:pPr>
    </w:p>
    <w:sectPr w:rsidR="00E91C99" w:rsidRPr="00E91C9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Cordia New">
    <w:panose1 w:val="020B0304020202020204"/>
    <w:charset w:val="DE"/>
    <w:family w:val="swiss"/>
    <w:pitch w:val="variable"/>
    <w:sig w:usb0="81000003" w:usb1="00000000" w:usb2="00000000" w:usb3="00000000" w:csb0="00010001" w:csb1="00000000"/>
  </w:font>
  <w:font w:name="Aptos Display">
    <w:charset w:val="00"/>
    <w:family w:val="swiss"/>
    <w:pitch w:val="variable"/>
    <w:sig w:usb0="20000287" w:usb1="00000003" w:usb2="00000000" w:usb3="00000000" w:csb0="0000019F" w:csb1="00000000"/>
  </w:font>
  <w:font w:name="DengXian Light">
    <w:panose1 w:val="02010600030101010101"/>
    <w:charset w:val="86"/>
    <w:family w:val="auto"/>
    <w:pitch w:val="variable"/>
    <w:sig w:usb0="A00002BF" w:usb1="38CF7CFA" w:usb2="00000016" w:usb3="00000000" w:csb0="0004000F" w:csb1="00000000"/>
  </w:font>
  <w:font w:name="Angsana New">
    <w:panose1 w:val="02020603050405020304"/>
    <w:charset w:val="DE"/>
    <w:family w:val="roman"/>
    <w:pitch w:val="variable"/>
    <w:sig w:usb0="81000003" w:usb1="00000000" w:usb2="00000000" w:usb3="00000000" w:csb0="00010001" w:csb1="00000000"/>
  </w:font>
  <w:font w:name="Arial">
    <w:panose1 w:val="020B0604020202020204"/>
    <w:charset w:val="00"/>
    <w:family w:val="swiss"/>
    <w:pitch w:val="variable"/>
    <w:sig w:usb0="E0002EFF" w:usb1="C000785B" w:usb2="00000009" w:usb3="00000000" w:csb0="000001FF" w:csb1="00000000"/>
  </w:font>
  <w:font w:name="DengXian">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195012"/>
    <w:multiLevelType w:val="hybridMultilevel"/>
    <w:tmpl w:val="EF621D26"/>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 w15:restartNumberingAfterBreak="0">
    <w:nsid w:val="083D2DB6"/>
    <w:multiLevelType w:val="hybridMultilevel"/>
    <w:tmpl w:val="B1B2806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11157763"/>
    <w:multiLevelType w:val="hybridMultilevel"/>
    <w:tmpl w:val="DD9C66C0"/>
    <w:lvl w:ilvl="0" w:tplc="40090001">
      <w:start w:val="1"/>
      <w:numFmt w:val="bullet"/>
      <w:lvlText w:val=""/>
      <w:lvlJc w:val="left"/>
      <w:pPr>
        <w:ind w:left="1080" w:hanging="360"/>
      </w:pPr>
      <w:rPr>
        <w:rFonts w:ascii="Symbol" w:hAnsi="Symbol" w:hint="default"/>
      </w:rPr>
    </w:lvl>
    <w:lvl w:ilvl="1" w:tplc="40090003" w:tentative="1">
      <w:start w:val="1"/>
      <w:numFmt w:val="bullet"/>
      <w:lvlText w:val="o"/>
      <w:lvlJc w:val="left"/>
      <w:pPr>
        <w:ind w:left="1800" w:hanging="360"/>
      </w:pPr>
      <w:rPr>
        <w:rFonts w:ascii="Courier New" w:hAnsi="Courier New" w:cs="Courier New" w:hint="default"/>
      </w:rPr>
    </w:lvl>
    <w:lvl w:ilvl="2" w:tplc="40090005" w:tentative="1">
      <w:start w:val="1"/>
      <w:numFmt w:val="bullet"/>
      <w:lvlText w:val=""/>
      <w:lvlJc w:val="left"/>
      <w:pPr>
        <w:ind w:left="2520" w:hanging="360"/>
      </w:pPr>
      <w:rPr>
        <w:rFonts w:ascii="Wingdings" w:hAnsi="Wingdings" w:hint="default"/>
      </w:rPr>
    </w:lvl>
    <w:lvl w:ilvl="3" w:tplc="40090001" w:tentative="1">
      <w:start w:val="1"/>
      <w:numFmt w:val="bullet"/>
      <w:lvlText w:val=""/>
      <w:lvlJc w:val="left"/>
      <w:pPr>
        <w:ind w:left="3240" w:hanging="360"/>
      </w:pPr>
      <w:rPr>
        <w:rFonts w:ascii="Symbol" w:hAnsi="Symbol" w:hint="default"/>
      </w:rPr>
    </w:lvl>
    <w:lvl w:ilvl="4" w:tplc="40090003" w:tentative="1">
      <w:start w:val="1"/>
      <w:numFmt w:val="bullet"/>
      <w:lvlText w:val="o"/>
      <w:lvlJc w:val="left"/>
      <w:pPr>
        <w:ind w:left="3960" w:hanging="360"/>
      </w:pPr>
      <w:rPr>
        <w:rFonts w:ascii="Courier New" w:hAnsi="Courier New" w:cs="Courier New" w:hint="default"/>
      </w:rPr>
    </w:lvl>
    <w:lvl w:ilvl="5" w:tplc="40090005" w:tentative="1">
      <w:start w:val="1"/>
      <w:numFmt w:val="bullet"/>
      <w:lvlText w:val=""/>
      <w:lvlJc w:val="left"/>
      <w:pPr>
        <w:ind w:left="4680" w:hanging="360"/>
      </w:pPr>
      <w:rPr>
        <w:rFonts w:ascii="Wingdings" w:hAnsi="Wingdings" w:hint="default"/>
      </w:rPr>
    </w:lvl>
    <w:lvl w:ilvl="6" w:tplc="40090001" w:tentative="1">
      <w:start w:val="1"/>
      <w:numFmt w:val="bullet"/>
      <w:lvlText w:val=""/>
      <w:lvlJc w:val="left"/>
      <w:pPr>
        <w:ind w:left="5400" w:hanging="360"/>
      </w:pPr>
      <w:rPr>
        <w:rFonts w:ascii="Symbol" w:hAnsi="Symbol" w:hint="default"/>
      </w:rPr>
    </w:lvl>
    <w:lvl w:ilvl="7" w:tplc="40090003" w:tentative="1">
      <w:start w:val="1"/>
      <w:numFmt w:val="bullet"/>
      <w:lvlText w:val="o"/>
      <w:lvlJc w:val="left"/>
      <w:pPr>
        <w:ind w:left="6120" w:hanging="360"/>
      </w:pPr>
      <w:rPr>
        <w:rFonts w:ascii="Courier New" w:hAnsi="Courier New" w:cs="Courier New" w:hint="default"/>
      </w:rPr>
    </w:lvl>
    <w:lvl w:ilvl="8" w:tplc="40090005" w:tentative="1">
      <w:start w:val="1"/>
      <w:numFmt w:val="bullet"/>
      <w:lvlText w:val=""/>
      <w:lvlJc w:val="left"/>
      <w:pPr>
        <w:ind w:left="6840" w:hanging="360"/>
      </w:pPr>
      <w:rPr>
        <w:rFonts w:ascii="Wingdings" w:hAnsi="Wingdings" w:hint="default"/>
      </w:rPr>
    </w:lvl>
  </w:abstractNum>
  <w:abstractNum w:abstractNumId="3" w15:restartNumberingAfterBreak="0">
    <w:nsid w:val="161F690B"/>
    <w:multiLevelType w:val="hybridMultilevel"/>
    <w:tmpl w:val="512EB466"/>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4" w15:restartNumberingAfterBreak="0">
    <w:nsid w:val="23B22B7F"/>
    <w:multiLevelType w:val="hybridMultilevel"/>
    <w:tmpl w:val="A0D45786"/>
    <w:lvl w:ilvl="0" w:tplc="40090001">
      <w:start w:val="1"/>
      <w:numFmt w:val="bullet"/>
      <w:lvlText w:val=""/>
      <w:lvlJc w:val="left"/>
      <w:pPr>
        <w:ind w:left="1440" w:hanging="360"/>
      </w:pPr>
      <w:rPr>
        <w:rFonts w:ascii="Symbol" w:hAnsi="Symbol" w:hint="default"/>
      </w:rPr>
    </w:lvl>
    <w:lvl w:ilvl="1" w:tplc="40090003" w:tentative="1">
      <w:start w:val="1"/>
      <w:numFmt w:val="bullet"/>
      <w:lvlText w:val="o"/>
      <w:lvlJc w:val="left"/>
      <w:pPr>
        <w:ind w:left="2160" w:hanging="360"/>
      </w:pPr>
      <w:rPr>
        <w:rFonts w:ascii="Courier New" w:hAnsi="Courier New" w:cs="Courier New" w:hint="default"/>
      </w:rPr>
    </w:lvl>
    <w:lvl w:ilvl="2" w:tplc="40090005" w:tentative="1">
      <w:start w:val="1"/>
      <w:numFmt w:val="bullet"/>
      <w:lvlText w:val=""/>
      <w:lvlJc w:val="left"/>
      <w:pPr>
        <w:ind w:left="2880" w:hanging="360"/>
      </w:pPr>
      <w:rPr>
        <w:rFonts w:ascii="Wingdings" w:hAnsi="Wingdings" w:hint="default"/>
      </w:rPr>
    </w:lvl>
    <w:lvl w:ilvl="3" w:tplc="40090001" w:tentative="1">
      <w:start w:val="1"/>
      <w:numFmt w:val="bullet"/>
      <w:lvlText w:val=""/>
      <w:lvlJc w:val="left"/>
      <w:pPr>
        <w:ind w:left="3600" w:hanging="360"/>
      </w:pPr>
      <w:rPr>
        <w:rFonts w:ascii="Symbol" w:hAnsi="Symbol" w:hint="default"/>
      </w:rPr>
    </w:lvl>
    <w:lvl w:ilvl="4" w:tplc="40090003" w:tentative="1">
      <w:start w:val="1"/>
      <w:numFmt w:val="bullet"/>
      <w:lvlText w:val="o"/>
      <w:lvlJc w:val="left"/>
      <w:pPr>
        <w:ind w:left="4320" w:hanging="360"/>
      </w:pPr>
      <w:rPr>
        <w:rFonts w:ascii="Courier New" w:hAnsi="Courier New" w:cs="Courier New" w:hint="default"/>
      </w:rPr>
    </w:lvl>
    <w:lvl w:ilvl="5" w:tplc="40090005" w:tentative="1">
      <w:start w:val="1"/>
      <w:numFmt w:val="bullet"/>
      <w:lvlText w:val=""/>
      <w:lvlJc w:val="left"/>
      <w:pPr>
        <w:ind w:left="5040" w:hanging="360"/>
      </w:pPr>
      <w:rPr>
        <w:rFonts w:ascii="Wingdings" w:hAnsi="Wingdings" w:hint="default"/>
      </w:rPr>
    </w:lvl>
    <w:lvl w:ilvl="6" w:tplc="40090001" w:tentative="1">
      <w:start w:val="1"/>
      <w:numFmt w:val="bullet"/>
      <w:lvlText w:val=""/>
      <w:lvlJc w:val="left"/>
      <w:pPr>
        <w:ind w:left="5760" w:hanging="360"/>
      </w:pPr>
      <w:rPr>
        <w:rFonts w:ascii="Symbol" w:hAnsi="Symbol" w:hint="default"/>
      </w:rPr>
    </w:lvl>
    <w:lvl w:ilvl="7" w:tplc="40090003" w:tentative="1">
      <w:start w:val="1"/>
      <w:numFmt w:val="bullet"/>
      <w:lvlText w:val="o"/>
      <w:lvlJc w:val="left"/>
      <w:pPr>
        <w:ind w:left="6480" w:hanging="360"/>
      </w:pPr>
      <w:rPr>
        <w:rFonts w:ascii="Courier New" w:hAnsi="Courier New" w:cs="Courier New" w:hint="default"/>
      </w:rPr>
    </w:lvl>
    <w:lvl w:ilvl="8" w:tplc="40090005" w:tentative="1">
      <w:start w:val="1"/>
      <w:numFmt w:val="bullet"/>
      <w:lvlText w:val=""/>
      <w:lvlJc w:val="left"/>
      <w:pPr>
        <w:ind w:left="7200" w:hanging="360"/>
      </w:pPr>
      <w:rPr>
        <w:rFonts w:ascii="Wingdings" w:hAnsi="Wingdings" w:hint="default"/>
      </w:rPr>
    </w:lvl>
  </w:abstractNum>
  <w:abstractNum w:abstractNumId="5" w15:restartNumberingAfterBreak="0">
    <w:nsid w:val="23C203D0"/>
    <w:multiLevelType w:val="multilevel"/>
    <w:tmpl w:val="E87A3774"/>
    <w:lvl w:ilvl="0">
      <w:start w:val="2"/>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6" w15:restartNumberingAfterBreak="0">
    <w:nsid w:val="25380CE5"/>
    <w:multiLevelType w:val="multilevel"/>
    <w:tmpl w:val="A5B0D598"/>
    <w:lvl w:ilvl="0">
      <w:start w:val="2"/>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7" w15:restartNumberingAfterBreak="0">
    <w:nsid w:val="27603C79"/>
    <w:multiLevelType w:val="hybridMultilevel"/>
    <w:tmpl w:val="7F06A17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8" w15:restartNumberingAfterBreak="0">
    <w:nsid w:val="2DC219A9"/>
    <w:multiLevelType w:val="hybridMultilevel"/>
    <w:tmpl w:val="24F6451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9" w15:restartNumberingAfterBreak="0">
    <w:nsid w:val="30D819C3"/>
    <w:multiLevelType w:val="hybridMultilevel"/>
    <w:tmpl w:val="264A57F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0" w15:restartNumberingAfterBreak="0">
    <w:nsid w:val="312A5C5A"/>
    <w:multiLevelType w:val="hybridMultilevel"/>
    <w:tmpl w:val="C4404C1A"/>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1" w15:restartNumberingAfterBreak="0">
    <w:nsid w:val="36447B80"/>
    <w:multiLevelType w:val="multilevel"/>
    <w:tmpl w:val="770EE2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3740475C"/>
    <w:multiLevelType w:val="multilevel"/>
    <w:tmpl w:val="AD4E1E3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start w:val="1"/>
      <w:numFmt w:val="decimal"/>
      <w:lvlText w:val="%3."/>
      <w:lvlJc w:val="left"/>
      <w:pPr>
        <w:tabs>
          <w:tab w:val="num" w:pos="2160"/>
        </w:tabs>
        <w:ind w:left="2160" w:hanging="360"/>
      </w:p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3D0A5887"/>
    <w:multiLevelType w:val="hybridMultilevel"/>
    <w:tmpl w:val="1BC490F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4" w15:restartNumberingAfterBreak="0">
    <w:nsid w:val="3EE80C6C"/>
    <w:multiLevelType w:val="hybridMultilevel"/>
    <w:tmpl w:val="9946A6A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5" w15:restartNumberingAfterBreak="0">
    <w:nsid w:val="4468082C"/>
    <w:multiLevelType w:val="multilevel"/>
    <w:tmpl w:val="44388EE0"/>
    <w:lvl w:ilvl="0">
      <w:start w:val="3"/>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6" w15:restartNumberingAfterBreak="0">
    <w:nsid w:val="45203277"/>
    <w:multiLevelType w:val="hybridMultilevel"/>
    <w:tmpl w:val="73B6A9D6"/>
    <w:lvl w:ilvl="0" w:tplc="40090001">
      <w:start w:val="1"/>
      <w:numFmt w:val="bullet"/>
      <w:lvlText w:val=""/>
      <w:lvlJc w:val="left"/>
      <w:pPr>
        <w:ind w:left="1080" w:hanging="360"/>
      </w:pPr>
      <w:rPr>
        <w:rFonts w:ascii="Symbol" w:hAnsi="Symbol" w:hint="default"/>
      </w:rPr>
    </w:lvl>
    <w:lvl w:ilvl="1" w:tplc="40090003" w:tentative="1">
      <w:start w:val="1"/>
      <w:numFmt w:val="bullet"/>
      <w:lvlText w:val="o"/>
      <w:lvlJc w:val="left"/>
      <w:pPr>
        <w:ind w:left="1800" w:hanging="360"/>
      </w:pPr>
      <w:rPr>
        <w:rFonts w:ascii="Courier New" w:hAnsi="Courier New" w:cs="Courier New" w:hint="default"/>
      </w:rPr>
    </w:lvl>
    <w:lvl w:ilvl="2" w:tplc="40090005" w:tentative="1">
      <w:start w:val="1"/>
      <w:numFmt w:val="bullet"/>
      <w:lvlText w:val=""/>
      <w:lvlJc w:val="left"/>
      <w:pPr>
        <w:ind w:left="2520" w:hanging="360"/>
      </w:pPr>
      <w:rPr>
        <w:rFonts w:ascii="Wingdings" w:hAnsi="Wingdings" w:hint="default"/>
      </w:rPr>
    </w:lvl>
    <w:lvl w:ilvl="3" w:tplc="40090001" w:tentative="1">
      <w:start w:val="1"/>
      <w:numFmt w:val="bullet"/>
      <w:lvlText w:val=""/>
      <w:lvlJc w:val="left"/>
      <w:pPr>
        <w:ind w:left="3240" w:hanging="360"/>
      </w:pPr>
      <w:rPr>
        <w:rFonts w:ascii="Symbol" w:hAnsi="Symbol" w:hint="default"/>
      </w:rPr>
    </w:lvl>
    <w:lvl w:ilvl="4" w:tplc="40090003" w:tentative="1">
      <w:start w:val="1"/>
      <w:numFmt w:val="bullet"/>
      <w:lvlText w:val="o"/>
      <w:lvlJc w:val="left"/>
      <w:pPr>
        <w:ind w:left="3960" w:hanging="360"/>
      </w:pPr>
      <w:rPr>
        <w:rFonts w:ascii="Courier New" w:hAnsi="Courier New" w:cs="Courier New" w:hint="default"/>
      </w:rPr>
    </w:lvl>
    <w:lvl w:ilvl="5" w:tplc="40090005" w:tentative="1">
      <w:start w:val="1"/>
      <w:numFmt w:val="bullet"/>
      <w:lvlText w:val=""/>
      <w:lvlJc w:val="left"/>
      <w:pPr>
        <w:ind w:left="4680" w:hanging="360"/>
      </w:pPr>
      <w:rPr>
        <w:rFonts w:ascii="Wingdings" w:hAnsi="Wingdings" w:hint="default"/>
      </w:rPr>
    </w:lvl>
    <w:lvl w:ilvl="6" w:tplc="40090001" w:tentative="1">
      <w:start w:val="1"/>
      <w:numFmt w:val="bullet"/>
      <w:lvlText w:val=""/>
      <w:lvlJc w:val="left"/>
      <w:pPr>
        <w:ind w:left="5400" w:hanging="360"/>
      </w:pPr>
      <w:rPr>
        <w:rFonts w:ascii="Symbol" w:hAnsi="Symbol" w:hint="default"/>
      </w:rPr>
    </w:lvl>
    <w:lvl w:ilvl="7" w:tplc="40090003" w:tentative="1">
      <w:start w:val="1"/>
      <w:numFmt w:val="bullet"/>
      <w:lvlText w:val="o"/>
      <w:lvlJc w:val="left"/>
      <w:pPr>
        <w:ind w:left="6120" w:hanging="360"/>
      </w:pPr>
      <w:rPr>
        <w:rFonts w:ascii="Courier New" w:hAnsi="Courier New" w:cs="Courier New" w:hint="default"/>
      </w:rPr>
    </w:lvl>
    <w:lvl w:ilvl="8" w:tplc="40090005" w:tentative="1">
      <w:start w:val="1"/>
      <w:numFmt w:val="bullet"/>
      <w:lvlText w:val=""/>
      <w:lvlJc w:val="left"/>
      <w:pPr>
        <w:ind w:left="6840" w:hanging="360"/>
      </w:pPr>
      <w:rPr>
        <w:rFonts w:ascii="Wingdings" w:hAnsi="Wingdings" w:hint="default"/>
      </w:rPr>
    </w:lvl>
  </w:abstractNum>
  <w:abstractNum w:abstractNumId="17" w15:restartNumberingAfterBreak="0">
    <w:nsid w:val="4AB07D1F"/>
    <w:multiLevelType w:val="hybridMultilevel"/>
    <w:tmpl w:val="BDDAED1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8" w15:restartNumberingAfterBreak="0">
    <w:nsid w:val="4ADC29CD"/>
    <w:multiLevelType w:val="multilevel"/>
    <w:tmpl w:val="8E10A3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52A2495C"/>
    <w:multiLevelType w:val="multilevel"/>
    <w:tmpl w:val="13A63150"/>
    <w:lvl w:ilvl="0">
      <w:start w:val="4"/>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20" w15:restartNumberingAfterBreak="0">
    <w:nsid w:val="530411A4"/>
    <w:multiLevelType w:val="hybridMultilevel"/>
    <w:tmpl w:val="C562DE5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1" w15:restartNumberingAfterBreak="0">
    <w:nsid w:val="562E75BE"/>
    <w:multiLevelType w:val="multilevel"/>
    <w:tmpl w:val="1B0015B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5C422A98"/>
    <w:multiLevelType w:val="hybridMultilevel"/>
    <w:tmpl w:val="8E8E76B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3" w15:restartNumberingAfterBreak="0">
    <w:nsid w:val="60C937EB"/>
    <w:multiLevelType w:val="hybridMultilevel"/>
    <w:tmpl w:val="FC64550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4" w15:restartNumberingAfterBreak="0">
    <w:nsid w:val="60CE1598"/>
    <w:multiLevelType w:val="multilevel"/>
    <w:tmpl w:val="3C308F0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644272B0"/>
    <w:multiLevelType w:val="hybridMultilevel"/>
    <w:tmpl w:val="31469190"/>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6" w15:restartNumberingAfterBreak="0">
    <w:nsid w:val="68E96E52"/>
    <w:multiLevelType w:val="hybridMultilevel"/>
    <w:tmpl w:val="13ACFF3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7" w15:restartNumberingAfterBreak="0">
    <w:nsid w:val="6B876D9A"/>
    <w:multiLevelType w:val="hybridMultilevel"/>
    <w:tmpl w:val="DDE8BF0E"/>
    <w:lvl w:ilvl="0" w:tplc="40090001">
      <w:start w:val="1"/>
      <w:numFmt w:val="bullet"/>
      <w:lvlText w:val=""/>
      <w:lvlJc w:val="left"/>
      <w:pPr>
        <w:ind w:left="1080" w:hanging="360"/>
      </w:pPr>
      <w:rPr>
        <w:rFonts w:ascii="Symbol" w:hAnsi="Symbol" w:hint="default"/>
      </w:rPr>
    </w:lvl>
    <w:lvl w:ilvl="1" w:tplc="40090003" w:tentative="1">
      <w:start w:val="1"/>
      <w:numFmt w:val="bullet"/>
      <w:lvlText w:val="o"/>
      <w:lvlJc w:val="left"/>
      <w:pPr>
        <w:ind w:left="1800" w:hanging="360"/>
      </w:pPr>
      <w:rPr>
        <w:rFonts w:ascii="Courier New" w:hAnsi="Courier New" w:cs="Courier New" w:hint="default"/>
      </w:rPr>
    </w:lvl>
    <w:lvl w:ilvl="2" w:tplc="40090005" w:tentative="1">
      <w:start w:val="1"/>
      <w:numFmt w:val="bullet"/>
      <w:lvlText w:val=""/>
      <w:lvlJc w:val="left"/>
      <w:pPr>
        <w:ind w:left="2520" w:hanging="360"/>
      </w:pPr>
      <w:rPr>
        <w:rFonts w:ascii="Wingdings" w:hAnsi="Wingdings" w:hint="default"/>
      </w:rPr>
    </w:lvl>
    <w:lvl w:ilvl="3" w:tplc="40090001" w:tentative="1">
      <w:start w:val="1"/>
      <w:numFmt w:val="bullet"/>
      <w:lvlText w:val=""/>
      <w:lvlJc w:val="left"/>
      <w:pPr>
        <w:ind w:left="3240" w:hanging="360"/>
      </w:pPr>
      <w:rPr>
        <w:rFonts w:ascii="Symbol" w:hAnsi="Symbol" w:hint="default"/>
      </w:rPr>
    </w:lvl>
    <w:lvl w:ilvl="4" w:tplc="40090003" w:tentative="1">
      <w:start w:val="1"/>
      <w:numFmt w:val="bullet"/>
      <w:lvlText w:val="o"/>
      <w:lvlJc w:val="left"/>
      <w:pPr>
        <w:ind w:left="3960" w:hanging="360"/>
      </w:pPr>
      <w:rPr>
        <w:rFonts w:ascii="Courier New" w:hAnsi="Courier New" w:cs="Courier New" w:hint="default"/>
      </w:rPr>
    </w:lvl>
    <w:lvl w:ilvl="5" w:tplc="40090005" w:tentative="1">
      <w:start w:val="1"/>
      <w:numFmt w:val="bullet"/>
      <w:lvlText w:val=""/>
      <w:lvlJc w:val="left"/>
      <w:pPr>
        <w:ind w:left="4680" w:hanging="360"/>
      </w:pPr>
      <w:rPr>
        <w:rFonts w:ascii="Wingdings" w:hAnsi="Wingdings" w:hint="default"/>
      </w:rPr>
    </w:lvl>
    <w:lvl w:ilvl="6" w:tplc="40090001" w:tentative="1">
      <w:start w:val="1"/>
      <w:numFmt w:val="bullet"/>
      <w:lvlText w:val=""/>
      <w:lvlJc w:val="left"/>
      <w:pPr>
        <w:ind w:left="5400" w:hanging="360"/>
      </w:pPr>
      <w:rPr>
        <w:rFonts w:ascii="Symbol" w:hAnsi="Symbol" w:hint="default"/>
      </w:rPr>
    </w:lvl>
    <w:lvl w:ilvl="7" w:tplc="40090003" w:tentative="1">
      <w:start w:val="1"/>
      <w:numFmt w:val="bullet"/>
      <w:lvlText w:val="o"/>
      <w:lvlJc w:val="left"/>
      <w:pPr>
        <w:ind w:left="6120" w:hanging="360"/>
      </w:pPr>
      <w:rPr>
        <w:rFonts w:ascii="Courier New" w:hAnsi="Courier New" w:cs="Courier New" w:hint="default"/>
      </w:rPr>
    </w:lvl>
    <w:lvl w:ilvl="8" w:tplc="40090005" w:tentative="1">
      <w:start w:val="1"/>
      <w:numFmt w:val="bullet"/>
      <w:lvlText w:val=""/>
      <w:lvlJc w:val="left"/>
      <w:pPr>
        <w:ind w:left="6840" w:hanging="360"/>
      </w:pPr>
      <w:rPr>
        <w:rFonts w:ascii="Wingdings" w:hAnsi="Wingdings" w:hint="default"/>
      </w:rPr>
    </w:lvl>
  </w:abstractNum>
  <w:abstractNum w:abstractNumId="28" w15:restartNumberingAfterBreak="0">
    <w:nsid w:val="6D3C6647"/>
    <w:multiLevelType w:val="hybridMultilevel"/>
    <w:tmpl w:val="13DE8C5C"/>
    <w:lvl w:ilvl="0" w:tplc="40090001">
      <w:start w:val="1"/>
      <w:numFmt w:val="bullet"/>
      <w:lvlText w:val=""/>
      <w:lvlJc w:val="left"/>
      <w:pPr>
        <w:ind w:left="1440" w:hanging="360"/>
      </w:pPr>
      <w:rPr>
        <w:rFonts w:ascii="Symbol" w:hAnsi="Symbol" w:hint="default"/>
      </w:rPr>
    </w:lvl>
    <w:lvl w:ilvl="1" w:tplc="40090003" w:tentative="1">
      <w:start w:val="1"/>
      <w:numFmt w:val="bullet"/>
      <w:lvlText w:val="o"/>
      <w:lvlJc w:val="left"/>
      <w:pPr>
        <w:ind w:left="2160" w:hanging="360"/>
      </w:pPr>
      <w:rPr>
        <w:rFonts w:ascii="Courier New" w:hAnsi="Courier New" w:cs="Courier New" w:hint="default"/>
      </w:rPr>
    </w:lvl>
    <w:lvl w:ilvl="2" w:tplc="40090005" w:tentative="1">
      <w:start w:val="1"/>
      <w:numFmt w:val="bullet"/>
      <w:lvlText w:val=""/>
      <w:lvlJc w:val="left"/>
      <w:pPr>
        <w:ind w:left="2880" w:hanging="360"/>
      </w:pPr>
      <w:rPr>
        <w:rFonts w:ascii="Wingdings" w:hAnsi="Wingdings" w:hint="default"/>
      </w:rPr>
    </w:lvl>
    <w:lvl w:ilvl="3" w:tplc="40090001" w:tentative="1">
      <w:start w:val="1"/>
      <w:numFmt w:val="bullet"/>
      <w:lvlText w:val=""/>
      <w:lvlJc w:val="left"/>
      <w:pPr>
        <w:ind w:left="3600" w:hanging="360"/>
      </w:pPr>
      <w:rPr>
        <w:rFonts w:ascii="Symbol" w:hAnsi="Symbol" w:hint="default"/>
      </w:rPr>
    </w:lvl>
    <w:lvl w:ilvl="4" w:tplc="40090003" w:tentative="1">
      <w:start w:val="1"/>
      <w:numFmt w:val="bullet"/>
      <w:lvlText w:val="o"/>
      <w:lvlJc w:val="left"/>
      <w:pPr>
        <w:ind w:left="4320" w:hanging="360"/>
      </w:pPr>
      <w:rPr>
        <w:rFonts w:ascii="Courier New" w:hAnsi="Courier New" w:cs="Courier New" w:hint="default"/>
      </w:rPr>
    </w:lvl>
    <w:lvl w:ilvl="5" w:tplc="40090005" w:tentative="1">
      <w:start w:val="1"/>
      <w:numFmt w:val="bullet"/>
      <w:lvlText w:val=""/>
      <w:lvlJc w:val="left"/>
      <w:pPr>
        <w:ind w:left="5040" w:hanging="360"/>
      </w:pPr>
      <w:rPr>
        <w:rFonts w:ascii="Wingdings" w:hAnsi="Wingdings" w:hint="default"/>
      </w:rPr>
    </w:lvl>
    <w:lvl w:ilvl="6" w:tplc="40090001" w:tentative="1">
      <w:start w:val="1"/>
      <w:numFmt w:val="bullet"/>
      <w:lvlText w:val=""/>
      <w:lvlJc w:val="left"/>
      <w:pPr>
        <w:ind w:left="5760" w:hanging="360"/>
      </w:pPr>
      <w:rPr>
        <w:rFonts w:ascii="Symbol" w:hAnsi="Symbol" w:hint="default"/>
      </w:rPr>
    </w:lvl>
    <w:lvl w:ilvl="7" w:tplc="40090003" w:tentative="1">
      <w:start w:val="1"/>
      <w:numFmt w:val="bullet"/>
      <w:lvlText w:val="o"/>
      <w:lvlJc w:val="left"/>
      <w:pPr>
        <w:ind w:left="6480" w:hanging="360"/>
      </w:pPr>
      <w:rPr>
        <w:rFonts w:ascii="Courier New" w:hAnsi="Courier New" w:cs="Courier New" w:hint="default"/>
      </w:rPr>
    </w:lvl>
    <w:lvl w:ilvl="8" w:tplc="40090005" w:tentative="1">
      <w:start w:val="1"/>
      <w:numFmt w:val="bullet"/>
      <w:lvlText w:val=""/>
      <w:lvlJc w:val="left"/>
      <w:pPr>
        <w:ind w:left="7200" w:hanging="360"/>
      </w:pPr>
      <w:rPr>
        <w:rFonts w:ascii="Wingdings" w:hAnsi="Wingdings" w:hint="default"/>
      </w:rPr>
    </w:lvl>
  </w:abstractNum>
  <w:abstractNum w:abstractNumId="29" w15:restartNumberingAfterBreak="0">
    <w:nsid w:val="727C5E85"/>
    <w:multiLevelType w:val="multilevel"/>
    <w:tmpl w:val="C0EEF67E"/>
    <w:lvl w:ilvl="0">
      <w:start w:val="1"/>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30" w15:restartNumberingAfterBreak="0">
    <w:nsid w:val="743148A7"/>
    <w:multiLevelType w:val="hybridMultilevel"/>
    <w:tmpl w:val="DEA85C1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1" w15:restartNumberingAfterBreak="0">
    <w:nsid w:val="7EE0215C"/>
    <w:multiLevelType w:val="hybridMultilevel"/>
    <w:tmpl w:val="02E8F760"/>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32" w15:restartNumberingAfterBreak="0">
    <w:nsid w:val="7EF54950"/>
    <w:multiLevelType w:val="hybridMultilevel"/>
    <w:tmpl w:val="9CA26A0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1067802533">
    <w:abstractNumId w:val="3"/>
  </w:num>
  <w:num w:numId="2" w16cid:durableId="1371495398">
    <w:abstractNumId w:val="23"/>
  </w:num>
  <w:num w:numId="3" w16cid:durableId="1746218715">
    <w:abstractNumId w:val="16"/>
  </w:num>
  <w:num w:numId="4" w16cid:durableId="1431123465">
    <w:abstractNumId w:val="4"/>
  </w:num>
  <w:num w:numId="5" w16cid:durableId="609360743">
    <w:abstractNumId w:val="28"/>
  </w:num>
  <w:num w:numId="6" w16cid:durableId="1314791383">
    <w:abstractNumId w:val="7"/>
  </w:num>
  <w:num w:numId="7" w16cid:durableId="532697992">
    <w:abstractNumId w:val="20"/>
  </w:num>
  <w:num w:numId="8" w16cid:durableId="1625891617">
    <w:abstractNumId w:val="26"/>
  </w:num>
  <w:num w:numId="9" w16cid:durableId="1996910001">
    <w:abstractNumId w:val="27"/>
  </w:num>
  <w:num w:numId="10" w16cid:durableId="670838564">
    <w:abstractNumId w:val="8"/>
  </w:num>
  <w:num w:numId="11" w16cid:durableId="528687160">
    <w:abstractNumId w:val="14"/>
  </w:num>
  <w:num w:numId="12" w16cid:durableId="2058429682">
    <w:abstractNumId w:val="1"/>
  </w:num>
  <w:num w:numId="13" w16cid:durableId="1118110913">
    <w:abstractNumId w:val="2"/>
  </w:num>
  <w:num w:numId="14" w16cid:durableId="1226455078">
    <w:abstractNumId w:val="13"/>
  </w:num>
  <w:num w:numId="15" w16cid:durableId="603458870">
    <w:abstractNumId w:val="0"/>
  </w:num>
  <w:num w:numId="16" w16cid:durableId="1950695731">
    <w:abstractNumId w:val="30"/>
  </w:num>
  <w:num w:numId="17" w16cid:durableId="352003037">
    <w:abstractNumId w:val="12"/>
  </w:num>
  <w:num w:numId="18" w16cid:durableId="1545555955">
    <w:abstractNumId w:val="12"/>
    <w:lvlOverride w:ilvl="2">
      <w:startOverride w:val="2"/>
    </w:lvlOverride>
  </w:num>
  <w:num w:numId="19" w16cid:durableId="1535000969">
    <w:abstractNumId w:val="12"/>
    <w:lvlOverride w:ilvl="2">
      <w:lvl w:ilvl="2">
        <w:numFmt w:val="bullet"/>
        <w:lvlText w:val=""/>
        <w:lvlJc w:val="left"/>
        <w:pPr>
          <w:tabs>
            <w:tab w:val="num" w:pos="2160"/>
          </w:tabs>
          <w:ind w:left="2160" w:hanging="360"/>
        </w:pPr>
        <w:rPr>
          <w:rFonts w:ascii="Wingdings" w:hAnsi="Wingdings" w:hint="default"/>
          <w:sz w:val="20"/>
        </w:rPr>
      </w:lvl>
    </w:lvlOverride>
  </w:num>
  <w:num w:numId="20" w16cid:durableId="1647977559">
    <w:abstractNumId w:val="12"/>
    <w:lvlOverride w:ilvl="2">
      <w:startOverride w:val="3"/>
    </w:lvlOverride>
  </w:num>
  <w:num w:numId="21" w16cid:durableId="1990942453">
    <w:abstractNumId w:val="12"/>
    <w:lvlOverride w:ilvl="2">
      <w:lvl w:ilvl="2">
        <w:numFmt w:val="bullet"/>
        <w:lvlText w:val=""/>
        <w:lvlJc w:val="left"/>
        <w:pPr>
          <w:tabs>
            <w:tab w:val="num" w:pos="2160"/>
          </w:tabs>
          <w:ind w:left="2160" w:hanging="360"/>
        </w:pPr>
        <w:rPr>
          <w:rFonts w:ascii="Wingdings" w:hAnsi="Wingdings" w:hint="default"/>
          <w:sz w:val="20"/>
        </w:rPr>
      </w:lvl>
    </w:lvlOverride>
  </w:num>
  <w:num w:numId="22" w16cid:durableId="546380513">
    <w:abstractNumId w:val="12"/>
    <w:lvlOverride w:ilvl="2">
      <w:startOverride w:val="4"/>
    </w:lvlOverride>
  </w:num>
  <w:num w:numId="23" w16cid:durableId="590741830">
    <w:abstractNumId w:val="12"/>
    <w:lvlOverride w:ilvl="2">
      <w:lvl w:ilvl="2">
        <w:numFmt w:val="bullet"/>
        <w:lvlText w:val=""/>
        <w:lvlJc w:val="left"/>
        <w:pPr>
          <w:tabs>
            <w:tab w:val="num" w:pos="2160"/>
          </w:tabs>
          <w:ind w:left="2160" w:hanging="360"/>
        </w:pPr>
        <w:rPr>
          <w:rFonts w:ascii="Wingdings" w:hAnsi="Wingdings" w:hint="default"/>
          <w:sz w:val="20"/>
        </w:rPr>
      </w:lvl>
    </w:lvlOverride>
  </w:num>
  <w:num w:numId="24" w16cid:durableId="2045859857">
    <w:abstractNumId w:val="12"/>
    <w:lvlOverride w:ilvl="2">
      <w:startOverride w:val="5"/>
    </w:lvlOverride>
  </w:num>
  <w:num w:numId="25" w16cid:durableId="480923532">
    <w:abstractNumId w:val="12"/>
    <w:lvlOverride w:ilvl="2">
      <w:startOverride w:val="6"/>
    </w:lvlOverride>
  </w:num>
  <w:num w:numId="26" w16cid:durableId="114980994">
    <w:abstractNumId w:val="12"/>
    <w:lvlOverride w:ilvl="2">
      <w:startOverride w:val="1"/>
    </w:lvlOverride>
  </w:num>
  <w:num w:numId="27" w16cid:durableId="375936517">
    <w:abstractNumId w:val="12"/>
    <w:lvlOverride w:ilvl="2">
      <w:lvl w:ilvl="2">
        <w:numFmt w:val="bullet"/>
        <w:lvlText w:val=""/>
        <w:lvlJc w:val="left"/>
        <w:pPr>
          <w:tabs>
            <w:tab w:val="num" w:pos="2160"/>
          </w:tabs>
          <w:ind w:left="2160" w:hanging="360"/>
        </w:pPr>
        <w:rPr>
          <w:rFonts w:ascii="Wingdings" w:hAnsi="Wingdings" w:hint="default"/>
          <w:sz w:val="20"/>
        </w:rPr>
      </w:lvl>
    </w:lvlOverride>
  </w:num>
  <w:num w:numId="28" w16cid:durableId="1348487584">
    <w:abstractNumId w:val="12"/>
    <w:lvlOverride w:ilvl="2">
      <w:startOverride w:val="2"/>
    </w:lvlOverride>
  </w:num>
  <w:num w:numId="29" w16cid:durableId="1606427591">
    <w:abstractNumId w:val="12"/>
    <w:lvlOverride w:ilvl="2">
      <w:lvl w:ilvl="2">
        <w:numFmt w:val="bullet"/>
        <w:lvlText w:val=""/>
        <w:lvlJc w:val="left"/>
        <w:pPr>
          <w:tabs>
            <w:tab w:val="num" w:pos="2160"/>
          </w:tabs>
          <w:ind w:left="2160" w:hanging="360"/>
        </w:pPr>
        <w:rPr>
          <w:rFonts w:ascii="Wingdings" w:hAnsi="Wingdings" w:hint="default"/>
          <w:sz w:val="20"/>
        </w:rPr>
      </w:lvl>
    </w:lvlOverride>
  </w:num>
  <w:num w:numId="30" w16cid:durableId="1042554008">
    <w:abstractNumId w:val="12"/>
    <w:lvlOverride w:ilvl="2">
      <w:startOverride w:val="3"/>
    </w:lvlOverride>
  </w:num>
  <w:num w:numId="31" w16cid:durableId="1018655026">
    <w:abstractNumId w:val="12"/>
    <w:lvlOverride w:ilvl="2">
      <w:startOverride w:val="4"/>
    </w:lvlOverride>
  </w:num>
  <w:num w:numId="32" w16cid:durableId="612783760">
    <w:abstractNumId w:val="12"/>
    <w:lvlOverride w:ilvl="2">
      <w:startOverride w:val="1"/>
    </w:lvlOverride>
  </w:num>
  <w:num w:numId="33" w16cid:durableId="73861741">
    <w:abstractNumId w:val="12"/>
    <w:lvlOverride w:ilvl="2">
      <w:startOverride w:val="2"/>
    </w:lvlOverride>
  </w:num>
  <w:num w:numId="34" w16cid:durableId="1765764053">
    <w:abstractNumId w:val="12"/>
    <w:lvlOverride w:ilvl="2">
      <w:startOverride w:val="3"/>
    </w:lvlOverride>
  </w:num>
  <w:num w:numId="35" w16cid:durableId="675884682">
    <w:abstractNumId w:val="11"/>
  </w:num>
  <w:num w:numId="36" w16cid:durableId="1624650472">
    <w:abstractNumId w:val="5"/>
  </w:num>
  <w:num w:numId="37" w16cid:durableId="1515143243">
    <w:abstractNumId w:val="15"/>
  </w:num>
  <w:num w:numId="38" w16cid:durableId="404843542">
    <w:abstractNumId w:val="19"/>
  </w:num>
  <w:num w:numId="39" w16cid:durableId="1886288672">
    <w:abstractNumId w:val="29"/>
  </w:num>
  <w:num w:numId="40" w16cid:durableId="1350713923">
    <w:abstractNumId w:val="6"/>
  </w:num>
  <w:num w:numId="41" w16cid:durableId="227302892">
    <w:abstractNumId w:val="31"/>
  </w:num>
  <w:num w:numId="42" w16cid:durableId="1608082904">
    <w:abstractNumId w:val="10"/>
  </w:num>
  <w:num w:numId="43" w16cid:durableId="2051300300">
    <w:abstractNumId w:val="25"/>
  </w:num>
  <w:num w:numId="44" w16cid:durableId="2061047979">
    <w:abstractNumId w:val="24"/>
  </w:num>
  <w:num w:numId="45" w16cid:durableId="1270166761">
    <w:abstractNumId w:val="21"/>
  </w:num>
  <w:num w:numId="46" w16cid:durableId="1163084746">
    <w:abstractNumId w:val="18"/>
  </w:num>
  <w:num w:numId="47" w16cid:durableId="1118528867">
    <w:abstractNumId w:val="22"/>
  </w:num>
  <w:num w:numId="48" w16cid:durableId="819541917">
    <w:abstractNumId w:val="17"/>
  </w:num>
  <w:num w:numId="49" w16cid:durableId="1832329552">
    <w:abstractNumId w:val="9"/>
  </w:num>
  <w:num w:numId="50" w16cid:durableId="1054500250">
    <w:abstractNumId w:val="3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60"/>
  <w:proofState w:spelling="clean" w:grammar="clean"/>
  <w:defaultTabStop w:val="720"/>
  <w:characterSpacingControl w:val="doNotCompress"/>
  <w:compat>
    <w:applyBreakingRules/>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86085"/>
    <w:rsid w:val="00004D08"/>
    <w:rsid w:val="00014219"/>
    <w:rsid w:val="00016F11"/>
    <w:rsid w:val="00022AC7"/>
    <w:rsid w:val="000475A1"/>
    <w:rsid w:val="00095740"/>
    <w:rsid w:val="000A1D52"/>
    <w:rsid w:val="0010292C"/>
    <w:rsid w:val="00154DF0"/>
    <w:rsid w:val="0017336E"/>
    <w:rsid w:val="00184B79"/>
    <w:rsid w:val="00194C50"/>
    <w:rsid w:val="001961EA"/>
    <w:rsid w:val="001B07AA"/>
    <w:rsid w:val="001B32CD"/>
    <w:rsid w:val="001C693E"/>
    <w:rsid w:val="001D4880"/>
    <w:rsid w:val="001E00BC"/>
    <w:rsid w:val="00212022"/>
    <w:rsid w:val="002215D2"/>
    <w:rsid w:val="00233B43"/>
    <w:rsid w:val="00237A74"/>
    <w:rsid w:val="00253FB0"/>
    <w:rsid w:val="002D6084"/>
    <w:rsid w:val="00320E29"/>
    <w:rsid w:val="003304DE"/>
    <w:rsid w:val="00342A7E"/>
    <w:rsid w:val="00344671"/>
    <w:rsid w:val="00363942"/>
    <w:rsid w:val="00366C31"/>
    <w:rsid w:val="00375730"/>
    <w:rsid w:val="003819D4"/>
    <w:rsid w:val="003848E9"/>
    <w:rsid w:val="00390216"/>
    <w:rsid w:val="003F46C0"/>
    <w:rsid w:val="00446F75"/>
    <w:rsid w:val="004643A9"/>
    <w:rsid w:val="004804DF"/>
    <w:rsid w:val="004A1CC3"/>
    <w:rsid w:val="004B5A7F"/>
    <w:rsid w:val="004C6E97"/>
    <w:rsid w:val="004D00E9"/>
    <w:rsid w:val="004D3CC9"/>
    <w:rsid w:val="004E2B85"/>
    <w:rsid w:val="00511760"/>
    <w:rsid w:val="005575F1"/>
    <w:rsid w:val="00566395"/>
    <w:rsid w:val="00566903"/>
    <w:rsid w:val="005C08FE"/>
    <w:rsid w:val="005E37F1"/>
    <w:rsid w:val="00614124"/>
    <w:rsid w:val="00651FE0"/>
    <w:rsid w:val="006A17BD"/>
    <w:rsid w:val="006A6B6B"/>
    <w:rsid w:val="006E7FED"/>
    <w:rsid w:val="006F1713"/>
    <w:rsid w:val="00706685"/>
    <w:rsid w:val="00737C24"/>
    <w:rsid w:val="00800939"/>
    <w:rsid w:val="008212B2"/>
    <w:rsid w:val="00845810"/>
    <w:rsid w:val="00891E5C"/>
    <w:rsid w:val="008D4C06"/>
    <w:rsid w:val="008E6CD0"/>
    <w:rsid w:val="008F00B5"/>
    <w:rsid w:val="00906FA7"/>
    <w:rsid w:val="00930BE0"/>
    <w:rsid w:val="009362A5"/>
    <w:rsid w:val="009444E2"/>
    <w:rsid w:val="009B7096"/>
    <w:rsid w:val="009E2879"/>
    <w:rsid w:val="00A2634D"/>
    <w:rsid w:val="00A57669"/>
    <w:rsid w:val="00A759DB"/>
    <w:rsid w:val="00A9294B"/>
    <w:rsid w:val="00AB339B"/>
    <w:rsid w:val="00AE66E1"/>
    <w:rsid w:val="00B1221C"/>
    <w:rsid w:val="00B256C5"/>
    <w:rsid w:val="00B85A78"/>
    <w:rsid w:val="00B9279B"/>
    <w:rsid w:val="00BD20B0"/>
    <w:rsid w:val="00BE4B0F"/>
    <w:rsid w:val="00C82AD4"/>
    <w:rsid w:val="00C87524"/>
    <w:rsid w:val="00CB7AFA"/>
    <w:rsid w:val="00CC51BE"/>
    <w:rsid w:val="00CF35B1"/>
    <w:rsid w:val="00D255FC"/>
    <w:rsid w:val="00D3736A"/>
    <w:rsid w:val="00D713EA"/>
    <w:rsid w:val="00D86085"/>
    <w:rsid w:val="00DC1881"/>
    <w:rsid w:val="00DD2085"/>
    <w:rsid w:val="00E10474"/>
    <w:rsid w:val="00E13337"/>
    <w:rsid w:val="00E3099E"/>
    <w:rsid w:val="00E825D3"/>
    <w:rsid w:val="00E91C99"/>
    <w:rsid w:val="00EB0F30"/>
    <w:rsid w:val="00EC724B"/>
    <w:rsid w:val="00EE2E0A"/>
    <w:rsid w:val="00F36A91"/>
    <w:rsid w:val="00F713B3"/>
    <w:rsid w:val="00F86E46"/>
    <w:rsid w:val="00FA42DB"/>
    <w:rsid w:val="00FC4E45"/>
    <w:rsid w:val="00FE70EA"/>
  </w:rsids>
  <m:mathPr>
    <m:mathFont m:val="Cambria Math"/>
    <m:brkBin m:val="before"/>
    <m:brkBinSub m:val="--"/>
    <m:smallFrac m:val="0"/>
    <m:dispDef/>
    <m:lMargin m:val="0"/>
    <m:rMargin m:val="0"/>
    <m:defJc m:val="centerGroup"/>
    <m:wrapIndent m:val="1440"/>
    <m:intLim m:val="subSup"/>
    <m:naryLim m:val="undOvr"/>
  </m:mathPr>
  <w:themeFontLang w:val="en-IN" w:eastAsia="zh-CN" w:bidi="th-TH"/>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7D14AF"/>
  <w15:chartTrackingRefBased/>
  <w15:docId w15:val="{EFF48B91-216A-4AD2-8ED2-868AE74198E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8"/>
        <w:lang w:val="en-IN" w:eastAsia="en-US" w:bidi="th-TH"/>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86085"/>
    <w:pPr>
      <w:keepNext/>
      <w:keepLines/>
      <w:spacing w:before="360" w:after="80"/>
      <w:outlineLvl w:val="0"/>
    </w:pPr>
    <w:rPr>
      <w:rFonts w:asciiTheme="majorHAnsi" w:eastAsiaTheme="majorEastAsia" w:hAnsiTheme="majorHAnsi" w:cstheme="majorBidi"/>
      <w:color w:val="0F4761" w:themeColor="accent1" w:themeShade="BF"/>
      <w:sz w:val="40"/>
      <w:szCs w:val="50"/>
    </w:rPr>
  </w:style>
  <w:style w:type="paragraph" w:styleId="Heading2">
    <w:name w:val="heading 2"/>
    <w:basedOn w:val="Normal"/>
    <w:next w:val="Normal"/>
    <w:link w:val="Heading2Char"/>
    <w:unhideWhenUsed/>
    <w:qFormat/>
    <w:rsid w:val="00D86085"/>
    <w:pPr>
      <w:keepNext/>
      <w:keepLines/>
      <w:spacing w:before="160" w:after="80"/>
      <w:outlineLvl w:val="1"/>
    </w:pPr>
    <w:rPr>
      <w:rFonts w:asciiTheme="majorHAnsi" w:eastAsiaTheme="majorEastAsia" w:hAnsiTheme="majorHAnsi" w:cstheme="majorBidi"/>
      <w:color w:val="0F4761" w:themeColor="accent1" w:themeShade="BF"/>
      <w:sz w:val="32"/>
      <w:szCs w:val="40"/>
    </w:rPr>
  </w:style>
  <w:style w:type="paragraph" w:styleId="Heading3">
    <w:name w:val="heading 3"/>
    <w:basedOn w:val="Normal"/>
    <w:next w:val="Normal"/>
    <w:link w:val="Heading3Char"/>
    <w:uiPriority w:val="9"/>
    <w:semiHidden/>
    <w:unhideWhenUsed/>
    <w:qFormat/>
    <w:rsid w:val="00D86085"/>
    <w:pPr>
      <w:keepNext/>
      <w:keepLines/>
      <w:spacing w:before="160" w:after="80"/>
      <w:outlineLvl w:val="2"/>
    </w:pPr>
    <w:rPr>
      <w:rFonts w:eastAsiaTheme="majorEastAsia" w:cstheme="majorBidi"/>
      <w:color w:val="0F4761" w:themeColor="accent1" w:themeShade="BF"/>
      <w:sz w:val="28"/>
      <w:szCs w:val="35"/>
    </w:rPr>
  </w:style>
  <w:style w:type="paragraph" w:styleId="Heading4">
    <w:name w:val="heading 4"/>
    <w:basedOn w:val="Normal"/>
    <w:next w:val="Normal"/>
    <w:link w:val="Heading4Char"/>
    <w:uiPriority w:val="9"/>
    <w:semiHidden/>
    <w:unhideWhenUsed/>
    <w:qFormat/>
    <w:rsid w:val="00D8608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8608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8608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8608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8608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8608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86085"/>
    <w:rPr>
      <w:rFonts w:asciiTheme="majorHAnsi" w:eastAsiaTheme="majorEastAsia" w:hAnsiTheme="majorHAnsi" w:cstheme="majorBidi"/>
      <w:color w:val="0F4761" w:themeColor="accent1" w:themeShade="BF"/>
      <w:sz w:val="40"/>
      <w:szCs w:val="50"/>
    </w:rPr>
  </w:style>
  <w:style w:type="character" w:customStyle="1" w:styleId="Heading2Char">
    <w:name w:val="Heading 2 Char"/>
    <w:basedOn w:val="DefaultParagraphFont"/>
    <w:link w:val="Heading2"/>
    <w:rsid w:val="00D86085"/>
    <w:rPr>
      <w:rFonts w:asciiTheme="majorHAnsi" w:eastAsiaTheme="majorEastAsia" w:hAnsiTheme="majorHAnsi" w:cstheme="majorBidi"/>
      <w:color w:val="0F4761" w:themeColor="accent1" w:themeShade="BF"/>
      <w:sz w:val="32"/>
      <w:szCs w:val="40"/>
    </w:rPr>
  </w:style>
  <w:style w:type="character" w:customStyle="1" w:styleId="Heading3Char">
    <w:name w:val="Heading 3 Char"/>
    <w:basedOn w:val="DefaultParagraphFont"/>
    <w:link w:val="Heading3"/>
    <w:uiPriority w:val="9"/>
    <w:semiHidden/>
    <w:rsid w:val="00D86085"/>
    <w:rPr>
      <w:rFonts w:eastAsiaTheme="majorEastAsia" w:cstheme="majorBidi"/>
      <w:color w:val="0F4761" w:themeColor="accent1" w:themeShade="BF"/>
      <w:sz w:val="28"/>
      <w:szCs w:val="35"/>
    </w:rPr>
  </w:style>
  <w:style w:type="character" w:customStyle="1" w:styleId="Heading4Char">
    <w:name w:val="Heading 4 Char"/>
    <w:basedOn w:val="DefaultParagraphFont"/>
    <w:link w:val="Heading4"/>
    <w:uiPriority w:val="9"/>
    <w:semiHidden/>
    <w:rsid w:val="00D8608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8608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8608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8608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8608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86085"/>
    <w:rPr>
      <w:rFonts w:eastAsiaTheme="majorEastAsia" w:cstheme="majorBidi"/>
      <w:color w:val="272727" w:themeColor="text1" w:themeTint="D8"/>
    </w:rPr>
  </w:style>
  <w:style w:type="paragraph" w:styleId="Title">
    <w:name w:val="Title"/>
    <w:basedOn w:val="Normal"/>
    <w:next w:val="Normal"/>
    <w:link w:val="TitleChar"/>
    <w:uiPriority w:val="10"/>
    <w:qFormat/>
    <w:rsid w:val="00D86085"/>
    <w:pPr>
      <w:spacing w:after="80" w:line="240" w:lineRule="auto"/>
      <w:contextualSpacing/>
    </w:pPr>
    <w:rPr>
      <w:rFonts w:asciiTheme="majorHAnsi" w:eastAsiaTheme="majorEastAsia" w:hAnsiTheme="majorHAnsi" w:cstheme="majorBidi"/>
      <w:spacing w:val="-10"/>
      <w:kern w:val="28"/>
      <w:sz w:val="56"/>
      <w:szCs w:val="71"/>
    </w:rPr>
  </w:style>
  <w:style w:type="character" w:customStyle="1" w:styleId="TitleChar">
    <w:name w:val="Title Char"/>
    <w:basedOn w:val="DefaultParagraphFont"/>
    <w:link w:val="Title"/>
    <w:uiPriority w:val="10"/>
    <w:rsid w:val="00D86085"/>
    <w:rPr>
      <w:rFonts w:asciiTheme="majorHAnsi" w:eastAsiaTheme="majorEastAsia" w:hAnsiTheme="majorHAnsi" w:cstheme="majorBidi"/>
      <w:spacing w:val="-10"/>
      <w:kern w:val="28"/>
      <w:sz w:val="56"/>
      <w:szCs w:val="71"/>
    </w:rPr>
  </w:style>
  <w:style w:type="paragraph" w:styleId="Subtitle">
    <w:name w:val="Subtitle"/>
    <w:basedOn w:val="Normal"/>
    <w:next w:val="Normal"/>
    <w:link w:val="SubtitleChar"/>
    <w:uiPriority w:val="11"/>
    <w:qFormat/>
    <w:rsid w:val="00D86085"/>
    <w:pPr>
      <w:numPr>
        <w:ilvl w:val="1"/>
      </w:numPr>
    </w:pPr>
    <w:rPr>
      <w:rFonts w:eastAsiaTheme="majorEastAsia" w:cstheme="majorBidi"/>
      <w:color w:val="595959" w:themeColor="text1" w:themeTint="A6"/>
      <w:spacing w:val="15"/>
      <w:sz w:val="28"/>
      <w:szCs w:val="35"/>
    </w:rPr>
  </w:style>
  <w:style w:type="character" w:customStyle="1" w:styleId="SubtitleChar">
    <w:name w:val="Subtitle Char"/>
    <w:basedOn w:val="DefaultParagraphFont"/>
    <w:link w:val="Subtitle"/>
    <w:uiPriority w:val="11"/>
    <w:rsid w:val="00D86085"/>
    <w:rPr>
      <w:rFonts w:eastAsiaTheme="majorEastAsia" w:cstheme="majorBidi"/>
      <w:color w:val="595959" w:themeColor="text1" w:themeTint="A6"/>
      <w:spacing w:val="15"/>
      <w:sz w:val="28"/>
      <w:szCs w:val="35"/>
    </w:rPr>
  </w:style>
  <w:style w:type="paragraph" w:styleId="Quote">
    <w:name w:val="Quote"/>
    <w:basedOn w:val="Normal"/>
    <w:next w:val="Normal"/>
    <w:link w:val="QuoteChar"/>
    <w:uiPriority w:val="29"/>
    <w:qFormat/>
    <w:rsid w:val="00D86085"/>
    <w:pPr>
      <w:spacing w:before="160"/>
      <w:jc w:val="center"/>
    </w:pPr>
    <w:rPr>
      <w:i/>
      <w:iCs/>
      <w:color w:val="404040" w:themeColor="text1" w:themeTint="BF"/>
    </w:rPr>
  </w:style>
  <w:style w:type="character" w:customStyle="1" w:styleId="QuoteChar">
    <w:name w:val="Quote Char"/>
    <w:basedOn w:val="DefaultParagraphFont"/>
    <w:link w:val="Quote"/>
    <w:uiPriority w:val="29"/>
    <w:rsid w:val="00D86085"/>
    <w:rPr>
      <w:i/>
      <w:iCs/>
      <w:color w:val="404040" w:themeColor="text1" w:themeTint="BF"/>
    </w:rPr>
  </w:style>
  <w:style w:type="paragraph" w:styleId="ListParagraph">
    <w:name w:val="List Paragraph"/>
    <w:basedOn w:val="Normal"/>
    <w:uiPriority w:val="34"/>
    <w:qFormat/>
    <w:rsid w:val="00D86085"/>
    <w:pPr>
      <w:ind w:left="720"/>
      <w:contextualSpacing/>
    </w:pPr>
  </w:style>
  <w:style w:type="character" w:styleId="IntenseEmphasis">
    <w:name w:val="Intense Emphasis"/>
    <w:basedOn w:val="DefaultParagraphFont"/>
    <w:uiPriority w:val="21"/>
    <w:qFormat/>
    <w:rsid w:val="00D86085"/>
    <w:rPr>
      <w:i/>
      <w:iCs/>
      <w:color w:val="0F4761" w:themeColor="accent1" w:themeShade="BF"/>
    </w:rPr>
  </w:style>
  <w:style w:type="paragraph" w:styleId="IntenseQuote">
    <w:name w:val="Intense Quote"/>
    <w:basedOn w:val="Normal"/>
    <w:next w:val="Normal"/>
    <w:link w:val="IntenseQuoteChar"/>
    <w:uiPriority w:val="30"/>
    <w:qFormat/>
    <w:rsid w:val="00D8608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86085"/>
    <w:rPr>
      <w:i/>
      <w:iCs/>
      <w:color w:val="0F4761" w:themeColor="accent1" w:themeShade="BF"/>
    </w:rPr>
  </w:style>
  <w:style w:type="character" w:styleId="IntenseReference">
    <w:name w:val="Intense Reference"/>
    <w:basedOn w:val="DefaultParagraphFont"/>
    <w:uiPriority w:val="32"/>
    <w:qFormat/>
    <w:rsid w:val="00D86085"/>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jpeg"/><Relationship Id="rId3" Type="http://schemas.openxmlformats.org/officeDocument/2006/relationships/settings" Target="settings.xml"/><Relationship Id="rId7" Type="http://schemas.openxmlformats.org/officeDocument/2006/relationships/image" Target="media/image3.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jpeg"/><Relationship Id="rId11" Type="http://schemas.openxmlformats.org/officeDocument/2006/relationships/theme" Target="theme/theme1.xml"/><Relationship Id="rId5" Type="http://schemas.openxmlformats.org/officeDocument/2006/relationships/image" Target="media/image1.jpg"/><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14</Pages>
  <Words>3280</Words>
  <Characters>18702</Characters>
  <Application>Microsoft Office Word</Application>
  <DocSecurity>0</DocSecurity>
  <Lines>155</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21939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Jay Leuva</dc:creator>
  <cp:keywords/>
  <dc:description/>
  <cp:lastModifiedBy>Jay Leuva</cp:lastModifiedBy>
  <cp:revision>2</cp:revision>
  <dcterms:created xsi:type="dcterms:W3CDTF">2026-10-21T21:56:00Z</dcterms:created>
  <dcterms:modified xsi:type="dcterms:W3CDTF">2026-10-21T21:56:00Z</dcterms:modified>
</cp:coreProperties>
</file>