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637922339"/>
        <w:docPartObj>
          <w:docPartGallery w:val="Cover Pages"/>
          <w:docPartUnique/>
        </w:docPartObj>
      </w:sdtPr>
      <w:sdtEndPr>
        <w:rPr>
          <w:b/>
          <w:bCs/>
        </w:rPr>
      </w:sdtEndPr>
      <w:sdtContent>
        <w:p w14:paraId="100C919A" w14:textId="2B526540" w:rsidR="00323D4A" w:rsidRDefault="00323D4A">
          <w:r>
            <w:rPr>
              <w:noProof/>
              <w:lang w:val="bg-BG" w:eastAsia="bg-BG"/>
            </w:rPr>
            <mc:AlternateContent>
              <mc:Choice Requires="wps">
                <w:drawing>
                  <wp:anchor distT="0" distB="0" distL="114300" distR="114300" simplePos="0" relativeHeight="251661312" behindDoc="0" locked="0" layoutInCell="1" allowOverlap="1" wp14:anchorId="4D3A6A15" wp14:editId="550476C1">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1182C3D" w14:textId="45997BE5" w:rsidR="00323D4A" w:rsidRDefault="00323D4A">
                                    <w:pPr>
                                      <w:pStyle w:val="NoSpacing"/>
                                      <w:spacing w:after="480"/>
                                      <w:rPr>
                                        <w:i/>
                                        <w:color w:val="262626" w:themeColor="text1" w:themeTint="D9"/>
                                        <w:sz w:val="32"/>
                                        <w:szCs w:val="32"/>
                                      </w:rPr>
                                    </w:pPr>
                                    <w:r>
                                      <w:rPr>
                                        <w:i/>
                                        <w:color w:val="262626" w:themeColor="text1" w:themeTint="D9"/>
                                        <w:sz w:val="32"/>
                                        <w:szCs w:val="32"/>
                                      </w:rPr>
                                      <w:t>STUDENT ID:</w:t>
                                    </w:r>
                                    <w:r w:rsidR="00575B30">
                                      <w:rPr>
                                        <w:i/>
                                        <w:color w:val="262626" w:themeColor="text1" w:themeTint="D9"/>
                                        <w:sz w:val="32"/>
                                        <w:szCs w:val="32"/>
                                      </w:rPr>
                                      <w:t xml:space="preserve"> 1907082</w:t>
                                    </w:r>
                                  </w:p>
                                </w:sdtContent>
                              </w:sdt>
                              <w:p w14:paraId="1765D18A" w14:textId="485F6B40" w:rsidR="00323D4A" w:rsidRDefault="00323D4A">
                                <w:pPr>
                                  <w:pStyle w:val="NoSpacing"/>
                                  <w:rPr>
                                    <w:i/>
                                    <w:color w:val="262626" w:themeColor="text1" w:themeTint="D9"/>
                                    <w:sz w:val="26"/>
                                    <w:szCs w:val="26"/>
                                  </w:rPr>
                                </w:pPr>
                                <w:r>
                                  <w:rPr>
                                    <w:i/>
                                    <w:color w:val="262626" w:themeColor="text1" w:themeTint="D9"/>
                                    <w:sz w:val="26"/>
                                    <w:szCs w:val="26"/>
                                  </w:rPr>
                                  <w:t>NAME:</w:t>
                                </w:r>
                                <w:r w:rsidR="00575B30">
                                  <w:rPr>
                                    <w:i/>
                                    <w:color w:val="262626" w:themeColor="text1" w:themeTint="D9"/>
                                    <w:sz w:val="26"/>
                                    <w:szCs w:val="26"/>
                                  </w:rPr>
                                  <w:t xml:space="preserve"> </w:t>
                                </w:r>
                                <w:proofErr w:type="spellStart"/>
                                <w:r w:rsidR="00575B30">
                                  <w:rPr>
                                    <w:i/>
                                    <w:color w:val="262626" w:themeColor="text1" w:themeTint="D9"/>
                                    <w:sz w:val="26"/>
                                    <w:szCs w:val="26"/>
                                  </w:rPr>
                                  <w:t>Georgi</w:t>
                                </w:r>
                                <w:proofErr w:type="spellEnd"/>
                                <w:r w:rsidR="00575B30">
                                  <w:rPr>
                                    <w:i/>
                                    <w:color w:val="262626" w:themeColor="text1" w:themeTint="D9"/>
                                    <w:sz w:val="26"/>
                                    <w:szCs w:val="26"/>
                                  </w:rPr>
                                  <w:t xml:space="preserve"> </w:t>
                                </w:r>
                                <w:proofErr w:type="spellStart"/>
                                <w:r w:rsidR="00575B30">
                                  <w:rPr>
                                    <w:i/>
                                    <w:color w:val="262626" w:themeColor="text1" w:themeTint="D9"/>
                                    <w:sz w:val="26"/>
                                    <w:szCs w:val="26"/>
                                  </w:rPr>
                                  <w:t>Genchev</w:t>
                                </w:r>
                                <w:proofErr w:type="spellEnd"/>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4D3A6A15"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&#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1182C3D" w14:textId="45997BE5" w:rsidR="00323D4A" w:rsidRDefault="00323D4A">
                              <w:pPr>
                                <w:pStyle w:val="NoSpacing"/>
                                <w:spacing w:after="480"/>
                                <w:rPr>
                                  <w:i/>
                                  <w:color w:val="262626" w:themeColor="text1" w:themeTint="D9"/>
                                  <w:sz w:val="32"/>
                                  <w:szCs w:val="32"/>
                                </w:rPr>
                              </w:pPr>
                              <w:r>
                                <w:rPr>
                                  <w:i/>
                                  <w:color w:val="262626" w:themeColor="text1" w:themeTint="D9"/>
                                  <w:sz w:val="32"/>
                                  <w:szCs w:val="32"/>
                                </w:rPr>
                                <w:t>STUDENT ID:</w:t>
                              </w:r>
                              <w:r w:rsidR="00575B30">
                                <w:rPr>
                                  <w:i/>
                                  <w:color w:val="262626" w:themeColor="text1" w:themeTint="D9"/>
                                  <w:sz w:val="32"/>
                                  <w:szCs w:val="32"/>
                                </w:rPr>
                                <w:t xml:space="preserve"> 1907082</w:t>
                              </w:r>
                            </w:p>
                          </w:sdtContent>
                        </w:sdt>
                        <w:p w14:paraId="1765D18A" w14:textId="485F6B40" w:rsidR="00323D4A" w:rsidRDefault="00323D4A">
                          <w:pPr>
                            <w:pStyle w:val="NoSpacing"/>
                            <w:rPr>
                              <w:i/>
                              <w:color w:val="262626" w:themeColor="text1" w:themeTint="D9"/>
                              <w:sz w:val="26"/>
                              <w:szCs w:val="26"/>
                            </w:rPr>
                          </w:pPr>
                          <w:r>
                            <w:rPr>
                              <w:i/>
                              <w:color w:val="262626" w:themeColor="text1" w:themeTint="D9"/>
                              <w:sz w:val="26"/>
                              <w:szCs w:val="26"/>
                            </w:rPr>
                            <w:t>NAME:</w:t>
                          </w:r>
                          <w:r w:rsidR="00575B30">
                            <w:rPr>
                              <w:i/>
                              <w:color w:val="262626" w:themeColor="text1" w:themeTint="D9"/>
                              <w:sz w:val="26"/>
                              <w:szCs w:val="26"/>
                            </w:rPr>
                            <w:t xml:space="preserve"> </w:t>
                          </w:r>
                          <w:proofErr w:type="spellStart"/>
                          <w:r w:rsidR="00575B30">
                            <w:rPr>
                              <w:i/>
                              <w:color w:val="262626" w:themeColor="text1" w:themeTint="D9"/>
                              <w:sz w:val="26"/>
                              <w:szCs w:val="26"/>
                            </w:rPr>
                            <w:t>Georgi</w:t>
                          </w:r>
                          <w:proofErr w:type="spellEnd"/>
                          <w:r w:rsidR="00575B30">
                            <w:rPr>
                              <w:i/>
                              <w:color w:val="262626" w:themeColor="text1" w:themeTint="D9"/>
                              <w:sz w:val="26"/>
                              <w:szCs w:val="26"/>
                            </w:rPr>
                            <w:t xml:space="preserve"> </w:t>
                          </w:r>
                          <w:proofErr w:type="spellStart"/>
                          <w:r w:rsidR="00575B30">
                            <w:rPr>
                              <w:i/>
                              <w:color w:val="262626" w:themeColor="text1" w:themeTint="D9"/>
                              <w:sz w:val="26"/>
                              <w:szCs w:val="26"/>
                            </w:rPr>
                            <w:t>Genchev</w:t>
                          </w:r>
                          <w:proofErr w:type="spellEnd"/>
                        </w:p>
                      </w:txbxContent>
                    </v:textbox>
                    <w10:wrap anchorx="page" anchory="page"/>
                  </v:shape>
                </w:pict>
              </mc:Fallback>
            </mc:AlternateContent>
          </w:r>
          <w:r>
            <w:rPr>
              <w:noProof/>
              <w:lang w:val="bg-BG" w:eastAsia="bg-BG"/>
            </w:rPr>
            <mc:AlternateContent>
              <mc:Choice Requires="wps">
                <w:drawing>
                  <wp:anchor distT="0" distB="0" distL="114300" distR="114300" simplePos="0" relativeHeight="251660288" behindDoc="1" locked="0" layoutInCell="1" allowOverlap="1" wp14:anchorId="274C9CC3" wp14:editId="4126A5BA">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68F1A1C"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" strokecolor="#272727 [2749]" strokeweight="2.25pt">
                    <v:stroke joinstyle="miter"/>
                    <w10:wrap anchorx="page" anchory="page"/>
                  </v:line>
                </w:pict>
              </mc:Fallback>
            </mc:AlternateContent>
          </w:r>
          <w:r>
            <w:rPr>
              <w:noProof/>
              <w:lang w:val="bg-BG" w:eastAsia="bg-BG"/>
            </w:rPr>
            <mc:AlternateContent>
              <mc:Choice Requires="wps">
                <w:drawing>
                  <wp:anchor distT="0" distB="0" distL="114300" distR="114300" simplePos="0" relativeHeight="251659264" behindDoc="0" locked="0" layoutInCell="1" allowOverlap="1" wp14:anchorId="02B0B5F4" wp14:editId="5040FBE6">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7F0856A" w14:textId="255069A6" w:rsidR="00323D4A" w:rsidRDefault="00323D4A">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community engagement assignment 2</w:t>
                                    </w:r>
                                  </w:p>
                                </w:sdtContent>
                              </w:sdt>
                              <w:p w14:paraId="113B2C4C" w14:textId="53F57E56" w:rsidR="00323D4A" w:rsidRDefault="00B47282">
                                <w:pPr>
                                  <w:pStyle w:val="NoSpacing"/>
                                  <w:rPr>
                                    <w:i/>
                                    <w:color w:val="262626" w:themeColor="text1" w:themeTint="D9"/>
                                    <w:sz w:val="36"/>
                                    <w:szCs w:val="36"/>
                                  </w:rPr>
                                </w:pPr>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sidR="00323D4A">
                                      <w:rPr>
                                        <w:color w:val="262626" w:themeColor="text1" w:themeTint="D9"/>
                                        <w:sz w:val="36"/>
                                        <w:szCs w:val="36"/>
                                      </w:rPr>
                                      <w:t>MODULE LEADER:</w:t>
                                    </w:r>
                                  </w:sdtContent>
                                </w:sdt>
                                <w:r w:rsidR="00575B30">
                                  <w:rPr>
                                    <w:i/>
                                    <w:color w:val="262626" w:themeColor="text1" w:themeTint="D9"/>
                                    <w:sz w:val="36"/>
                                    <w:szCs w:val="36"/>
                                  </w:rPr>
                                  <w:t xml:space="preserve"> </w:t>
                                </w:r>
                                <w:r w:rsidR="00575B30" w:rsidRPr="00575B30">
                                  <w:rPr>
                                    <w:i/>
                                    <w:color w:val="262626" w:themeColor="text1" w:themeTint="D9"/>
                                    <w:sz w:val="36"/>
                                    <w:szCs w:val="36"/>
                                  </w:rPr>
                                  <w:t xml:space="preserve"> </w:t>
                                </w:r>
                                <w:proofErr w:type="spellStart"/>
                                <w:r w:rsidR="00575B30" w:rsidRPr="00575B30">
                                  <w:rPr>
                                    <w:i/>
                                    <w:color w:val="262626" w:themeColor="text1" w:themeTint="D9"/>
                                    <w:sz w:val="36"/>
                                    <w:szCs w:val="36"/>
                                  </w:rPr>
                                  <w:t>Dr</w:t>
                                </w:r>
                                <w:proofErr w:type="spellEnd"/>
                                <w:r w:rsidR="00575B30" w:rsidRPr="00575B30">
                                  <w:rPr>
                                    <w:i/>
                                    <w:color w:val="262626" w:themeColor="text1" w:themeTint="D9"/>
                                    <w:sz w:val="36"/>
                                    <w:szCs w:val="36"/>
                                  </w:rPr>
                                  <w:t xml:space="preserve"> Gregory Cowan</w:t>
                                </w:r>
                                <w:bookmarkStart w:id="0" w:name="_GoBack"/>
                                <w:bookmarkEnd w:id="0"/>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02B0B5F4"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&#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7F0856A" w14:textId="255069A6" w:rsidR="00323D4A" w:rsidRDefault="00323D4A">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community engagement assignment 2</w:t>
                              </w:r>
                            </w:p>
                          </w:sdtContent>
                        </w:sdt>
                        <w:p w14:paraId="113B2C4C" w14:textId="53F57E56" w:rsidR="00323D4A" w:rsidRDefault="00B47282">
                          <w:pPr>
                            <w:pStyle w:val="NoSpacing"/>
                            <w:rPr>
                              <w:i/>
                              <w:color w:val="262626" w:themeColor="text1" w:themeTint="D9"/>
                              <w:sz w:val="36"/>
                              <w:szCs w:val="36"/>
                            </w:rPr>
                          </w:pPr>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sidR="00323D4A">
                                <w:rPr>
                                  <w:color w:val="262626" w:themeColor="text1" w:themeTint="D9"/>
                                  <w:sz w:val="36"/>
                                  <w:szCs w:val="36"/>
                                </w:rPr>
                                <w:t>MODULE LEADER:</w:t>
                              </w:r>
                            </w:sdtContent>
                          </w:sdt>
                          <w:r w:rsidR="00575B30">
                            <w:rPr>
                              <w:i/>
                              <w:color w:val="262626" w:themeColor="text1" w:themeTint="D9"/>
                              <w:sz w:val="36"/>
                              <w:szCs w:val="36"/>
                            </w:rPr>
                            <w:t xml:space="preserve"> </w:t>
                          </w:r>
                          <w:r w:rsidR="00575B30" w:rsidRPr="00575B30">
                            <w:rPr>
                              <w:i/>
                              <w:color w:val="262626" w:themeColor="text1" w:themeTint="D9"/>
                              <w:sz w:val="36"/>
                              <w:szCs w:val="36"/>
                            </w:rPr>
                            <w:t xml:space="preserve"> </w:t>
                          </w:r>
                          <w:proofErr w:type="spellStart"/>
                          <w:r w:rsidR="00575B30" w:rsidRPr="00575B30">
                            <w:rPr>
                              <w:i/>
                              <w:color w:val="262626" w:themeColor="text1" w:themeTint="D9"/>
                              <w:sz w:val="36"/>
                              <w:szCs w:val="36"/>
                            </w:rPr>
                            <w:t>Dr</w:t>
                          </w:r>
                          <w:proofErr w:type="spellEnd"/>
                          <w:r w:rsidR="00575B30" w:rsidRPr="00575B30">
                            <w:rPr>
                              <w:i/>
                              <w:color w:val="262626" w:themeColor="text1" w:themeTint="D9"/>
                              <w:sz w:val="36"/>
                              <w:szCs w:val="36"/>
                            </w:rPr>
                            <w:t xml:space="preserve"> Gregory Cowan</w:t>
                          </w:r>
                          <w:bookmarkStart w:id="1" w:name="_GoBack"/>
                          <w:bookmarkEnd w:id="1"/>
                        </w:p>
                      </w:txbxContent>
                    </v:textbox>
                    <w10:wrap anchorx="page" anchory="page"/>
                  </v:shape>
                </w:pict>
              </mc:Fallback>
            </mc:AlternateContent>
          </w:r>
        </w:p>
        <w:p w14:paraId="65D33537" w14:textId="680C917A" w:rsidR="00323D4A" w:rsidRDefault="00323D4A">
          <w:pPr>
            <w:spacing w:after="0" w:line="240" w:lineRule="auto"/>
          </w:pPr>
          <w:r>
            <w:rPr>
              <w:b/>
              <w:bCs/>
            </w:rPr>
            <w:br w:type="page"/>
          </w:r>
        </w:p>
      </w:sdtContent>
    </w:sdt>
    <w:sdt>
      <w:sdtPr>
        <w:rPr>
          <w:rFonts w:ascii="Arial" w:eastAsiaTheme="minorHAnsi" w:hAnsi="Arial" w:cstheme="minorBidi"/>
          <w:b w:val="0"/>
          <w:bCs w:val="0"/>
          <w:color w:val="auto"/>
          <w:sz w:val="24"/>
          <w:szCs w:val="22"/>
          <w:lang w:val="en-GB"/>
        </w:rPr>
        <w:id w:val="1394702370"/>
        <w:docPartObj>
          <w:docPartGallery w:val="Table of Contents"/>
          <w:docPartUnique/>
        </w:docPartObj>
      </w:sdtPr>
      <w:sdtEndPr>
        <w:rPr>
          <w:noProof/>
        </w:rPr>
      </w:sdtEndPr>
      <w:sdtContent>
        <w:p w14:paraId="65F9CCB1" w14:textId="48790575" w:rsidR="00323D4A" w:rsidRDefault="00323D4A">
          <w:pPr>
            <w:pStyle w:val="TOCHeading"/>
          </w:pPr>
          <w:r>
            <w:t>Table of Contents</w:t>
          </w:r>
        </w:p>
        <w:p w14:paraId="14547828" w14:textId="314E31F9" w:rsidR="00323D4A" w:rsidRDefault="00323D4A">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81557831" w:history="1">
            <w:r w:rsidRPr="00C95C86">
              <w:rPr>
                <w:rStyle w:val="Hyperlink"/>
                <w:noProof/>
              </w:rPr>
              <w:t>Introduction</w:t>
            </w:r>
            <w:r>
              <w:rPr>
                <w:noProof/>
                <w:webHidden/>
              </w:rPr>
              <w:tab/>
            </w:r>
            <w:r>
              <w:rPr>
                <w:noProof/>
                <w:webHidden/>
              </w:rPr>
              <w:fldChar w:fldCharType="begin"/>
            </w:r>
            <w:r>
              <w:rPr>
                <w:noProof/>
                <w:webHidden/>
              </w:rPr>
              <w:instrText xml:space="preserve"> PAGEREF _Toc81557831 \h </w:instrText>
            </w:r>
            <w:r>
              <w:rPr>
                <w:noProof/>
                <w:webHidden/>
              </w:rPr>
            </w:r>
            <w:r>
              <w:rPr>
                <w:noProof/>
                <w:webHidden/>
              </w:rPr>
              <w:fldChar w:fldCharType="separate"/>
            </w:r>
            <w:r>
              <w:rPr>
                <w:noProof/>
                <w:webHidden/>
              </w:rPr>
              <w:t>2</w:t>
            </w:r>
            <w:r>
              <w:rPr>
                <w:noProof/>
                <w:webHidden/>
              </w:rPr>
              <w:fldChar w:fldCharType="end"/>
            </w:r>
          </w:hyperlink>
        </w:p>
        <w:p w14:paraId="079246F0" w14:textId="448765D1" w:rsidR="00323D4A" w:rsidRDefault="00B47282">
          <w:pPr>
            <w:pStyle w:val="TOC1"/>
            <w:tabs>
              <w:tab w:val="right" w:leader="dot" w:pos="9016"/>
            </w:tabs>
            <w:rPr>
              <w:noProof/>
            </w:rPr>
          </w:pPr>
          <w:hyperlink w:anchor="_Toc81557832" w:history="1">
            <w:r w:rsidR="00323D4A" w:rsidRPr="00C95C86">
              <w:rPr>
                <w:rStyle w:val="Hyperlink"/>
                <w:noProof/>
              </w:rPr>
              <w:t>Main Body</w:t>
            </w:r>
            <w:r w:rsidR="00323D4A">
              <w:rPr>
                <w:noProof/>
                <w:webHidden/>
              </w:rPr>
              <w:tab/>
            </w:r>
            <w:r w:rsidR="00323D4A">
              <w:rPr>
                <w:noProof/>
                <w:webHidden/>
              </w:rPr>
              <w:fldChar w:fldCharType="begin"/>
            </w:r>
            <w:r w:rsidR="00323D4A">
              <w:rPr>
                <w:noProof/>
                <w:webHidden/>
              </w:rPr>
              <w:instrText xml:space="preserve"> PAGEREF _Toc81557832 \h </w:instrText>
            </w:r>
            <w:r w:rsidR="00323D4A">
              <w:rPr>
                <w:noProof/>
                <w:webHidden/>
              </w:rPr>
            </w:r>
            <w:r w:rsidR="00323D4A">
              <w:rPr>
                <w:noProof/>
                <w:webHidden/>
              </w:rPr>
              <w:fldChar w:fldCharType="separate"/>
            </w:r>
            <w:r w:rsidR="00323D4A">
              <w:rPr>
                <w:noProof/>
                <w:webHidden/>
              </w:rPr>
              <w:t>2</w:t>
            </w:r>
            <w:r w:rsidR="00323D4A">
              <w:rPr>
                <w:noProof/>
                <w:webHidden/>
              </w:rPr>
              <w:fldChar w:fldCharType="end"/>
            </w:r>
          </w:hyperlink>
        </w:p>
        <w:p w14:paraId="11B825B4" w14:textId="35F035DC" w:rsidR="00323D4A" w:rsidRDefault="00B47282">
          <w:pPr>
            <w:pStyle w:val="TOC1"/>
            <w:tabs>
              <w:tab w:val="right" w:leader="dot" w:pos="9016"/>
            </w:tabs>
            <w:rPr>
              <w:noProof/>
            </w:rPr>
          </w:pPr>
          <w:hyperlink w:anchor="_Toc81557833" w:history="1">
            <w:r w:rsidR="00323D4A" w:rsidRPr="00C95C86">
              <w:rPr>
                <w:rStyle w:val="Hyperlink"/>
                <w:noProof/>
              </w:rPr>
              <w:t>Conclusion</w:t>
            </w:r>
            <w:r w:rsidR="00323D4A">
              <w:rPr>
                <w:noProof/>
                <w:webHidden/>
              </w:rPr>
              <w:tab/>
            </w:r>
            <w:r w:rsidR="00323D4A">
              <w:rPr>
                <w:noProof/>
                <w:webHidden/>
              </w:rPr>
              <w:fldChar w:fldCharType="begin"/>
            </w:r>
            <w:r w:rsidR="00323D4A">
              <w:rPr>
                <w:noProof/>
                <w:webHidden/>
              </w:rPr>
              <w:instrText xml:space="preserve"> PAGEREF _Toc81557833 \h </w:instrText>
            </w:r>
            <w:r w:rsidR="00323D4A">
              <w:rPr>
                <w:noProof/>
                <w:webHidden/>
              </w:rPr>
            </w:r>
            <w:r w:rsidR="00323D4A">
              <w:rPr>
                <w:noProof/>
                <w:webHidden/>
              </w:rPr>
              <w:fldChar w:fldCharType="separate"/>
            </w:r>
            <w:r w:rsidR="00323D4A">
              <w:rPr>
                <w:noProof/>
                <w:webHidden/>
              </w:rPr>
              <w:t>6</w:t>
            </w:r>
            <w:r w:rsidR="00323D4A">
              <w:rPr>
                <w:noProof/>
                <w:webHidden/>
              </w:rPr>
              <w:fldChar w:fldCharType="end"/>
            </w:r>
          </w:hyperlink>
        </w:p>
        <w:p w14:paraId="608B2CED" w14:textId="40E4606F" w:rsidR="00323D4A" w:rsidRDefault="00B47282">
          <w:pPr>
            <w:pStyle w:val="TOC1"/>
            <w:tabs>
              <w:tab w:val="right" w:leader="dot" w:pos="9016"/>
            </w:tabs>
            <w:rPr>
              <w:noProof/>
            </w:rPr>
          </w:pPr>
          <w:hyperlink w:anchor="_Toc81557834" w:history="1">
            <w:r w:rsidR="00323D4A" w:rsidRPr="00C95C86">
              <w:rPr>
                <w:rStyle w:val="Hyperlink"/>
                <w:noProof/>
              </w:rPr>
              <w:t>Reference List</w:t>
            </w:r>
            <w:r w:rsidR="00323D4A">
              <w:rPr>
                <w:noProof/>
                <w:webHidden/>
              </w:rPr>
              <w:tab/>
            </w:r>
            <w:r w:rsidR="00323D4A">
              <w:rPr>
                <w:noProof/>
                <w:webHidden/>
              </w:rPr>
              <w:fldChar w:fldCharType="begin"/>
            </w:r>
            <w:r w:rsidR="00323D4A">
              <w:rPr>
                <w:noProof/>
                <w:webHidden/>
              </w:rPr>
              <w:instrText xml:space="preserve"> PAGEREF _Toc81557834 \h </w:instrText>
            </w:r>
            <w:r w:rsidR="00323D4A">
              <w:rPr>
                <w:noProof/>
                <w:webHidden/>
              </w:rPr>
            </w:r>
            <w:r w:rsidR="00323D4A">
              <w:rPr>
                <w:noProof/>
                <w:webHidden/>
              </w:rPr>
              <w:fldChar w:fldCharType="separate"/>
            </w:r>
            <w:r w:rsidR="00323D4A">
              <w:rPr>
                <w:noProof/>
                <w:webHidden/>
              </w:rPr>
              <w:t>7</w:t>
            </w:r>
            <w:r w:rsidR="00323D4A">
              <w:rPr>
                <w:noProof/>
                <w:webHidden/>
              </w:rPr>
              <w:fldChar w:fldCharType="end"/>
            </w:r>
          </w:hyperlink>
        </w:p>
        <w:p w14:paraId="3B2E99D0" w14:textId="1454574C" w:rsidR="00323D4A" w:rsidRDefault="00323D4A">
          <w:r>
            <w:rPr>
              <w:b/>
              <w:bCs/>
              <w:noProof/>
            </w:rPr>
            <w:fldChar w:fldCharType="end"/>
          </w:r>
        </w:p>
      </w:sdtContent>
    </w:sdt>
    <w:p w14:paraId="59A5DD9C" w14:textId="77777777" w:rsidR="00217F9A" w:rsidRDefault="00217F9A" w:rsidP="003B666A"/>
    <w:p w14:paraId="1487F066" w14:textId="77777777" w:rsidR="00217F9A" w:rsidRDefault="00217F9A" w:rsidP="003B666A"/>
    <w:p w14:paraId="2984CDB7" w14:textId="77777777" w:rsidR="00217F9A" w:rsidRDefault="00217F9A" w:rsidP="003B666A"/>
    <w:p w14:paraId="068F2E93" w14:textId="77777777" w:rsidR="00217F9A" w:rsidRDefault="00217F9A" w:rsidP="003B666A"/>
    <w:p w14:paraId="4B7E7CC6" w14:textId="77777777" w:rsidR="00217F9A" w:rsidRDefault="00217F9A" w:rsidP="003B666A"/>
    <w:p w14:paraId="73F412B8" w14:textId="77777777" w:rsidR="00217F9A" w:rsidRDefault="00217F9A" w:rsidP="003B666A"/>
    <w:p w14:paraId="28A6E5D1" w14:textId="77777777" w:rsidR="00217F9A" w:rsidRDefault="00217F9A" w:rsidP="003B666A"/>
    <w:p w14:paraId="008298A1" w14:textId="77777777" w:rsidR="00217F9A" w:rsidRDefault="00217F9A" w:rsidP="003B666A"/>
    <w:p w14:paraId="25726DC1" w14:textId="77777777" w:rsidR="00217F9A" w:rsidRDefault="00217F9A" w:rsidP="003B666A"/>
    <w:p w14:paraId="5D2543D4" w14:textId="77777777" w:rsidR="00217F9A" w:rsidRDefault="00217F9A" w:rsidP="003B666A"/>
    <w:p w14:paraId="3F374A2C" w14:textId="77777777" w:rsidR="00217F9A" w:rsidRDefault="00217F9A" w:rsidP="003B666A"/>
    <w:p w14:paraId="7EBA0F90" w14:textId="77777777" w:rsidR="00217F9A" w:rsidRDefault="00217F9A" w:rsidP="003B666A"/>
    <w:p w14:paraId="243082F7" w14:textId="77777777" w:rsidR="00217F9A" w:rsidRDefault="00217F9A" w:rsidP="003B666A"/>
    <w:p w14:paraId="17219BA0" w14:textId="77777777" w:rsidR="00217F9A" w:rsidRDefault="00217F9A" w:rsidP="003B666A"/>
    <w:p w14:paraId="07AE6958" w14:textId="77777777" w:rsidR="00217F9A" w:rsidRDefault="00217F9A" w:rsidP="003B666A"/>
    <w:p w14:paraId="6E594753" w14:textId="77777777" w:rsidR="00217F9A" w:rsidRDefault="00217F9A" w:rsidP="003B666A"/>
    <w:p w14:paraId="3DDB4211" w14:textId="77777777" w:rsidR="00217F9A" w:rsidRDefault="00217F9A" w:rsidP="003B666A"/>
    <w:p w14:paraId="697076B0" w14:textId="77777777" w:rsidR="00217F9A" w:rsidRDefault="00217F9A" w:rsidP="003B666A"/>
    <w:p w14:paraId="2B21BBB8" w14:textId="77777777" w:rsidR="00217F9A" w:rsidRDefault="00217F9A" w:rsidP="003B666A"/>
    <w:p w14:paraId="6CF6158A" w14:textId="77777777" w:rsidR="00217F9A" w:rsidRDefault="00217F9A" w:rsidP="003B666A"/>
    <w:p w14:paraId="57D6968C" w14:textId="77777777" w:rsidR="00217F9A" w:rsidRDefault="00217F9A" w:rsidP="003B666A"/>
    <w:p w14:paraId="493A992D" w14:textId="4C55AABE" w:rsidR="00217F9A" w:rsidRDefault="00217F9A" w:rsidP="00830FA0">
      <w:pPr>
        <w:pStyle w:val="Heading1"/>
      </w:pPr>
      <w:bookmarkStart w:id="2" w:name="_Toc81557831"/>
      <w:r>
        <w:lastRenderedPageBreak/>
        <w:t>Introduction</w:t>
      </w:r>
      <w:bookmarkEnd w:id="2"/>
    </w:p>
    <w:p w14:paraId="0FC2E5E0" w14:textId="77777777" w:rsidR="00830FA0" w:rsidRDefault="00830FA0" w:rsidP="00830FA0">
      <w:r>
        <w:t>A group of people can be characterized collectively by individuals living in a similar geological region, and offer something in a way such as social personality, religion, comparable qualities and standards. Local engagement involves coordinated efforts to bring together people in a similar geological region who have similar interests and go through comparable circumstances when collaborating to solve problems that affect them (</w:t>
      </w:r>
      <w:proofErr w:type="spellStart"/>
      <w:r>
        <w:t>Glandon</w:t>
      </w:r>
      <w:proofErr w:type="spellEnd"/>
      <w:r>
        <w:t xml:space="preserve"> et al., 2017). Local area engagement is an incredible asset for achieving social change by advancing </w:t>
      </w:r>
      <w:proofErr w:type="spellStart"/>
      <w:r>
        <w:t>behavior</w:t>
      </w:r>
      <w:proofErr w:type="spellEnd"/>
      <w:r>
        <w:t xml:space="preserve"> change that works on the strength of the local area. In general, local commitment involves the creation of associations and alliances between individuals to raise assets that are expected to affect the opportunity. In this paper, I will reflect on the distinctive ways in which local community engagement and the public interest can be used to accelerate change in the public scene.</w:t>
      </w:r>
    </w:p>
    <w:p w14:paraId="5F73ACFF" w14:textId="0258F35B" w:rsidR="00217F9A" w:rsidRDefault="00830FA0" w:rsidP="00830FA0">
      <w:r>
        <w:t>The coronavirus had a huge effect on organizations in all enterprises. While some see growth devoid of their goods and administrations, far more see disintegration</w:t>
      </w:r>
      <w:r w:rsidR="00323D4A" w:rsidRPr="00323D4A">
        <w:t xml:space="preserve"> (Burgess et al., 2020)</w:t>
      </w:r>
      <w:r>
        <w:t>. Despite the industry, private companies have suffered particularly badly. As things gradually return to a sense of predictability, organizations can step out of the resilience regime and put together their responsibilities for the development and engagement of the local area.</w:t>
      </w:r>
      <w:r w:rsidR="00217F9A" w:rsidRPr="00217F9A">
        <w:t xml:space="preserve"> </w:t>
      </w:r>
    </w:p>
    <w:p w14:paraId="3E94A214" w14:textId="48C32882" w:rsidR="00217F9A" w:rsidRDefault="00217F9A" w:rsidP="00830FA0">
      <w:pPr>
        <w:pStyle w:val="Heading1"/>
      </w:pPr>
      <w:bookmarkStart w:id="3" w:name="_Toc81557832"/>
      <w:r>
        <w:t>Main Body</w:t>
      </w:r>
      <w:bookmarkEnd w:id="3"/>
    </w:p>
    <w:p w14:paraId="40E1D346" w14:textId="77777777" w:rsidR="00830FA0" w:rsidRDefault="00830FA0" w:rsidP="00830FA0">
      <w:r>
        <w:t>With growing and growing public engagement around the world, the importance of local engagement has become critical to the well-functioning systems of majority rules of the 21st century. Useful links between networks and government institutions make local engagement attractive as well as fundamental and feasible, as it is likely to encourage more balanced, cost-effective public choices and work on the viability of nearby networks. This is why local engagement is important to people, public associations and governments themselves.</w:t>
      </w:r>
    </w:p>
    <w:p w14:paraId="3272F474" w14:textId="77777777" w:rsidR="00830FA0" w:rsidRDefault="00830FA0" w:rsidP="00830FA0">
      <w:r>
        <w:t>Local engagement requires many structures, and partners or partners could include the various elements that exist in the local area, such as local government, coordinated gatherings, such as local-based associations, strict gatherings, welfare groups, corporate gatherings, and in addition, individual teammates. In my opinion, local involvement is a community-based approach in which different individuals from the local area are involved in different phases of the local area project. In addition, I believe that increasing the interest of different people in local engagement programs allows burdened people to commit to taking care of their problems. For this situation, the people who are going through the suffering, the affected people have the opportunity from the central office to distinguish their needs, arrangements and the best methodology for making the necessary change.</w:t>
      </w:r>
    </w:p>
    <w:p w14:paraId="7F18DFAD" w14:textId="77777777" w:rsidR="00830FA0" w:rsidRDefault="00830FA0" w:rsidP="00830FA0">
      <w:r>
        <w:t xml:space="preserve">There are many advantages to doing a job locally. As a matter of the first importance, this is the best thing you should do. Offering backups strengthens </w:t>
      </w:r>
      <w:r>
        <w:lastRenderedPageBreak/>
        <w:t xml:space="preserve">networks while expanding relationships and loyalty. From a PR perspective, it can also provide a significant point of contact with your customers and opportunities, as nearby media like to tell the accounts of organizations that do well in their local area. Depending on the techniques you use to paint locally, different organizations or people might respond or even suggest regarding these </w:t>
      </w:r>
      <w:proofErr w:type="spellStart"/>
      <w:r>
        <w:t>endeavors</w:t>
      </w:r>
      <w:proofErr w:type="spellEnd"/>
      <w:r>
        <w:t>.</w:t>
      </w:r>
    </w:p>
    <w:p w14:paraId="7849F25F" w14:textId="77777777" w:rsidR="00830FA0" w:rsidRDefault="00830FA0" w:rsidP="00830FA0">
      <w:r>
        <w:t xml:space="preserve">Local engagement can also help with your basic care. Recent students, who have more than $ 200 billion in purchasing power, are half-bound to buy from a brand that supports cause, according to </w:t>
      </w:r>
      <w:proofErr w:type="spellStart"/>
      <w:r>
        <w:t>Frontify</w:t>
      </w:r>
      <w:proofErr w:type="spellEnd"/>
      <w:r>
        <w:t>. Forbes reports that 82% of buyers think about corporate social responsibility (CSR) before buying / using an item or administration. People need to help organizations that are doing great and represent a different option to their advantage.</w:t>
      </w:r>
    </w:p>
    <w:p w14:paraId="708429B1" w14:textId="135B3283" w:rsidR="003B666A" w:rsidRDefault="00830FA0" w:rsidP="00830FA0">
      <w:r>
        <w:t xml:space="preserve">I support </w:t>
      </w:r>
      <w:proofErr w:type="spellStart"/>
      <w:r>
        <w:t>Glandon</w:t>
      </w:r>
      <w:proofErr w:type="spellEnd"/>
      <w:r>
        <w:t xml:space="preserve"> et al. (2017) that the main justification for repeating the commitment of the local area is that it stimulates the improvement and enhancement of well-being at the local level, striving for social, financial, political and natural factors that affect well-being. Similarly, the involvement of the group of people is believed to have a positive effect in different regions. For example, in defining a plan, commitment allows individuals to choose </w:t>
      </w:r>
      <w:proofErr w:type="spellStart"/>
      <w:r>
        <w:t>endeavors</w:t>
      </w:r>
      <w:proofErr w:type="spellEnd"/>
      <w:r>
        <w:t xml:space="preserve"> that change concentration and the means to get them started. Involvement also increases the ability to purchase project assets, as the subsidy that requires a local commitment</w:t>
      </w:r>
    </w:p>
    <w:p w14:paraId="6700C875" w14:textId="1F00B496" w:rsidR="00830FA0" w:rsidRDefault="00830FA0" w:rsidP="00830FA0">
      <w:r>
        <w:t xml:space="preserve">Locally engaged project, the facts really confirm that the plan and the assignment of the task are changing, as the study must be guided by further developed tools, cooperation or depiction of people from the local area and further developed procedure for correspondence and distraction. Similarly, keep in mind that new and already unidentified connections can be made through commitments when close population information is used to provide data that ensures task performance (Douglas, n.d.). For this situation, I can determine that the different abilities and information about the participants and partners can be used and this helps to cultivate altruism among people, which is important for future joint efforts. Another advantage of commitment to the local area is that moral issues are addressed before the </w:t>
      </w:r>
      <w:proofErr w:type="spellStart"/>
      <w:r>
        <w:t>endeavor</w:t>
      </w:r>
      <w:proofErr w:type="spellEnd"/>
      <w:r>
        <w:t xml:space="preserve"> is undertaken. In this regard, the course of consent is improved, </w:t>
      </w:r>
      <w:proofErr w:type="spellStart"/>
      <w:r>
        <w:t>unraveling</w:t>
      </w:r>
      <w:proofErr w:type="spellEnd"/>
      <w:r>
        <w:t xml:space="preserve"> is differentiated and a technique is created to deal with moral issues that may arise in the process.</w:t>
      </w:r>
    </w:p>
    <w:p w14:paraId="241714C3" w14:textId="77777777" w:rsidR="00830FA0" w:rsidRDefault="00830FA0" w:rsidP="00830FA0">
      <w:r>
        <w:t xml:space="preserve">From my point of view, culture and commitment to the local area cannot be isolated, given that culture involves common </w:t>
      </w:r>
      <w:proofErr w:type="spellStart"/>
      <w:r>
        <w:t>behavior</w:t>
      </w:r>
      <w:proofErr w:type="spellEnd"/>
      <w:r>
        <w:t xml:space="preserve"> between gathering individuals. The social parts of individuals are key to the progress of social change, as culture is responsible for shaping </w:t>
      </w:r>
      <w:proofErr w:type="spellStart"/>
      <w:r>
        <w:t>behavior</w:t>
      </w:r>
      <w:proofErr w:type="spellEnd"/>
      <w:r>
        <w:t xml:space="preserve">, people's ideas, how people relate to each other, and also how individuals see things (McCloskey </w:t>
      </w:r>
      <w:proofErr w:type="gramStart"/>
      <w:r>
        <w:t>et al. ,</w:t>
      </w:r>
      <w:proofErr w:type="gramEnd"/>
      <w:r>
        <w:t xml:space="preserve"> Nd). It is also a fact that culture shapes the way power is shared, how associations, arrangements and the course of local area engagement are formulated, among different points of view. This means that in order to form a fruitful approach to engagement in the local area; it must be ensured that they understand the way of life of the local area. Networks are </w:t>
      </w:r>
      <w:r>
        <w:lastRenderedPageBreak/>
        <w:t>diverse substances with diverse collections of individuals with different qualities, ages, thinking, which affect each individual understanding of the world. I have found that understanding the social elements of individuals at the local level is important to ensure that trust works for powerful collaborative efforts for a typical course.</w:t>
      </w:r>
    </w:p>
    <w:p w14:paraId="248431AB" w14:textId="03F4C7BC" w:rsidR="00830FA0" w:rsidRDefault="00830FA0" w:rsidP="00830FA0">
      <w:r>
        <w:t xml:space="preserve">Local engagement procedures must ensure that coordinated efforts are achieved at local level. This can happen just when different partners and accomplices are trying to impose a point of view on others who do not pay much attention to their religion, </w:t>
      </w:r>
      <w:proofErr w:type="spellStart"/>
      <w:r>
        <w:t>neighborhood</w:t>
      </w:r>
      <w:proofErr w:type="spellEnd"/>
      <w:r>
        <w:t xml:space="preserve"> or social class</w:t>
      </w:r>
      <w:r w:rsidR="00323D4A" w:rsidRPr="00323D4A">
        <w:t xml:space="preserve"> (</w:t>
      </w:r>
      <w:proofErr w:type="spellStart"/>
      <w:r w:rsidR="00323D4A" w:rsidRPr="00323D4A">
        <w:t>Kolopack</w:t>
      </w:r>
      <w:proofErr w:type="spellEnd"/>
      <w:r w:rsidR="00323D4A" w:rsidRPr="00323D4A">
        <w:t xml:space="preserve">, Parsons and </w:t>
      </w:r>
      <w:proofErr w:type="spellStart"/>
      <w:r w:rsidR="00323D4A" w:rsidRPr="00323D4A">
        <w:t>Lavery</w:t>
      </w:r>
      <w:proofErr w:type="spellEnd"/>
      <w:r w:rsidR="00323D4A" w:rsidRPr="00323D4A">
        <w:t>, 2015)</w:t>
      </w:r>
      <w:r>
        <w:t>. This means that there is a requirement for everyone to see how culture shapes people's beliefs and status. For example, most engagement programs are run by welfare institutions and experts working with local associations or by gathering people from low-paid regions. People associated with the program must ensure that they recognize the diversity of pay, culture, race, education, and also the distinction of power that is the goal of local area engagement (Douglas Shear House, n.d.). This allows influential people to better understand their needs and the main driver of issues that could start the demand for change.</w:t>
      </w:r>
    </w:p>
    <w:p w14:paraId="7E7222C4" w14:textId="77777777" w:rsidR="00830FA0" w:rsidRDefault="00830FA0" w:rsidP="00830FA0">
      <w:r>
        <w:t>From my agreement, I support Kelly (n.d.) that people from different social foundations should be busy with different tasks that speed up communication between them. This is one of the strategies that can be used to respond to diversity. The claim is that the diverse collection of individuals could be inventive and innovative when viewed appropriately because of their diverse perspectives and thoughts derived from different encounters. Considering exercises from different societies can create a sense of inclusion. For example, games, music, stories, and other fun exercises are hints that can be used to increase the engagement of a different gathering (Eden, n.d.).</w:t>
      </w:r>
    </w:p>
    <w:p w14:paraId="2CAD7DCB" w14:textId="296490E1" w:rsidR="00830FA0" w:rsidRDefault="00830FA0" w:rsidP="00830FA0">
      <w:r>
        <w:t xml:space="preserve">Ways to engage the local area to deal with a pre-local association that offers experience to local people to participate in friendly change. As noted by </w:t>
      </w:r>
      <w:proofErr w:type="spellStart"/>
      <w:r w:rsidR="00323D4A" w:rsidRPr="00323D4A">
        <w:t>Kolopack</w:t>
      </w:r>
      <w:proofErr w:type="spellEnd"/>
      <w:r w:rsidR="00323D4A" w:rsidRPr="00323D4A">
        <w:t xml:space="preserve">, Parsons and </w:t>
      </w:r>
      <w:proofErr w:type="spellStart"/>
      <w:r w:rsidR="00323D4A" w:rsidRPr="00323D4A">
        <w:t>Lavery</w:t>
      </w:r>
      <w:proofErr w:type="spellEnd"/>
      <w:r w:rsidR="00323D4A">
        <w:t xml:space="preserve"> (</w:t>
      </w:r>
      <w:r w:rsidR="00323D4A" w:rsidRPr="00323D4A">
        <w:t>2015)</w:t>
      </w:r>
      <w:r w:rsidR="00323D4A">
        <w:t xml:space="preserve">, </w:t>
      </w:r>
      <w:r>
        <w:t>the local association creates a social activity facility where individuals from such a local area meet to look for a typical way of working on their lives, dealing with the problems that affect them.</w:t>
      </w:r>
    </w:p>
    <w:p w14:paraId="61A25C6A" w14:textId="6F90AE3F" w:rsidR="00830FA0" w:rsidRDefault="00830FA0" w:rsidP="00830FA0">
      <w:r w:rsidRPr="00830FA0">
        <w:t xml:space="preserve">During social work, the more capable individual is used as a delegate to the local area, as the engagement manager needs people who understand the circumstances of the individuals and can communicate quickly. From the explanation, obviously the association of the local area includes supporting the local area, improving the abilities and cooperation of individuals from the local area in raising concerns about the needs of individuals. However, the needs of the persons involved must meet the requirements of the whole area; in any case, the proposed game plan may be insignificant for other people. Supporters of the local association argue that in order to recognize the transformation, they must feel that the change serves the interests of many individuals, distinguishing the basic need. Distinguishing the main driver of </w:t>
      </w:r>
      <w:r w:rsidRPr="00830FA0">
        <w:lastRenderedPageBreak/>
        <w:t>the problem is an urgent part of the local area association, as it makes people see the demand for change through commitment to the local area.</w:t>
      </w:r>
    </w:p>
    <w:p w14:paraId="7AA8910E" w14:textId="77777777" w:rsidR="00830FA0" w:rsidRDefault="00830FA0" w:rsidP="00830FA0">
      <w:r>
        <w:t>Local engagement is likely to work if different people in the local area are involved in activities that address their concerns. The local cooperation project exceeds the actual investment in engaging in various exercises that accelerate the dynamics. In my contract, this may include the age of thought, the sharing of responsibilities, and the offering of administrations for interviews. An interview expressed by the Queensland government (BC) is a strategy that seeks to ask or hear a basic point of view and advice on a subject. During the group engagement, the research partners can participate by offering advice and other data that may be needed. Investments force pioneers in the local area and a commitment to expand thinking and the need to benefit from others in order to stay away from wasting time and assets.</w:t>
      </w:r>
    </w:p>
    <w:p w14:paraId="2FD1B4E8" w14:textId="77777777" w:rsidR="00830FA0" w:rsidRDefault="00830FA0" w:rsidP="00830FA0">
      <w:r>
        <w:t>Collaboration is further expanded by building boundaries where the abilities and assets of the people in the affected area are created (McCloskey et al., N.d.). In fact, in order for the commitment to be convincing, everyone, and especially the partners, must be involved. The construction limit includes identification data of pioneers and other creative personalities that can be used during the commitment to reduce the strength of uneven characters.</w:t>
      </w:r>
    </w:p>
    <w:p w14:paraId="1B15F4A3" w14:textId="1AACED80" w:rsidR="00830FA0" w:rsidRDefault="00830FA0" w:rsidP="00830FA0">
      <w:r>
        <w:t>Because investments in engagement projects are usually intentional, people offer their help through a social trade approach that includes the inspiration for collaboration. People will be involved in this situation if the obvious benefits of their support outweigh the effort or cost. During the engagement of the group of people, the support is significant as it improves the system administration, assembles and develops the connections between the different participants and also improves the learning</w:t>
      </w:r>
      <w:r w:rsidR="00323D4A" w:rsidRPr="00323D4A">
        <w:t xml:space="preserve"> (Gilmore et al., 2020)</w:t>
      </w:r>
      <w:r>
        <w:t>. The interest rate can be upgraded to ensure that any obstacles that hinder or disrupt maintenance are removed. Support boundaries may include social barriers, correspondence boundaries, lack of attention from key partners such as influential individuals, minority gatherings and people from undervalued networks.</w:t>
      </w:r>
    </w:p>
    <w:p w14:paraId="57D21C8D" w14:textId="5ADDD6C0" w:rsidR="00217F9A" w:rsidRDefault="00830FA0" w:rsidP="00830FA0">
      <w:r>
        <w:t>The commitment of the local area advances the strengthening and also encourages the structure of the unions. Strengthening the local area is the most common way to encourage individuals, security and strength, which allows them to have power over their lives and also allows underrated, abused and rejected networks to gain their privileges and improve social change by reducing of minimization status. On the other hand, I see alliances as a circumstance in which at least two people come together and work together to influence change by influencing the outcome of a problem. Local engagement could stimulate the development of alliances to advocate for specific changes in the regions that affect the local area.</w:t>
      </w:r>
    </w:p>
    <w:p w14:paraId="0B846ED3" w14:textId="729C5DC8" w:rsidR="00830FA0" w:rsidRDefault="00830FA0" w:rsidP="00830FA0"/>
    <w:p w14:paraId="73C6A648" w14:textId="77777777" w:rsidR="00830FA0" w:rsidRDefault="00830FA0" w:rsidP="00830FA0"/>
    <w:p w14:paraId="7AFF4371" w14:textId="5C00CAC1" w:rsidR="00217F9A" w:rsidRDefault="00217F9A" w:rsidP="00830FA0">
      <w:pPr>
        <w:pStyle w:val="Heading1"/>
      </w:pPr>
      <w:bookmarkStart w:id="4" w:name="_Toc81557833"/>
      <w:r>
        <w:lastRenderedPageBreak/>
        <w:t>Conclusion</w:t>
      </w:r>
      <w:bookmarkEnd w:id="4"/>
    </w:p>
    <w:p w14:paraId="74834145" w14:textId="61AA3C72" w:rsidR="003B666A" w:rsidRDefault="00830FA0" w:rsidP="003B666A">
      <w:r w:rsidRPr="00830FA0">
        <w:t>With all that presented in the above report, engagement and cooperation in the local area allow people in the local area to run away from a typical course aimed at advancing change. Local engagement must be conducted in a way that recognizes complex partners. It should also ensure that the requirements / interests of the wider local area take precedence over those of the people. Local engagement is significant and can lead to further results for networks when government associations and public dynamic substances seek the goals, concerns and strengths of networks, thus sharing their desires, concerns and qualities with administrative elements. Merging into dynamic cycles, community leaders are better educated and better prepared to solve local problems. Building long-standing, viable associations between government associations and networks also leads to a more remarkable sense of ownership of local territory and a further developed takeover of administrations, as they are personalized according to the extreme longings of the local area.</w:t>
      </w:r>
    </w:p>
    <w:p w14:paraId="4AAF0B01" w14:textId="5184B26E" w:rsidR="003B666A" w:rsidRDefault="003B666A" w:rsidP="003B666A"/>
    <w:p w14:paraId="6ABE08CA" w14:textId="17641DA1" w:rsidR="00830FA0" w:rsidRDefault="00830FA0" w:rsidP="003B666A"/>
    <w:p w14:paraId="76D160B5" w14:textId="5977FAEF" w:rsidR="00830FA0" w:rsidRDefault="00830FA0" w:rsidP="003B666A"/>
    <w:p w14:paraId="6AE29457" w14:textId="1161AE91" w:rsidR="00830FA0" w:rsidRDefault="00830FA0" w:rsidP="003B666A"/>
    <w:p w14:paraId="6B72A5F3" w14:textId="28553ABD" w:rsidR="00830FA0" w:rsidRDefault="00830FA0" w:rsidP="003B666A"/>
    <w:p w14:paraId="68BB2805" w14:textId="6EFB2CF8" w:rsidR="00830FA0" w:rsidRDefault="00830FA0" w:rsidP="003B666A"/>
    <w:p w14:paraId="34F9082D" w14:textId="50BB7758" w:rsidR="00830FA0" w:rsidRDefault="00830FA0" w:rsidP="003B666A"/>
    <w:p w14:paraId="42DE525F" w14:textId="660AD376" w:rsidR="00830FA0" w:rsidRDefault="00830FA0" w:rsidP="003B666A"/>
    <w:p w14:paraId="485F449C" w14:textId="09D80059" w:rsidR="00830FA0" w:rsidRDefault="00830FA0" w:rsidP="003B666A"/>
    <w:p w14:paraId="3E920A7C" w14:textId="03A8FAB6" w:rsidR="00830FA0" w:rsidRDefault="00830FA0" w:rsidP="003B666A"/>
    <w:p w14:paraId="04A6CC6C" w14:textId="0DFCF679" w:rsidR="00830FA0" w:rsidRDefault="00830FA0" w:rsidP="003B666A"/>
    <w:p w14:paraId="3C882C04" w14:textId="4F0D67CC" w:rsidR="00830FA0" w:rsidRDefault="00830FA0" w:rsidP="003B666A"/>
    <w:p w14:paraId="5053EEDA" w14:textId="3EFEF0B2" w:rsidR="00830FA0" w:rsidRDefault="00830FA0" w:rsidP="003B666A"/>
    <w:p w14:paraId="5564ABCA" w14:textId="121F3708" w:rsidR="00830FA0" w:rsidRDefault="00830FA0" w:rsidP="003B666A"/>
    <w:p w14:paraId="528EEECB" w14:textId="506BC720" w:rsidR="00830FA0" w:rsidRDefault="00830FA0" w:rsidP="003B666A"/>
    <w:p w14:paraId="51C2E73F" w14:textId="77777777" w:rsidR="00830FA0" w:rsidRDefault="00830FA0" w:rsidP="003B666A"/>
    <w:p w14:paraId="6E70B5AD" w14:textId="0BEB779C" w:rsidR="003B666A" w:rsidRDefault="003B666A" w:rsidP="00830FA0">
      <w:pPr>
        <w:pStyle w:val="Heading1"/>
      </w:pPr>
      <w:bookmarkStart w:id="5" w:name="_Toc81557834"/>
      <w:r>
        <w:lastRenderedPageBreak/>
        <w:t>Reference</w:t>
      </w:r>
      <w:r w:rsidR="00217F9A">
        <w:t xml:space="preserve"> List</w:t>
      </w:r>
      <w:bookmarkEnd w:id="5"/>
    </w:p>
    <w:p w14:paraId="2AC318D2" w14:textId="28CD5AC5" w:rsidR="00323D4A" w:rsidRDefault="00323D4A" w:rsidP="003B666A">
      <w:r w:rsidRPr="00323D4A">
        <w:t xml:space="preserve">Burgess, R.A., Osborne, R.H., </w:t>
      </w:r>
      <w:proofErr w:type="spellStart"/>
      <w:r w:rsidRPr="00323D4A">
        <w:t>Yongabi</w:t>
      </w:r>
      <w:proofErr w:type="spellEnd"/>
      <w:r w:rsidRPr="00323D4A">
        <w:t xml:space="preserve">, K.A., </w:t>
      </w:r>
      <w:proofErr w:type="spellStart"/>
      <w:r w:rsidRPr="00323D4A">
        <w:t>Greenhalgh</w:t>
      </w:r>
      <w:proofErr w:type="spellEnd"/>
      <w:r w:rsidRPr="00323D4A">
        <w:t xml:space="preserve">, T., </w:t>
      </w:r>
      <w:proofErr w:type="spellStart"/>
      <w:r w:rsidRPr="00323D4A">
        <w:t>Gurdasani</w:t>
      </w:r>
      <w:proofErr w:type="spellEnd"/>
      <w:r w:rsidRPr="00323D4A">
        <w:t xml:space="preserve">, D., Kang, G., </w:t>
      </w:r>
      <w:proofErr w:type="spellStart"/>
      <w:r w:rsidRPr="00323D4A">
        <w:t>Falade</w:t>
      </w:r>
      <w:proofErr w:type="spellEnd"/>
      <w:r w:rsidRPr="00323D4A">
        <w:t xml:space="preserve">, A.G., </w:t>
      </w:r>
      <w:proofErr w:type="spellStart"/>
      <w:r w:rsidRPr="00323D4A">
        <w:t>Odone</w:t>
      </w:r>
      <w:proofErr w:type="spellEnd"/>
      <w:r w:rsidRPr="00323D4A">
        <w:t xml:space="preserve">, A., </w:t>
      </w:r>
      <w:proofErr w:type="spellStart"/>
      <w:r w:rsidRPr="00323D4A">
        <w:t>Busse</w:t>
      </w:r>
      <w:proofErr w:type="spellEnd"/>
      <w:r w:rsidRPr="00323D4A">
        <w:t>, R., Martin-Moreno, J.M., Reicher, S. and McKee, M. (2020). The COVID-19 vaccines rush: participatory community engagement matters more than ever. The Lancet, [online] 0(0).</w:t>
      </w:r>
    </w:p>
    <w:p w14:paraId="7EC6CE19" w14:textId="297C9093" w:rsidR="003B666A" w:rsidRDefault="003B666A" w:rsidP="003B666A">
      <w:r>
        <w:t>Douglas Shire Council. (n.d.). Community engagement guide &amp; tools. Retrieved from</w:t>
      </w:r>
      <w:r w:rsidR="00830FA0">
        <w:t xml:space="preserve"> </w:t>
      </w:r>
      <w:r>
        <w:t>https://douglas.qld.gov.au/download/community_engagement/Community %20Engagement%20Guide%20and%20Tools.pdf</w:t>
      </w:r>
    </w:p>
    <w:p w14:paraId="2BDD8F24" w14:textId="77777777" w:rsidR="003B666A" w:rsidRDefault="003B666A" w:rsidP="003B666A">
      <w:r>
        <w:t>Eden Project. (n.d.). Creative community engagement. Retrieved February 28, 2018, from http://www.edenproject.com/eden-story/our-ethos/creative-community-engagement</w:t>
      </w:r>
    </w:p>
    <w:p w14:paraId="238F9C1A" w14:textId="606BB4B7" w:rsidR="00323D4A" w:rsidRDefault="00323D4A" w:rsidP="003B666A">
      <w:r w:rsidRPr="00323D4A">
        <w:t xml:space="preserve">Gilmore, B., </w:t>
      </w:r>
      <w:proofErr w:type="spellStart"/>
      <w:r w:rsidRPr="00323D4A">
        <w:t>Ndejjo</w:t>
      </w:r>
      <w:proofErr w:type="spellEnd"/>
      <w:r w:rsidRPr="00323D4A">
        <w:t xml:space="preserve">, R., </w:t>
      </w:r>
      <w:proofErr w:type="spellStart"/>
      <w:r w:rsidRPr="00323D4A">
        <w:t>Tchetchia</w:t>
      </w:r>
      <w:proofErr w:type="spellEnd"/>
      <w:r w:rsidRPr="00323D4A">
        <w:t>, A., de Claro, V., Mago, E., Diallo, A.A., Lopes, C. and Bhattacharyya, S. (2020). Community engagement for COVID-19 prevention and control: a rapid evidence synthesis. BMJ global health, 5(10).</w:t>
      </w:r>
    </w:p>
    <w:p w14:paraId="6DC92DDE" w14:textId="77200C95" w:rsidR="003B666A" w:rsidRDefault="003B666A" w:rsidP="003B666A">
      <w:proofErr w:type="spellStart"/>
      <w:r>
        <w:t>Glandon</w:t>
      </w:r>
      <w:proofErr w:type="spellEnd"/>
      <w:r>
        <w:t xml:space="preserve">, D., </w:t>
      </w:r>
      <w:proofErr w:type="spellStart"/>
      <w:r>
        <w:t>Paina</w:t>
      </w:r>
      <w:proofErr w:type="spellEnd"/>
      <w:r>
        <w:t xml:space="preserve">, L., </w:t>
      </w:r>
      <w:proofErr w:type="spellStart"/>
      <w:r>
        <w:t>Alonge</w:t>
      </w:r>
      <w:proofErr w:type="spellEnd"/>
      <w:r>
        <w:t>, O., Peters, D. H., &amp; Bennett, S. (2017)</w:t>
      </w:r>
      <w:r w:rsidR="00830FA0">
        <w:t xml:space="preserve"> </w:t>
      </w:r>
      <w:r>
        <w:t xml:space="preserve">10 Best resources for community engagement in implementation research. Health Policy and Planning, 32(10), 1457-1465, </w:t>
      </w:r>
    </w:p>
    <w:p w14:paraId="1026DB7B" w14:textId="68171BE8" w:rsidR="00323D4A" w:rsidRDefault="00323D4A" w:rsidP="003B666A">
      <w:proofErr w:type="spellStart"/>
      <w:r w:rsidRPr="00323D4A">
        <w:t>Kolopack</w:t>
      </w:r>
      <w:proofErr w:type="spellEnd"/>
      <w:r w:rsidRPr="00323D4A">
        <w:t xml:space="preserve">, P.A., Parsons, J.A. and </w:t>
      </w:r>
      <w:proofErr w:type="spellStart"/>
      <w:r w:rsidRPr="00323D4A">
        <w:t>Lavery</w:t>
      </w:r>
      <w:proofErr w:type="spellEnd"/>
      <w:r w:rsidRPr="00323D4A">
        <w:t xml:space="preserve">, J.V. (2015). What Makes Community Engagement </w:t>
      </w:r>
      <w:proofErr w:type="gramStart"/>
      <w:r w:rsidRPr="00323D4A">
        <w:t>Effective?:</w:t>
      </w:r>
      <w:proofErr w:type="gramEnd"/>
      <w:r w:rsidRPr="00323D4A">
        <w:t xml:space="preserve"> Lessons from the Eliminate Dengue Program in Queensland Australia. PLOS Neglected Tropical Diseases, 9(4), p.e0003713.</w:t>
      </w:r>
    </w:p>
    <w:p w14:paraId="59F19D06" w14:textId="1216CF99" w:rsidR="003B666A" w:rsidRDefault="003B666A" w:rsidP="003B666A">
      <w:r>
        <w:t xml:space="preserve">McCloskey, D., McDonald, M. A., Cook, J., </w:t>
      </w:r>
      <w:proofErr w:type="spellStart"/>
      <w:r>
        <w:t>Heurtin</w:t>
      </w:r>
      <w:proofErr w:type="spellEnd"/>
      <w:r>
        <w:t xml:space="preserve">-Roberts, S., </w:t>
      </w:r>
      <w:proofErr w:type="spellStart"/>
      <w:r>
        <w:t>Updegrove</w:t>
      </w:r>
      <w:proofErr w:type="spellEnd"/>
      <w:r>
        <w:t>, S., Sampson, D., Gutter, S. &amp; Eder, M. (</w:t>
      </w:r>
      <w:proofErr w:type="spellStart"/>
      <w:r>
        <w:t>n.d</w:t>
      </w:r>
      <w:proofErr w:type="spellEnd"/>
      <w:r>
        <w:t xml:space="preserve">) Community Engagement: Definitions and Organizing Concepts from the Literature. </w:t>
      </w:r>
    </w:p>
    <w:p w14:paraId="7AE96A6E" w14:textId="2521E74B" w:rsidR="003B666A" w:rsidRDefault="003B666A" w:rsidP="003B666A">
      <w:r>
        <w:t>Queensland Government. (n.d.) Community engagement techniques. Retrieved from https://www.health.qld.gov.au/__data/assets/pdf_file/0029/425576/33487.pdf</w:t>
      </w:r>
    </w:p>
    <w:sectPr w:rsidR="003B666A" w:rsidSect="00323D4A">
      <w:footerReference w:type="even" r:id="rId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63B5B3" w14:textId="77777777" w:rsidR="00B47282" w:rsidRDefault="00B47282" w:rsidP="00830FA0">
      <w:pPr>
        <w:spacing w:after="0" w:line="240" w:lineRule="auto"/>
      </w:pPr>
      <w:r>
        <w:separator/>
      </w:r>
    </w:p>
  </w:endnote>
  <w:endnote w:type="continuationSeparator" w:id="0">
    <w:p w14:paraId="248FEFB2" w14:textId="77777777" w:rsidR="00B47282" w:rsidRDefault="00B47282" w:rsidP="00830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98681554"/>
      <w:docPartObj>
        <w:docPartGallery w:val="Page Numbers (Bottom of Page)"/>
        <w:docPartUnique/>
      </w:docPartObj>
    </w:sdtPr>
    <w:sdtEndPr>
      <w:rPr>
        <w:rStyle w:val="PageNumber"/>
      </w:rPr>
    </w:sdtEndPr>
    <w:sdtContent>
      <w:p w14:paraId="20B4D3C9" w14:textId="71107DFE" w:rsidR="00323D4A" w:rsidRDefault="00323D4A" w:rsidP="00633D6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802FC2" w14:textId="77777777" w:rsidR="00323D4A" w:rsidRDefault="00323D4A" w:rsidP="00323D4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00807504"/>
      <w:docPartObj>
        <w:docPartGallery w:val="Page Numbers (Bottom of Page)"/>
        <w:docPartUnique/>
      </w:docPartObj>
    </w:sdtPr>
    <w:sdtEndPr>
      <w:rPr>
        <w:rStyle w:val="PageNumber"/>
      </w:rPr>
    </w:sdtEndPr>
    <w:sdtContent>
      <w:p w14:paraId="2DCBF9EE" w14:textId="61A76B22" w:rsidR="00323D4A" w:rsidRDefault="00323D4A" w:rsidP="00633D6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75B30">
          <w:rPr>
            <w:rStyle w:val="PageNumber"/>
            <w:noProof/>
          </w:rPr>
          <w:t>1</w:t>
        </w:r>
        <w:r>
          <w:rPr>
            <w:rStyle w:val="PageNumber"/>
          </w:rPr>
          <w:fldChar w:fldCharType="end"/>
        </w:r>
      </w:p>
    </w:sdtContent>
  </w:sdt>
  <w:p w14:paraId="3635174F" w14:textId="77777777" w:rsidR="00323D4A" w:rsidRDefault="00323D4A" w:rsidP="00323D4A">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6099DB" w14:textId="77777777" w:rsidR="00B47282" w:rsidRDefault="00B47282" w:rsidP="00830FA0">
      <w:pPr>
        <w:spacing w:after="0" w:line="240" w:lineRule="auto"/>
      </w:pPr>
      <w:r>
        <w:separator/>
      </w:r>
    </w:p>
  </w:footnote>
  <w:footnote w:type="continuationSeparator" w:id="0">
    <w:p w14:paraId="2255558E" w14:textId="77777777" w:rsidR="00B47282" w:rsidRDefault="00B47282" w:rsidP="00830F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66A"/>
    <w:rsid w:val="00116677"/>
    <w:rsid w:val="00217F9A"/>
    <w:rsid w:val="002578EF"/>
    <w:rsid w:val="00323D4A"/>
    <w:rsid w:val="003B666A"/>
    <w:rsid w:val="005433BA"/>
    <w:rsid w:val="00575B30"/>
    <w:rsid w:val="00654847"/>
    <w:rsid w:val="007A3D60"/>
    <w:rsid w:val="00830FA0"/>
    <w:rsid w:val="00B47282"/>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DEBB1"/>
  <w15:chartTrackingRefBased/>
  <w15:docId w15:val="{1681642A-F844-6A46-A9CA-E44C16808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830F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0F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FA0"/>
    <w:rPr>
      <w:rFonts w:ascii="Arial" w:hAnsi="Arial"/>
      <w:szCs w:val="22"/>
    </w:rPr>
  </w:style>
  <w:style w:type="paragraph" w:styleId="Footer">
    <w:name w:val="footer"/>
    <w:basedOn w:val="Normal"/>
    <w:link w:val="FooterChar"/>
    <w:uiPriority w:val="99"/>
    <w:unhideWhenUsed/>
    <w:rsid w:val="00830F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FA0"/>
    <w:rPr>
      <w:rFonts w:ascii="Arial" w:hAnsi="Arial"/>
      <w:szCs w:val="22"/>
    </w:rPr>
  </w:style>
  <w:style w:type="character" w:customStyle="1" w:styleId="Heading1Char">
    <w:name w:val="Heading 1 Char"/>
    <w:basedOn w:val="DefaultParagraphFont"/>
    <w:link w:val="Heading1"/>
    <w:uiPriority w:val="9"/>
    <w:rsid w:val="00830FA0"/>
    <w:rPr>
      <w:rFonts w:asciiTheme="majorHAnsi" w:eastAsiaTheme="majorEastAsia" w:hAnsiTheme="majorHAnsi" w:cstheme="majorBidi"/>
      <w:color w:val="2F5496" w:themeColor="accent1" w:themeShade="BF"/>
      <w:sz w:val="32"/>
      <w:szCs w:val="32"/>
    </w:rPr>
  </w:style>
  <w:style w:type="character" w:styleId="PageNumber">
    <w:name w:val="page number"/>
    <w:basedOn w:val="DefaultParagraphFont"/>
    <w:uiPriority w:val="99"/>
    <w:semiHidden/>
    <w:unhideWhenUsed/>
    <w:rsid w:val="00323D4A"/>
  </w:style>
  <w:style w:type="paragraph" w:styleId="TOCHeading">
    <w:name w:val="TOC Heading"/>
    <w:basedOn w:val="Heading1"/>
    <w:next w:val="Normal"/>
    <w:uiPriority w:val="39"/>
    <w:unhideWhenUsed/>
    <w:qFormat/>
    <w:rsid w:val="00323D4A"/>
    <w:pPr>
      <w:spacing w:before="480"/>
      <w:outlineLvl w:val="9"/>
    </w:pPr>
    <w:rPr>
      <w:b/>
      <w:bCs/>
      <w:sz w:val="28"/>
      <w:szCs w:val="28"/>
      <w:lang w:val="en-US"/>
    </w:rPr>
  </w:style>
  <w:style w:type="paragraph" w:styleId="TOC1">
    <w:name w:val="toc 1"/>
    <w:basedOn w:val="Normal"/>
    <w:next w:val="Normal"/>
    <w:autoRedefine/>
    <w:uiPriority w:val="39"/>
    <w:unhideWhenUsed/>
    <w:rsid w:val="00323D4A"/>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323D4A"/>
    <w:rPr>
      <w:color w:val="0563C1" w:themeColor="hyperlink"/>
      <w:u w:val="single"/>
    </w:rPr>
  </w:style>
  <w:style w:type="paragraph" w:styleId="TOC2">
    <w:name w:val="toc 2"/>
    <w:basedOn w:val="Normal"/>
    <w:next w:val="Normal"/>
    <w:autoRedefine/>
    <w:uiPriority w:val="39"/>
    <w:semiHidden/>
    <w:unhideWhenUsed/>
    <w:rsid w:val="00323D4A"/>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323D4A"/>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23D4A"/>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23D4A"/>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23D4A"/>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23D4A"/>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23D4A"/>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23D4A"/>
    <w:pPr>
      <w:spacing w:after="0"/>
      <w:ind w:left="1920"/>
    </w:pPr>
    <w:rPr>
      <w:rFonts w:asciiTheme="minorHAnsi" w:hAnsiTheme="minorHAnsi" w:cstheme="minorHAnsi"/>
      <w:sz w:val="20"/>
      <w:szCs w:val="20"/>
    </w:rPr>
  </w:style>
  <w:style w:type="paragraph" w:styleId="NoSpacing">
    <w:name w:val="No Spacing"/>
    <w:link w:val="NoSpacingChar"/>
    <w:uiPriority w:val="1"/>
    <w:qFormat/>
    <w:rsid w:val="00323D4A"/>
    <w:rPr>
      <w:rFonts w:eastAsiaTheme="minorEastAsia"/>
      <w:sz w:val="22"/>
      <w:szCs w:val="22"/>
      <w:lang w:val="en-US" w:eastAsia="zh-CN"/>
    </w:rPr>
  </w:style>
  <w:style w:type="character" w:customStyle="1" w:styleId="NoSpacingChar">
    <w:name w:val="No Spacing Char"/>
    <w:basedOn w:val="DefaultParagraphFont"/>
    <w:link w:val="NoSpacing"/>
    <w:uiPriority w:val="1"/>
    <w:rsid w:val="00323D4A"/>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500479">
      <w:bodyDiv w:val="1"/>
      <w:marLeft w:val="0"/>
      <w:marRight w:val="0"/>
      <w:marTop w:val="0"/>
      <w:marBottom w:val="0"/>
      <w:divBdr>
        <w:top w:val="none" w:sz="0" w:space="0" w:color="auto"/>
        <w:left w:val="none" w:sz="0" w:space="0" w:color="auto"/>
        <w:bottom w:val="none" w:sz="0" w:space="0" w:color="auto"/>
        <w:right w:val="none" w:sz="0" w:space="0" w:color="auto"/>
      </w:divBdr>
      <w:divsChild>
        <w:div w:id="408119998">
          <w:marLeft w:val="0"/>
          <w:marRight w:val="855"/>
          <w:marTop w:val="37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C4E109A-AAE8-4A4E-9F33-11C0DB656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2314</Words>
  <Characters>13196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assignment 2</dc:title>
  <dc:subject>MODULE LEADER:</dc:subject>
  <dc:creator>STUDENT ID: 1907082</dc:creator>
  <cp:keywords/>
  <dc:description/>
  <cp:lastModifiedBy>user1</cp:lastModifiedBy>
  <cp:revision>4</cp:revision>
  <dcterms:created xsi:type="dcterms:W3CDTF">2021-09-03T09:37:00Z</dcterms:created>
  <dcterms:modified xsi:type="dcterms:W3CDTF">2021-09-03T10:26:00Z</dcterms:modified>
</cp:coreProperties>
</file>