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7AEE82" w14:textId="1FABBA42" w:rsidR="003050BF" w:rsidRDefault="003050BF" w:rsidP="00FF1A3F">
      <w:r>
        <w:t xml:space="preserve">The presented scenario </w:t>
      </w:r>
      <w:r w:rsidR="00D30DEA">
        <w:t xml:space="preserve">seeks to </w:t>
      </w:r>
      <w:r w:rsidR="0096438C">
        <w:t xml:space="preserve">determine </w:t>
      </w:r>
      <w:r w:rsidR="00C76609">
        <w:t xml:space="preserve">the </w:t>
      </w:r>
      <w:r w:rsidR="008473C7">
        <w:t>potential of litigation</w:t>
      </w:r>
      <w:r w:rsidR="00C76609">
        <w:t xml:space="preserve"> against Elijah’s </w:t>
      </w:r>
      <w:r w:rsidR="008473C7">
        <w:t>employers</w:t>
      </w:r>
      <w:r w:rsidR="00231592">
        <w:t xml:space="preserve"> (defendant 1)</w:t>
      </w:r>
      <w:r w:rsidR="008473C7">
        <w:t xml:space="preserve"> alongside the hospital </w:t>
      </w:r>
      <w:r w:rsidR="00FC4620">
        <w:t xml:space="preserve">in which </w:t>
      </w:r>
      <w:r w:rsidR="008473C7">
        <w:t xml:space="preserve">he </w:t>
      </w:r>
      <w:r w:rsidR="00FC4620">
        <w:t xml:space="preserve">then </w:t>
      </w:r>
      <w:r w:rsidR="008473C7">
        <w:t>presented</w:t>
      </w:r>
      <w:r w:rsidR="003854A5">
        <w:t xml:space="preserve"> himself</w:t>
      </w:r>
      <w:r w:rsidR="00231592">
        <w:t xml:space="preserve"> (defendant 2)</w:t>
      </w:r>
      <w:r>
        <w:t>. The following response will investigate the extent of</w:t>
      </w:r>
      <w:r w:rsidR="005529EE">
        <w:t xml:space="preserve"> </w:t>
      </w:r>
      <w:r w:rsidR="00231592">
        <w:t xml:space="preserve">the </w:t>
      </w:r>
      <w:r w:rsidR="003854A5">
        <w:t>defendant’s</w:t>
      </w:r>
      <w:r>
        <w:t xml:space="preserve"> liability</w:t>
      </w:r>
      <w:r w:rsidR="00DE2D33">
        <w:t xml:space="preserve"> chronologically</w:t>
      </w:r>
      <w:r>
        <w:t xml:space="preserve"> </w:t>
      </w:r>
      <w:r w:rsidR="00854C39">
        <w:t>by establishing</w:t>
      </w:r>
      <w:r w:rsidR="007B5099">
        <w:t xml:space="preserve"> </w:t>
      </w:r>
      <w:r w:rsidR="0025642B">
        <w:t xml:space="preserve">a legal basis followed by a scenario specific analysis. This will be completed </w:t>
      </w:r>
      <w:r w:rsidR="00854C39">
        <w:t>by considering</w:t>
      </w:r>
      <w:r w:rsidR="00510B8D">
        <w:t xml:space="preserve"> the</w:t>
      </w:r>
      <w:r w:rsidR="00EF7E66">
        <w:t xml:space="preserve"> c</w:t>
      </w:r>
      <w:r w:rsidR="00FF1A3F">
        <w:t>ommon law duty of care</w:t>
      </w:r>
      <w:r w:rsidR="00EF7E66">
        <w:t xml:space="preserve">, </w:t>
      </w:r>
      <w:r w:rsidR="00B42B71">
        <w:t>statutory duty of care</w:t>
      </w:r>
      <w:r w:rsidR="00EF7E66">
        <w:t>,</w:t>
      </w:r>
      <w:r w:rsidR="00FF1A3F">
        <w:t xml:space="preserve"> </w:t>
      </w:r>
      <w:r w:rsidR="00B42B71">
        <w:t>employers’ liability</w:t>
      </w:r>
      <w:r w:rsidR="00EF7E66">
        <w:t>, p</w:t>
      </w:r>
      <w:r w:rsidR="00FF1A3F">
        <w:t>ersonal liability</w:t>
      </w:r>
      <w:r w:rsidR="00AD607E">
        <w:t>, c</w:t>
      </w:r>
      <w:r w:rsidR="00FF1A3F">
        <w:t>ontractual duty</w:t>
      </w:r>
      <w:r w:rsidR="007913F2">
        <w:t xml:space="preserve">, </w:t>
      </w:r>
      <w:r w:rsidR="00AD607E">
        <w:t>v</w:t>
      </w:r>
      <w:r w:rsidR="00FF1A3F">
        <w:t>icarious liability</w:t>
      </w:r>
      <w:r w:rsidR="00AD607E">
        <w:t xml:space="preserve"> </w:t>
      </w:r>
      <w:r>
        <w:t xml:space="preserve">alongside some corresponding defences that </w:t>
      </w:r>
      <w:r w:rsidR="00AD607E">
        <w:t>may be relied upon.</w:t>
      </w:r>
    </w:p>
    <w:p w14:paraId="2BDE2F55" w14:textId="05CA91F8" w:rsidR="00510B8D" w:rsidRDefault="00510B8D" w:rsidP="00FF1A3F"/>
    <w:p w14:paraId="316CB96A" w14:textId="2D05E9C2" w:rsidR="00943BAA" w:rsidRDefault="00AD64DB" w:rsidP="00510B8D">
      <w:r>
        <w:t xml:space="preserve">In order to be </w:t>
      </w:r>
      <w:r w:rsidR="001B4C00">
        <w:t>make</w:t>
      </w:r>
      <w:r w:rsidR="00B90858">
        <w:t xml:space="preserve"> a </w:t>
      </w:r>
      <w:r w:rsidR="001B4C00">
        <w:t xml:space="preserve">claim, </w:t>
      </w:r>
      <w:r w:rsidR="003A1D4B">
        <w:t>a duty of care must first be established</w:t>
      </w:r>
      <w:r w:rsidR="00C76CC3">
        <w:t xml:space="preserve"> and then </w:t>
      </w:r>
      <w:r w:rsidR="00E33E9A">
        <w:t>breached</w:t>
      </w:r>
      <w:r w:rsidR="004040AD">
        <w:t xml:space="preserve"> as </w:t>
      </w:r>
      <w:r w:rsidR="00FD1AB9">
        <w:t>confirmed</w:t>
      </w:r>
      <w:r w:rsidR="004040AD">
        <w:t xml:space="preserve"> by </w:t>
      </w:r>
      <w:r w:rsidR="004040AD" w:rsidRPr="0074629B">
        <w:rPr>
          <w:color w:val="000000" w:themeColor="text1"/>
        </w:rPr>
        <w:t>Donoghue v Stevenson</w:t>
      </w:r>
      <w:r w:rsidR="005262C6" w:rsidRPr="0074629B">
        <w:rPr>
          <w:color w:val="000000" w:themeColor="text1"/>
        </w:rPr>
        <w:t xml:space="preserve"> </w:t>
      </w:r>
      <w:r w:rsidR="004040AD" w:rsidRPr="0074629B">
        <w:rPr>
          <w:color w:val="000000" w:themeColor="text1"/>
        </w:rPr>
        <w:t>(1932</w:t>
      </w:r>
      <w:r w:rsidR="00870BBA" w:rsidRPr="0074629B">
        <w:rPr>
          <w:color w:val="000000" w:themeColor="text1"/>
        </w:rPr>
        <w:t>).</w:t>
      </w:r>
      <w:r w:rsidR="004040AD" w:rsidRPr="0074629B">
        <w:rPr>
          <w:color w:val="000000" w:themeColor="text1"/>
        </w:rPr>
        <w:t xml:space="preserve"> </w:t>
      </w:r>
      <w:r w:rsidR="004E7629">
        <w:t xml:space="preserve">Negligence is </w:t>
      </w:r>
      <w:r w:rsidR="00417746">
        <w:t xml:space="preserve">further </w:t>
      </w:r>
      <w:r w:rsidR="004E7629">
        <w:t>defined in</w:t>
      </w:r>
      <w:r w:rsidR="00951858" w:rsidRPr="00951858">
        <w:t xml:space="preserve"> </w:t>
      </w:r>
      <w:r w:rsidR="00951858" w:rsidRPr="00E67D89">
        <w:rPr>
          <w:color w:val="000000" w:themeColor="text1"/>
        </w:rPr>
        <w:t>Blyth v Birmingham Waterworks (1856)</w:t>
      </w:r>
      <w:r w:rsidR="00951858" w:rsidRPr="00E67D89">
        <w:rPr>
          <w:color w:val="000000" w:themeColor="text1"/>
        </w:rPr>
        <w:t xml:space="preserve"> </w:t>
      </w:r>
      <w:r w:rsidR="004E7629">
        <w:t>as the</w:t>
      </w:r>
      <w:r w:rsidR="00B47D46">
        <w:t xml:space="preserve"> failure to complete </w:t>
      </w:r>
      <w:r w:rsidR="00D44A50">
        <w:t xml:space="preserve">the </w:t>
      </w:r>
      <w:r w:rsidR="00B47D46">
        <w:t xml:space="preserve">actions </w:t>
      </w:r>
      <w:r w:rsidR="00D44A50">
        <w:t xml:space="preserve">of </w:t>
      </w:r>
      <w:r w:rsidR="00B47D46">
        <w:t>a</w:t>
      </w:r>
      <w:r w:rsidR="00870BBA">
        <w:t xml:space="preserve"> reasonable person</w:t>
      </w:r>
      <w:r w:rsidR="00510B8D">
        <w:t>.</w:t>
      </w:r>
      <w:r w:rsidR="00C332BE">
        <w:t xml:space="preserve"> </w:t>
      </w:r>
      <w:r w:rsidR="00547B59">
        <w:t>Th</w:t>
      </w:r>
      <w:r w:rsidR="00870BBA">
        <w:t>is</w:t>
      </w:r>
      <w:r w:rsidR="00547B59">
        <w:t xml:space="preserve"> </w:t>
      </w:r>
      <w:r w:rsidR="00870BBA">
        <w:t>definition</w:t>
      </w:r>
      <w:r w:rsidR="00547B59">
        <w:t xml:space="preserve"> </w:t>
      </w:r>
      <w:r w:rsidR="00870BBA">
        <w:t>is</w:t>
      </w:r>
      <w:r w:rsidR="00547B59">
        <w:t xml:space="preserve"> </w:t>
      </w:r>
      <w:r w:rsidR="00D967FF">
        <w:t xml:space="preserve">typically </w:t>
      </w:r>
      <w:r w:rsidR="00E66EA4">
        <w:t>demonstrated today</w:t>
      </w:r>
      <w:r w:rsidR="00DD7E99">
        <w:t xml:space="preserve"> as </w:t>
      </w:r>
      <w:r w:rsidR="00D967FF">
        <w:t xml:space="preserve">the </w:t>
      </w:r>
      <w:r w:rsidR="00D132CE">
        <w:t xml:space="preserve">three-stage </w:t>
      </w:r>
      <w:r w:rsidR="00D967FF">
        <w:t>test established</w:t>
      </w:r>
      <w:r w:rsidR="002057F1">
        <w:t xml:space="preserve"> in</w:t>
      </w:r>
      <w:r w:rsidR="00846EE6" w:rsidRPr="00846EE6">
        <w:t xml:space="preserve"> </w:t>
      </w:r>
      <w:r w:rsidR="00846EE6" w:rsidRPr="00270770">
        <w:rPr>
          <w:color w:val="000000" w:themeColor="text1"/>
        </w:rPr>
        <w:t xml:space="preserve">Caparo Industries Plc v Dickman </w:t>
      </w:r>
      <w:r w:rsidR="00846EE6" w:rsidRPr="00270770">
        <w:rPr>
          <w:color w:val="000000" w:themeColor="text1"/>
        </w:rPr>
        <w:t>(</w:t>
      </w:r>
      <w:r w:rsidR="00846EE6" w:rsidRPr="00270770">
        <w:rPr>
          <w:color w:val="000000" w:themeColor="text1"/>
        </w:rPr>
        <w:t>1990</w:t>
      </w:r>
      <w:r w:rsidR="00846EE6" w:rsidRPr="00270770">
        <w:rPr>
          <w:color w:val="000000" w:themeColor="text1"/>
        </w:rPr>
        <w:t>)</w:t>
      </w:r>
      <w:r w:rsidR="00DD7E99" w:rsidRPr="00270770">
        <w:rPr>
          <w:color w:val="000000" w:themeColor="text1"/>
        </w:rPr>
        <w:t>.</w:t>
      </w:r>
      <w:r w:rsidR="00384BAD" w:rsidRPr="00270770">
        <w:rPr>
          <w:color w:val="000000" w:themeColor="text1"/>
        </w:rPr>
        <w:t xml:space="preserve"> </w:t>
      </w:r>
      <w:r w:rsidR="00C332BE">
        <w:t>The principles of</w:t>
      </w:r>
      <w:r w:rsidR="00510B8D">
        <w:t xml:space="preserve"> </w:t>
      </w:r>
      <w:r w:rsidR="00B569AA">
        <w:t xml:space="preserve">a </w:t>
      </w:r>
      <w:r w:rsidR="00582B72">
        <w:t xml:space="preserve">further case, </w:t>
      </w:r>
      <w:r w:rsidR="00A30412" w:rsidRPr="00A30412">
        <w:t xml:space="preserve">The </w:t>
      </w:r>
      <w:r w:rsidR="00A30412" w:rsidRPr="00270770">
        <w:rPr>
          <w:color w:val="000000" w:themeColor="text1"/>
        </w:rPr>
        <w:t>Nicholas H (Marc Rich &amp; Co v Bishops Rock Marine) (1995)</w:t>
      </w:r>
      <w:r w:rsidR="00B67531">
        <w:t xml:space="preserve"> </w:t>
      </w:r>
      <w:r w:rsidR="00A01BA2">
        <w:t xml:space="preserve">further reinforce the </w:t>
      </w:r>
      <w:r w:rsidR="00F6168D">
        <w:t>applicable</w:t>
      </w:r>
      <w:r w:rsidR="00EF6243">
        <w:t xml:space="preserve"> test</w:t>
      </w:r>
      <w:r w:rsidR="00A01BA2">
        <w:t xml:space="preserve"> by Caparo, </w:t>
      </w:r>
      <w:r w:rsidR="00C91FF7">
        <w:t>with the add</w:t>
      </w:r>
      <w:r w:rsidR="00D712A7">
        <w:t xml:space="preserve">itional recognition of </w:t>
      </w:r>
      <w:r w:rsidR="006B3A4B">
        <w:t>relev</w:t>
      </w:r>
      <w:r w:rsidR="004A71B6">
        <w:t xml:space="preserve">ant </w:t>
      </w:r>
      <w:r w:rsidR="00D712A7">
        <w:t>public policy</w:t>
      </w:r>
      <w:r w:rsidR="009153A1">
        <w:t xml:space="preserve">. The two cases </w:t>
      </w:r>
      <w:r w:rsidR="004A71B6">
        <w:t>provide</w:t>
      </w:r>
      <w:r w:rsidR="009153A1">
        <w:t xml:space="preserve"> that</w:t>
      </w:r>
      <w:r w:rsidR="00FF11DF">
        <w:t xml:space="preserve"> common law duty of care can be established after satisfying</w:t>
      </w:r>
      <w:r w:rsidR="001C5FA9">
        <w:t xml:space="preserve"> t</w:t>
      </w:r>
      <w:r w:rsidR="00A44913">
        <w:t>he foreseeability of the injury</w:t>
      </w:r>
      <w:r w:rsidR="004B7CFE">
        <w:t xml:space="preserve"> (demonstrated in </w:t>
      </w:r>
      <w:proofErr w:type="spellStart"/>
      <w:r w:rsidR="00A95DFD" w:rsidRPr="00270770">
        <w:rPr>
          <w:color w:val="000000" w:themeColor="text1"/>
        </w:rPr>
        <w:t>Topp</w:t>
      </w:r>
      <w:proofErr w:type="spellEnd"/>
      <w:r w:rsidR="00A95DFD" w:rsidRPr="00270770">
        <w:rPr>
          <w:color w:val="000000" w:themeColor="text1"/>
        </w:rPr>
        <w:t xml:space="preserve"> v London Country Bus (1993))</w:t>
      </w:r>
      <w:r w:rsidR="00A44913">
        <w:t>,</w:t>
      </w:r>
      <w:r w:rsidR="004D2037">
        <w:t xml:space="preserve"> proximity of the parties</w:t>
      </w:r>
      <w:r w:rsidR="00602201">
        <w:t xml:space="preserve"> (as set out in </w:t>
      </w:r>
      <w:r w:rsidR="004B7CFE" w:rsidRPr="005D1924">
        <w:rPr>
          <w:color w:val="000000" w:themeColor="text1"/>
        </w:rPr>
        <w:t>Bourhill v Young (1947</w:t>
      </w:r>
      <w:r w:rsidR="00A95DFD" w:rsidRPr="005D1924">
        <w:rPr>
          <w:color w:val="000000" w:themeColor="text1"/>
        </w:rPr>
        <w:t>)</w:t>
      </w:r>
      <w:r w:rsidR="004B7CFE" w:rsidRPr="005D1924">
        <w:rPr>
          <w:color w:val="000000" w:themeColor="text1"/>
        </w:rPr>
        <w:t>)</w:t>
      </w:r>
      <w:r w:rsidR="004D2037" w:rsidRPr="00815D04">
        <w:rPr>
          <w:color w:val="FF0000"/>
        </w:rPr>
        <w:t xml:space="preserve">, </w:t>
      </w:r>
      <w:r w:rsidR="00AA5B7B" w:rsidRPr="00AA5B7B">
        <w:rPr>
          <w:color w:val="000000" w:themeColor="text1"/>
        </w:rPr>
        <w:t>and</w:t>
      </w:r>
      <w:r w:rsidR="00AA5B7B">
        <w:rPr>
          <w:color w:val="FF0000"/>
        </w:rPr>
        <w:t xml:space="preserve"> </w:t>
      </w:r>
      <w:r w:rsidR="00833F45">
        <w:t>fairness</w:t>
      </w:r>
      <w:r w:rsidR="00561729">
        <w:t xml:space="preserve"> </w:t>
      </w:r>
      <w:r w:rsidR="00E13462">
        <w:t>(</w:t>
      </w:r>
      <w:r w:rsidR="009058CC">
        <w:t xml:space="preserve">defined </w:t>
      </w:r>
      <w:r w:rsidR="00F82E79">
        <w:t xml:space="preserve">in </w:t>
      </w:r>
      <w:r w:rsidR="00F82E79" w:rsidRPr="00E005B5">
        <w:rPr>
          <w:color w:val="000000" w:themeColor="text1"/>
        </w:rPr>
        <w:t>S</w:t>
      </w:r>
      <w:r w:rsidR="00F82E79" w:rsidRPr="00E005B5">
        <w:rPr>
          <w:color w:val="000000" w:themeColor="text1"/>
        </w:rPr>
        <w:t>umner v Colborn</w:t>
      </w:r>
      <w:r w:rsidR="00DA2C6A">
        <w:rPr>
          <w:color w:val="000000" w:themeColor="text1"/>
        </w:rPr>
        <w:t>e</w:t>
      </w:r>
      <w:r w:rsidR="00F82E79" w:rsidRPr="00E005B5">
        <w:rPr>
          <w:color w:val="000000" w:themeColor="text1"/>
        </w:rPr>
        <w:t xml:space="preserve"> (2018)</w:t>
      </w:r>
      <w:r w:rsidR="00F82E79" w:rsidRPr="00E005B5">
        <w:rPr>
          <w:color w:val="000000" w:themeColor="text1"/>
        </w:rPr>
        <w:t xml:space="preserve">) </w:t>
      </w:r>
      <w:r w:rsidR="00175A94">
        <w:t xml:space="preserve">with </w:t>
      </w:r>
      <w:r w:rsidR="008B696C">
        <w:t>consideration of any corresponding</w:t>
      </w:r>
      <w:r w:rsidR="00561729">
        <w:t xml:space="preserve"> public policy.</w:t>
      </w:r>
      <w:r w:rsidR="00CF4B4B">
        <w:t xml:space="preserve"> </w:t>
      </w:r>
    </w:p>
    <w:p w14:paraId="50FD652B" w14:textId="77777777" w:rsidR="00943BAA" w:rsidRDefault="00943BAA" w:rsidP="00510B8D"/>
    <w:p w14:paraId="310F69B9" w14:textId="05095080" w:rsidR="00EB690D" w:rsidRDefault="00860447" w:rsidP="00510B8D">
      <w:r>
        <w:t>In</w:t>
      </w:r>
      <w:r w:rsidR="00510B8D">
        <w:t xml:space="preserve"> Elijah's case, </w:t>
      </w:r>
      <w:r w:rsidR="00824AA4">
        <w:t xml:space="preserve">it would </w:t>
      </w:r>
      <w:r w:rsidR="00D0461A">
        <w:t xml:space="preserve">be reasonable to infer that </w:t>
      </w:r>
      <w:r w:rsidR="006E7A3C">
        <w:t>both defendants</w:t>
      </w:r>
      <w:r w:rsidR="003314E0">
        <w:t xml:space="preserve"> </w:t>
      </w:r>
      <w:r w:rsidR="00DB68BF">
        <w:t>c</w:t>
      </w:r>
      <w:r w:rsidR="003314E0">
        <w:t>ould owe</w:t>
      </w:r>
      <w:r w:rsidR="00C74247">
        <w:t xml:space="preserve"> </w:t>
      </w:r>
      <w:r w:rsidR="003314E0">
        <w:t>a common law duty of care</w:t>
      </w:r>
      <w:r w:rsidR="002D4A33">
        <w:t xml:space="preserve"> which </w:t>
      </w:r>
      <w:r w:rsidR="009662A2" w:rsidRPr="006E6A43">
        <w:rPr>
          <w:color w:val="000000" w:themeColor="text1"/>
        </w:rPr>
        <w:t xml:space="preserve">may </w:t>
      </w:r>
      <w:r w:rsidR="002D4A33" w:rsidRPr="006E6A43">
        <w:rPr>
          <w:color w:val="000000" w:themeColor="text1"/>
        </w:rPr>
        <w:t>translate to a breac</w:t>
      </w:r>
      <w:r w:rsidR="009662A2" w:rsidRPr="006E6A43">
        <w:rPr>
          <w:color w:val="000000" w:themeColor="text1"/>
        </w:rPr>
        <w:t>h</w:t>
      </w:r>
      <w:r w:rsidR="00C74247" w:rsidRPr="006E6A43">
        <w:rPr>
          <w:color w:val="000000" w:themeColor="text1"/>
        </w:rPr>
        <w:t xml:space="preserve">. </w:t>
      </w:r>
      <w:r w:rsidR="00E50872" w:rsidRPr="006E6A43">
        <w:rPr>
          <w:color w:val="000000" w:themeColor="text1"/>
        </w:rPr>
        <w:t>This is maintained</w:t>
      </w:r>
      <w:r w:rsidR="00EE4095" w:rsidRPr="006E6A43">
        <w:rPr>
          <w:color w:val="000000" w:themeColor="text1"/>
        </w:rPr>
        <w:t xml:space="preserve"> </w:t>
      </w:r>
      <w:r w:rsidR="004A2B26" w:rsidRPr="006E6A43">
        <w:rPr>
          <w:color w:val="000000" w:themeColor="text1"/>
        </w:rPr>
        <w:t xml:space="preserve">for defendant 1 </w:t>
      </w:r>
      <w:r w:rsidR="008A5710" w:rsidRPr="006E6A43">
        <w:rPr>
          <w:color w:val="000000" w:themeColor="text1"/>
        </w:rPr>
        <w:t>by Costello v Chief Constable of Northumbria Police (1</w:t>
      </w:r>
      <w:r w:rsidR="006E6A43" w:rsidRPr="006E6A43">
        <w:rPr>
          <w:color w:val="000000" w:themeColor="text1"/>
        </w:rPr>
        <w:t>9</w:t>
      </w:r>
      <w:r w:rsidR="008A5710" w:rsidRPr="006E6A43">
        <w:rPr>
          <w:color w:val="000000" w:themeColor="text1"/>
        </w:rPr>
        <w:t>98)</w:t>
      </w:r>
      <w:r w:rsidR="00840DB8" w:rsidRPr="006E6A43">
        <w:rPr>
          <w:color w:val="000000" w:themeColor="text1"/>
        </w:rPr>
        <w:t xml:space="preserve"> </w:t>
      </w:r>
      <w:r w:rsidR="00840DB8">
        <w:t xml:space="preserve">which found employment as a factor which implicitly </w:t>
      </w:r>
      <w:r w:rsidR="00D325A6">
        <w:t>forms a duty of care.</w:t>
      </w:r>
      <w:r w:rsidR="00E50872">
        <w:t xml:space="preserve"> </w:t>
      </w:r>
      <w:r w:rsidR="004A2B26">
        <w:t xml:space="preserve">It </w:t>
      </w:r>
      <w:r w:rsidR="00E50872">
        <w:t>could be</w:t>
      </w:r>
      <w:r w:rsidR="004A2B26">
        <w:t xml:space="preserve"> maintained for defendant 2 </w:t>
      </w:r>
      <w:r w:rsidR="00C55DA0">
        <w:t xml:space="preserve">under </w:t>
      </w:r>
      <w:proofErr w:type="spellStart"/>
      <w:r w:rsidR="00C55DA0" w:rsidRPr="006E6A43">
        <w:rPr>
          <w:color w:val="000000" w:themeColor="text1"/>
        </w:rPr>
        <w:t>Anns</w:t>
      </w:r>
      <w:proofErr w:type="spellEnd"/>
      <w:r w:rsidR="00C55DA0" w:rsidRPr="006E6A43">
        <w:rPr>
          <w:color w:val="000000" w:themeColor="text1"/>
        </w:rPr>
        <w:t xml:space="preserve"> v Merton London Borough (1978) </w:t>
      </w:r>
      <w:r w:rsidR="00C55DA0">
        <w:t xml:space="preserve">if </w:t>
      </w:r>
      <w:r w:rsidR="00FA0662">
        <w:t xml:space="preserve">the </w:t>
      </w:r>
      <w:r w:rsidR="00AC7923">
        <w:t>individual</w:t>
      </w:r>
      <w:r w:rsidR="00FA0662">
        <w:t xml:space="preserve"> </w:t>
      </w:r>
      <w:r w:rsidR="00AC7923">
        <w:t xml:space="preserve">dismissing Elijah </w:t>
      </w:r>
      <w:r w:rsidR="00FA0662">
        <w:t xml:space="preserve">in the scenario was a healthcare professional </w:t>
      </w:r>
      <w:r w:rsidR="00E574AC">
        <w:t>because</w:t>
      </w:r>
      <w:r w:rsidR="00FA0662">
        <w:t xml:space="preserve"> </w:t>
      </w:r>
      <w:proofErr w:type="spellStart"/>
      <w:r w:rsidR="00D33B73">
        <w:t>Anns</w:t>
      </w:r>
      <w:proofErr w:type="spellEnd"/>
      <w:r w:rsidR="00D33B73">
        <w:t xml:space="preserve"> provides that </w:t>
      </w:r>
      <w:r w:rsidR="004342D8">
        <w:t>a duty of care is</w:t>
      </w:r>
      <w:r w:rsidR="00A36366">
        <w:t xml:space="preserve"> </w:t>
      </w:r>
      <w:r w:rsidR="004342D8">
        <w:t>assumed in instance</w:t>
      </w:r>
      <w:r w:rsidR="00D63761">
        <w:t>s</w:t>
      </w:r>
      <w:r w:rsidR="00D03272">
        <w:t xml:space="preserve"> where harm can be expected </w:t>
      </w:r>
      <w:proofErr w:type="gramStart"/>
      <w:r w:rsidR="001224D6">
        <w:t>as a consequence of</w:t>
      </w:r>
      <w:proofErr w:type="gramEnd"/>
      <w:r w:rsidR="001224D6">
        <w:t xml:space="preserve"> negligence</w:t>
      </w:r>
      <w:r w:rsidR="004342D8">
        <w:t>.</w:t>
      </w:r>
      <w:r w:rsidR="007E32C9">
        <w:t xml:space="preserve"> </w:t>
      </w:r>
      <w:r w:rsidR="004342D8">
        <w:t xml:space="preserve">As the scenario does not state this explicitly, the Caparo test </w:t>
      </w:r>
      <w:r w:rsidR="00D63761">
        <w:t>c</w:t>
      </w:r>
      <w:r w:rsidR="009662A2">
        <w:t>an</w:t>
      </w:r>
      <w:r w:rsidR="004342D8">
        <w:t xml:space="preserve"> be applied.</w:t>
      </w:r>
      <w:r w:rsidR="006B46DC">
        <w:t xml:space="preserve"> It is feasible to accept that</w:t>
      </w:r>
      <w:r w:rsidR="00824D60">
        <w:t xml:space="preserve"> hospita</w:t>
      </w:r>
      <w:r w:rsidR="00A14A86">
        <w:t xml:space="preserve">l staff </w:t>
      </w:r>
      <w:r w:rsidR="009662A2">
        <w:t>witnessing</w:t>
      </w:r>
      <w:r w:rsidR="006B46DC">
        <w:t xml:space="preserve"> Elijah’s has a </w:t>
      </w:r>
      <w:r w:rsidR="009662A2">
        <w:t>potentially</w:t>
      </w:r>
      <w:r w:rsidR="006B46DC">
        <w:t xml:space="preserve"> proximate relationship </w:t>
      </w:r>
      <w:r w:rsidR="005905CD">
        <w:t>to Elijah</w:t>
      </w:r>
      <w:r w:rsidR="00F25E2C">
        <w:t xml:space="preserve"> and this is </w:t>
      </w:r>
      <w:r w:rsidR="00FE390F">
        <w:t>s</w:t>
      </w:r>
      <w:r w:rsidR="00F25E2C">
        <w:t xml:space="preserve">upported by </w:t>
      </w:r>
      <w:r w:rsidR="00F25E2C" w:rsidRPr="00161D5F">
        <w:rPr>
          <w:color w:val="000000" w:themeColor="text1"/>
        </w:rPr>
        <w:t>Darnley v Croydon</w:t>
      </w:r>
      <w:r w:rsidR="001C1ADA" w:rsidRPr="00161D5F">
        <w:rPr>
          <w:color w:val="000000" w:themeColor="text1"/>
        </w:rPr>
        <w:t xml:space="preserve"> Health Services (2018) whereby it was confirmed that </w:t>
      </w:r>
      <w:r w:rsidR="000215C5" w:rsidRPr="00161D5F">
        <w:rPr>
          <w:color w:val="000000" w:themeColor="text1"/>
        </w:rPr>
        <w:t>those involved in the running of a hospital</w:t>
      </w:r>
      <w:r w:rsidR="00F30B63" w:rsidRPr="00161D5F">
        <w:rPr>
          <w:color w:val="000000" w:themeColor="text1"/>
        </w:rPr>
        <w:t xml:space="preserve"> could be personally liable </w:t>
      </w:r>
      <w:r w:rsidR="00F30B63">
        <w:t>and owe a duty of care</w:t>
      </w:r>
      <w:r w:rsidR="00E36F0F">
        <w:t xml:space="preserve">. </w:t>
      </w:r>
      <w:r w:rsidR="009662A2">
        <w:t>However</w:t>
      </w:r>
      <w:r w:rsidR="00E36F0F">
        <w:t xml:space="preserve">, the scenario </w:t>
      </w:r>
      <w:r w:rsidR="007839E4">
        <w:t>references a claim against the hospital</w:t>
      </w:r>
      <w:r w:rsidR="00F30B63">
        <w:t xml:space="preserve"> and not an individual</w:t>
      </w:r>
      <w:r w:rsidR="009B2F24">
        <w:t xml:space="preserve">, this could be brought by vicarious </w:t>
      </w:r>
      <w:r w:rsidR="009662A2">
        <w:t>liability (</w:t>
      </w:r>
      <w:r w:rsidR="009662A2">
        <w:t>VC)</w:t>
      </w:r>
      <w:r w:rsidR="009B2F24">
        <w:t xml:space="preserve">.  </w:t>
      </w:r>
    </w:p>
    <w:p w14:paraId="396DAADA" w14:textId="77777777" w:rsidR="00EB690D" w:rsidRDefault="00EB690D" w:rsidP="00510B8D"/>
    <w:p w14:paraId="53F2AE72" w14:textId="0C5FA2EE" w:rsidR="0079214A" w:rsidRDefault="003801EF" w:rsidP="00510B8D">
      <w:r>
        <w:t>VC</w:t>
      </w:r>
      <w:r w:rsidR="009662A2">
        <w:t xml:space="preserve"> </w:t>
      </w:r>
      <w:r>
        <w:t xml:space="preserve">is described within </w:t>
      </w:r>
      <w:r w:rsidRPr="00161D5F">
        <w:rPr>
          <w:color w:val="000000" w:themeColor="text1"/>
        </w:rPr>
        <w:t xml:space="preserve">Lister v </w:t>
      </w:r>
      <w:proofErr w:type="spellStart"/>
      <w:r w:rsidRPr="00161D5F">
        <w:rPr>
          <w:color w:val="000000" w:themeColor="text1"/>
        </w:rPr>
        <w:t>Hesley</w:t>
      </w:r>
      <w:proofErr w:type="spellEnd"/>
      <w:r w:rsidRPr="00161D5F">
        <w:rPr>
          <w:color w:val="000000" w:themeColor="text1"/>
        </w:rPr>
        <w:t xml:space="preserve"> Hall Ltd (2002) </w:t>
      </w:r>
      <w:r>
        <w:t>as an employer being found liable for the torts of an employee despite not being directly at fault. The methods for establishing V</w:t>
      </w:r>
      <w:r w:rsidR="009662A2">
        <w:t>C</w:t>
      </w:r>
      <w:r w:rsidR="00845525">
        <w:t xml:space="preserve"> </w:t>
      </w:r>
      <w:r>
        <w:t xml:space="preserve">are confirmed in </w:t>
      </w:r>
      <w:r w:rsidRPr="00807256">
        <w:rPr>
          <w:color w:val="000000" w:themeColor="text1"/>
        </w:rPr>
        <w:t>Ready Mixed Concrete v Minister of Pensions (1968)</w:t>
      </w:r>
      <w:r w:rsidRPr="007C527A">
        <w:rPr>
          <w:color w:val="FF0000"/>
        </w:rPr>
        <w:t xml:space="preserve"> </w:t>
      </w:r>
      <w:r>
        <w:t>which state</w:t>
      </w:r>
      <w:r w:rsidR="00974D19">
        <w:t>s</w:t>
      </w:r>
      <w:r>
        <w:t xml:space="preserve"> there is no definitive </w:t>
      </w:r>
      <w:proofErr w:type="gramStart"/>
      <w:r>
        <w:t>test</w:t>
      </w:r>
      <w:proofErr w:type="gramEnd"/>
      <w:r w:rsidR="001146B4">
        <w:t xml:space="preserve"> </w:t>
      </w:r>
      <w:r>
        <w:t xml:space="preserve">and all factors are considered. </w:t>
      </w:r>
      <w:r w:rsidR="001E31F8">
        <w:t>A</w:t>
      </w:r>
      <w:r w:rsidR="002D70D5">
        <w:t>n example of V</w:t>
      </w:r>
      <w:r w:rsidR="009662A2">
        <w:t>C</w:t>
      </w:r>
      <w:r w:rsidR="002D70D5">
        <w:t xml:space="preserve"> in </w:t>
      </w:r>
      <w:r w:rsidR="00B929FE">
        <w:t>clinical negligence</w:t>
      </w:r>
      <w:r w:rsidR="00917388">
        <w:t xml:space="preserve"> is seen in </w:t>
      </w:r>
      <w:proofErr w:type="spellStart"/>
      <w:r w:rsidR="002D70D5" w:rsidRPr="00071CF4">
        <w:rPr>
          <w:color w:val="000000" w:themeColor="text1"/>
        </w:rPr>
        <w:t>Breakingbury</w:t>
      </w:r>
      <w:proofErr w:type="spellEnd"/>
      <w:r w:rsidR="002D70D5" w:rsidRPr="00071CF4">
        <w:rPr>
          <w:color w:val="000000" w:themeColor="text1"/>
        </w:rPr>
        <w:t xml:space="preserve"> v </w:t>
      </w:r>
      <w:proofErr w:type="spellStart"/>
      <w:r w:rsidR="002D70D5" w:rsidRPr="00071CF4">
        <w:rPr>
          <w:color w:val="000000" w:themeColor="text1"/>
        </w:rPr>
        <w:t>Croad</w:t>
      </w:r>
      <w:proofErr w:type="spellEnd"/>
      <w:r w:rsidR="002D70D5" w:rsidRPr="00071CF4">
        <w:rPr>
          <w:color w:val="000000" w:themeColor="text1"/>
        </w:rPr>
        <w:t xml:space="preserve"> (2021)</w:t>
      </w:r>
      <w:r w:rsidR="00B929FE" w:rsidRPr="00071CF4">
        <w:rPr>
          <w:color w:val="000000" w:themeColor="text1"/>
        </w:rPr>
        <w:t xml:space="preserve"> </w:t>
      </w:r>
      <w:r w:rsidR="00B929FE">
        <w:t xml:space="preserve">which found a practice owner responsible for the negligence of </w:t>
      </w:r>
      <w:r w:rsidR="005C4E12">
        <w:t xml:space="preserve">two </w:t>
      </w:r>
      <w:r w:rsidR="008B1674">
        <w:t>self-employed</w:t>
      </w:r>
      <w:r w:rsidR="005C4E12">
        <w:t xml:space="preserve"> practice members. It is therefore reasonable that </w:t>
      </w:r>
      <w:r w:rsidR="00C550E9">
        <w:t>defendant 2 could be</w:t>
      </w:r>
      <w:r w:rsidR="00FF369B">
        <w:t xml:space="preserve"> liable</w:t>
      </w:r>
      <w:r w:rsidR="001A066B">
        <w:t xml:space="preserve"> as a hospital</w:t>
      </w:r>
      <w:r w:rsidR="00FF369B">
        <w:t xml:space="preserve">. </w:t>
      </w:r>
      <w:r w:rsidR="00AD3F5E">
        <w:t xml:space="preserve">Furthermore, </w:t>
      </w:r>
      <w:r w:rsidR="00205185">
        <w:t xml:space="preserve">is also feasible to assume that </w:t>
      </w:r>
      <w:r w:rsidR="002F5954">
        <w:t>Elijah’s</w:t>
      </w:r>
      <w:r w:rsidR="00205185">
        <w:t xml:space="preserve"> injury was foreseeable for </w:t>
      </w:r>
      <w:r w:rsidR="00DB03E6">
        <w:t xml:space="preserve">defendant </w:t>
      </w:r>
      <w:r w:rsidR="00AD3F5E">
        <w:t>2</w:t>
      </w:r>
      <w:r w:rsidR="004342D8">
        <w:t xml:space="preserve"> </w:t>
      </w:r>
      <w:r w:rsidR="00DA075F">
        <w:t>a</w:t>
      </w:r>
      <w:r w:rsidR="00EA1EF1">
        <w:t>s medical advice relies upon human interacti</w:t>
      </w:r>
      <w:r w:rsidR="005360B7">
        <w:t xml:space="preserve">on </w:t>
      </w:r>
      <w:r w:rsidR="00115547">
        <w:t>which is open to error</w:t>
      </w:r>
      <w:r w:rsidR="008F43AF">
        <w:t xml:space="preserve">. Finally, it must be </w:t>
      </w:r>
      <w:r w:rsidR="00143844">
        <w:t>fair</w:t>
      </w:r>
      <w:r w:rsidR="008F43AF">
        <w:t xml:space="preserve"> to impose a duty of care</w:t>
      </w:r>
      <w:r w:rsidR="00FD2B51">
        <w:t xml:space="preserve">, this </w:t>
      </w:r>
      <w:r w:rsidR="00A444CF">
        <w:t>allows for situational discretion in court</w:t>
      </w:r>
      <w:r w:rsidR="00117759">
        <w:t xml:space="preserve"> and will be presumed </w:t>
      </w:r>
      <w:r w:rsidR="00130DE5">
        <w:t>in accordance with</w:t>
      </w:r>
      <w:r w:rsidR="00117759" w:rsidRPr="00685000">
        <w:rPr>
          <w:color w:val="000000" w:themeColor="text1"/>
        </w:rPr>
        <w:t xml:space="preserve"> X (Minors) v Bedfordshire County Council (1995)</w:t>
      </w:r>
      <w:r w:rsidR="006913B6" w:rsidRPr="00685000">
        <w:rPr>
          <w:color w:val="000000" w:themeColor="text1"/>
        </w:rPr>
        <w:t>.</w:t>
      </w:r>
      <w:r w:rsidR="006913B6">
        <w:t xml:space="preserve"> </w:t>
      </w:r>
      <w:r w:rsidR="00657517">
        <w:t>Th</w:t>
      </w:r>
      <w:r w:rsidR="00AB7481">
        <w:t xml:space="preserve">ese factors suggest that a common law duty of care may be applied for both defendants. </w:t>
      </w:r>
      <w:r w:rsidR="0000583A">
        <w:t>Nevertheless, a breach must next be established</w:t>
      </w:r>
      <w:r w:rsidR="003A68E8">
        <w:t xml:space="preserve"> for a claim to be pursued.</w:t>
      </w:r>
    </w:p>
    <w:p w14:paraId="4D73B4A5" w14:textId="77777777" w:rsidR="0079214A" w:rsidRDefault="0079214A" w:rsidP="00510B8D"/>
    <w:p w14:paraId="307A3FBC" w14:textId="1C7E6B2F" w:rsidR="00EF7B61" w:rsidRDefault="006D067E" w:rsidP="00EF7B61">
      <w:r>
        <w:t xml:space="preserve"> </w:t>
      </w:r>
      <w:r w:rsidR="00F83704">
        <w:t xml:space="preserve">An </w:t>
      </w:r>
      <w:r w:rsidR="00854C39">
        <w:t>employee</w:t>
      </w:r>
      <w:r w:rsidR="00F27284">
        <w:t xml:space="preserve"> </w:t>
      </w:r>
      <w:r w:rsidR="00F83704">
        <w:t xml:space="preserve">is defined under </w:t>
      </w:r>
      <w:r w:rsidR="001373D6">
        <w:t>(</w:t>
      </w:r>
      <w:r w:rsidR="00F83704">
        <w:t>s230</w:t>
      </w:r>
      <w:r w:rsidR="001373D6">
        <w:t>.</w:t>
      </w:r>
      <w:r w:rsidR="00592335">
        <w:t>1</w:t>
      </w:r>
      <w:r w:rsidR="001373D6">
        <w:t>)</w:t>
      </w:r>
      <w:r w:rsidR="009D1561">
        <w:t xml:space="preserve"> of the Employment Rights Act 1996 (ERA) as</w:t>
      </w:r>
      <w:r w:rsidR="0018716E">
        <w:t xml:space="preserve"> an individual who</w:t>
      </w:r>
      <w:r w:rsidR="00113996">
        <w:t xml:space="preserve"> is within</w:t>
      </w:r>
      <w:r w:rsidR="004033AB">
        <w:t xml:space="preserve"> or </w:t>
      </w:r>
      <w:r w:rsidR="000C5AAB">
        <w:t xml:space="preserve">admitted under an employment </w:t>
      </w:r>
      <w:r w:rsidR="000F1ECA">
        <w:t>contract</w:t>
      </w:r>
      <w:r w:rsidR="00FE06E7">
        <w:t>,</w:t>
      </w:r>
      <w:r w:rsidR="0014055D">
        <w:t xml:space="preserve"> </w:t>
      </w:r>
      <w:r w:rsidR="00FE06E7">
        <w:t>s</w:t>
      </w:r>
      <w:r w:rsidR="00D6003F">
        <w:t xml:space="preserve">aid </w:t>
      </w:r>
      <w:r w:rsidR="00813EB2">
        <w:t xml:space="preserve">contract may be implied </w:t>
      </w:r>
      <w:r w:rsidR="00C4305B">
        <w:t xml:space="preserve">by </w:t>
      </w:r>
      <w:r w:rsidR="00813EB2">
        <w:t>the courts.</w:t>
      </w:r>
      <w:r w:rsidR="00F27284">
        <w:t xml:space="preserve"> An employe</w:t>
      </w:r>
      <w:r w:rsidR="00D6003F">
        <w:t>r</w:t>
      </w:r>
      <w:r w:rsidR="00F27284">
        <w:t xml:space="preserve"> is defined under (s230.4) ERA as </w:t>
      </w:r>
      <w:r w:rsidR="00DB11E4">
        <w:t xml:space="preserve">the </w:t>
      </w:r>
      <w:r w:rsidR="00DB2120">
        <w:t xml:space="preserve">individual(s) </w:t>
      </w:r>
      <w:r w:rsidR="00C4305B">
        <w:t>who</w:t>
      </w:r>
      <w:r w:rsidR="00B044F9">
        <w:t xml:space="preserve"> employ the </w:t>
      </w:r>
      <w:r w:rsidR="00912C20">
        <w:t>referenced</w:t>
      </w:r>
      <w:r w:rsidR="00B044F9">
        <w:t xml:space="preserve"> employee</w:t>
      </w:r>
      <w:r w:rsidR="00BB0A8C">
        <w:t xml:space="preserve"> or worker. The</w:t>
      </w:r>
      <w:r w:rsidR="00D10522">
        <w:t xml:space="preserve">re are differences in </w:t>
      </w:r>
      <w:r w:rsidR="001014FD">
        <w:t xml:space="preserve">the expected </w:t>
      </w:r>
      <w:r w:rsidR="00DD0D37">
        <w:t>and</w:t>
      </w:r>
      <w:r w:rsidR="001014FD">
        <w:t xml:space="preserve"> owed </w:t>
      </w:r>
      <w:r w:rsidR="00D10522">
        <w:t>responsibilit</w:t>
      </w:r>
      <w:r w:rsidR="00DD0D37">
        <w:t>ies</w:t>
      </w:r>
      <w:r w:rsidR="00D10522">
        <w:t xml:space="preserve"> </w:t>
      </w:r>
      <w:r w:rsidR="001014FD">
        <w:t xml:space="preserve">of an </w:t>
      </w:r>
      <w:r w:rsidR="00D10522">
        <w:t>employee versus a worker</w:t>
      </w:r>
      <w:r w:rsidR="006B467A">
        <w:t xml:space="preserve">. However, in </w:t>
      </w:r>
      <w:r w:rsidR="006B467A" w:rsidRPr="001F65C1">
        <w:rPr>
          <w:color w:val="000000" w:themeColor="text1"/>
        </w:rPr>
        <w:t xml:space="preserve">Kickabout Productions Limited v </w:t>
      </w:r>
      <w:r w:rsidR="00EE14DB" w:rsidRPr="001F65C1">
        <w:rPr>
          <w:color w:val="000000" w:themeColor="text1"/>
        </w:rPr>
        <w:t>The Commissioners for HMRC (2022)</w:t>
      </w:r>
      <w:r w:rsidR="0051612C" w:rsidRPr="001F65C1">
        <w:rPr>
          <w:color w:val="000000" w:themeColor="text1"/>
        </w:rPr>
        <w:t xml:space="preserve"> the courts recognised that the </w:t>
      </w:r>
      <w:r w:rsidR="00DD0D37" w:rsidRPr="001F65C1">
        <w:rPr>
          <w:color w:val="000000" w:themeColor="text1"/>
        </w:rPr>
        <w:t>differentiation</w:t>
      </w:r>
      <w:r w:rsidR="0051612C" w:rsidRPr="001F65C1">
        <w:rPr>
          <w:color w:val="000000" w:themeColor="text1"/>
        </w:rPr>
        <w:t xml:space="preserve"> </w:t>
      </w:r>
      <w:r w:rsidR="0051612C">
        <w:t xml:space="preserve">of these </w:t>
      </w:r>
      <w:r w:rsidR="003E0BF7">
        <w:t>terms is</w:t>
      </w:r>
      <w:r w:rsidR="00DD0D37">
        <w:t xml:space="preserve"> multi</w:t>
      </w:r>
      <w:r w:rsidR="00FF339A">
        <w:t>-</w:t>
      </w:r>
      <w:r w:rsidR="00DD0D37">
        <w:t>face</w:t>
      </w:r>
      <w:r w:rsidR="00FF339A">
        <w:t>ted</w:t>
      </w:r>
      <w:r w:rsidR="003E0BF7">
        <w:t xml:space="preserve"> and cannot be confined exclusively by</w:t>
      </w:r>
      <w:r w:rsidR="0011405C">
        <w:t xml:space="preserve"> the categories provided in ERA</w:t>
      </w:r>
      <w:r w:rsidR="00FF339A">
        <w:t>.</w:t>
      </w:r>
      <w:r w:rsidR="003E47C7">
        <w:t xml:space="preserve"> </w:t>
      </w:r>
      <w:r w:rsidR="001C3C5A">
        <w:t xml:space="preserve">Defendant 1 is referenced throughout the scenario as Elijah’s </w:t>
      </w:r>
      <w:r w:rsidR="00493CD9">
        <w:t xml:space="preserve">employer. </w:t>
      </w:r>
      <w:r w:rsidR="007C4CFE">
        <w:t>Therefore,</w:t>
      </w:r>
      <w:r w:rsidR="001C3C5A">
        <w:t xml:space="preserve"> it </w:t>
      </w:r>
      <w:r w:rsidR="00CA41E4">
        <w:t xml:space="preserve">is reasonable to draw inference </w:t>
      </w:r>
      <w:r w:rsidR="008F5138">
        <w:t>that</w:t>
      </w:r>
      <w:r w:rsidR="007C4CFE">
        <w:t xml:space="preserve"> the correct provisions of employment are in place</w:t>
      </w:r>
      <w:r w:rsidR="008F5138">
        <w:t xml:space="preserve"> </w:t>
      </w:r>
      <w:r w:rsidR="00296713">
        <w:t xml:space="preserve">and </w:t>
      </w:r>
      <w:r w:rsidR="00DB07CE">
        <w:t>Elijah</w:t>
      </w:r>
      <w:r w:rsidR="00296713">
        <w:t xml:space="preserve"> </w:t>
      </w:r>
      <w:r w:rsidR="00DB07CE">
        <w:t>can</w:t>
      </w:r>
      <w:r w:rsidR="00296713">
        <w:t xml:space="preserve"> be</w:t>
      </w:r>
      <w:r w:rsidR="008F5138">
        <w:t xml:space="preserve"> considered a</w:t>
      </w:r>
      <w:r w:rsidR="009324BD">
        <w:t>n</w:t>
      </w:r>
      <w:r w:rsidR="008F5138">
        <w:t xml:space="preserve"> employee</w:t>
      </w:r>
      <w:r w:rsidR="00493CD9">
        <w:t xml:space="preserve"> for the </w:t>
      </w:r>
      <w:r w:rsidR="00650C33">
        <w:t>following analysis of defendant 1’s liability</w:t>
      </w:r>
      <w:r w:rsidR="00493CD9">
        <w:t>.</w:t>
      </w:r>
      <w:r w:rsidR="00E82209">
        <w:t xml:space="preserve"> </w:t>
      </w:r>
      <w:r w:rsidR="00505A94">
        <w:t xml:space="preserve">There </w:t>
      </w:r>
      <w:r w:rsidR="00FB3B92">
        <w:t>is</w:t>
      </w:r>
      <w:r w:rsidR="00505A94">
        <w:t xml:space="preserve"> </w:t>
      </w:r>
      <w:r w:rsidR="001033C6">
        <w:t xml:space="preserve">industry specific </w:t>
      </w:r>
      <w:r w:rsidR="00505A94">
        <w:t xml:space="preserve">statute which can be used to govern </w:t>
      </w:r>
      <w:r w:rsidR="005F3215">
        <w:t>safety</w:t>
      </w:r>
      <w:r w:rsidR="00FB3B92">
        <w:t xml:space="preserve"> a</w:t>
      </w:r>
      <w:r w:rsidR="00453EEC">
        <w:t>t</w:t>
      </w:r>
      <w:r w:rsidR="00FB3B92">
        <w:t xml:space="preserve"> work</w:t>
      </w:r>
      <w:r w:rsidR="005F3215">
        <w:t xml:space="preserve"> (</w:t>
      </w:r>
      <w:r w:rsidR="005B183B">
        <w:t xml:space="preserve">for example </w:t>
      </w:r>
      <w:r w:rsidR="00BF4F1A">
        <w:t xml:space="preserve">the </w:t>
      </w:r>
      <w:r w:rsidR="00BF4F1A" w:rsidRPr="001F65C1">
        <w:rPr>
          <w:color w:val="000000" w:themeColor="text1"/>
        </w:rPr>
        <w:t>Mineral</w:t>
      </w:r>
      <w:r w:rsidR="005F3215" w:rsidRPr="001F65C1">
        <w:rPr>
          <w:color w:val="000000" w:themeColor="text1"/>
        </w:rPr>
        <w:t xml:space="preserve"> Workings (Offshore Installations</w:t>
      </w:r>
      <w:r w:rsidR="005B183B" w:rsidRPr="001F65C1">
        <w:rPr>
          <w:color w:val="000000" w:themeColor="text1"/>
        </w:rPr>
        <w:t xml:space="preserve">) Act </w:t>
      </w:r>
      <w:r w:rsidR="00392C87">
        <w:rPr>
          <w:color w:val="000000" w:themeColor="text1"/>
        </w:rPr>
        <w:t>(</w:t>
      </w:r>
      <w:r w:rsidR="005B183B" w:rsidRPr="001F65C1">
        <w:rPr>
          <w:color w:val="000000" w:themeColor="text1"/>
        </w:rPr>
        <w:t>1971</w:t>
      </w:r>
      <w:r w:rsidR="00392C87">
        <w:rPr>
          <w:color w:val="000000" w:themeColor="text1"/>
        </w:rPr>
        <w:t>)</w:t>
      </w:r>
      <w:r w:rsidR="005B183B">
        <w:t xml:space="preserve">) </w:t>
      </w:r>
      <w:r w:rsidR="00F11457">
        <w:t>However,</w:t>
      </w:r>
      <w:r w:rsidR="005B183B">
        <w:t xml:space="preserve"> </w:t>
      </w:r>
      <w:r w:rsidR="00B44591">
        <w:t>the industry is un</w:t>
      </w:r>
      <w:r w:rsidR="005B183B">
        <w:t>specified</w:t>
      </w:r>
      <w:r w:rsidR="00F11457">
        <w:t xml:space="preserve"> so </w:t>
      </w:r>
      <w:r w:rsidR="00BF4F1A">
        <w:t>the analysis will be based upon general employment</w:t>
      </w:r>
      <w:r w:rsidR="00B85B79">
        <w:t xml:space="preserve"> </w:t>
      </w:r>
      <w:r w:rsidR="006840FF">
        <w:t xml:space="preserve">including </w:t>
      </w:r>
      <w:r w:rsidR="00EF7B61">
        <w:t xml:space="preserve">the common law </w:t>
      </w:r>
      <w:r w:rsidR="00EF7B61">
        <w:t>alongside statut</w:t>
      </w:r>
      <w:r w:rsidR="00150914">
        <w:t>ory duties</w:t>
      </w:r>
      <w:r w:rsidR="00EF7B61">
        <w:t>.</w:t>
      </w:r>
    </w:p>
    <w:p w14:paraId="04F5CA3D" w14:textId="5CEBD979" w:rsidR="00460DC2" w:rsidRDefault="00460DC2" w:rsidP="003050BF"/>
    <w:p w14:paraId="12480B7D" w14:textId="70ED7CB9" w:rsidR="00BF4F1A" w:rsidRDefault="00BF4F1A" w:rsidP="003050BF"/>
    <w:p w14:paraId="3748E28D" w14:textId="44B7D064" w:rsidR="00490E6E" w:rsidRDefault="003B4FB9" w:rsidP="0092094E">
      <w:r>
        <w:t xml:space="preserve">The </w:t>
      </w:r>
      <w:r w:rsidR="0003308F">
        <w:t xml:space="preserve">predominant </w:t>
      </w:r>
      <w:r>
        <w:t>stat</w:t>
      </w:r>
      <w:r w:rsidR="00E16325">
        <w:t>ut</w:t>
      </w:r>
      <w:r w:rsidR="0003308F">
        <w:t>e</w:t>
      </w:r>
      <w:r>
        <w:t xml:space="preserve"> </w:t>
      </w:r>
      <w:r w:rsidR="00E16325">
        <w:t xml:space="preserve">on </w:t>
      </w:r>
      <w:r w:rsidR="0003308F">
        <w:t>employers’</w:t>
      </w:r>
      <w:r w:rsidR="00E16325">
        <w:t xml:space="preserve"> liability is </w:t>
      </w:r>
      <w:r w:rsidR="006146F6" w:rsidRPr="00C92FAF">
        <w:rPr>
          <w:color w:val="000000" w:themeColor="text1"/>
        </w:rPr>
        <w:t xml:space="preserve">The Health and Safety at Work etc. Act </w:t>
      </w:r>
      <w:r w:rsidR="002A7C4C" w:rsidRPr="00C92FAF">
        <w:rPr>
          <w:color w:val="000000" w:themeColor="text1"/>
        </w:rPr>
        <w:t>(</w:t>
      </w:r>
      <w:r w:rsidR="006146F6" w:rsidRPr="00C92FAF">
        <w:rPr>
          <w:color w:val="000000" w:themeColor="text1"/>
        </w:rPr>
        <w:t>1974)</w:t>
      </w:r>
      <w:r w:rsidR="002A7C4C" w:rsidRPr="00C92FAF">
        <w:rPr>
          <w:color w:val="000000" w:themeColor="text1"/>
        </w:rPr>
        <w:t xml:space="preserve"> (HSW)</w:t>
      </w:r>
      <w:r w:rsidR="00C5511B" w:rsidRPr="00C92FAF">
        <w:rPr>
          <w:color w:val="000000" w:themeColor="text1"/>
        </w:rPr>
        <w:t xml:space="preserve">. </w:t>
      </w:r>
      <w:r w:rsidR="00C5511B">
        <w:rPr>
          <w:color w:val="000000" w:themeColor="text1"/>
        </w:rPr>
        <w:t xml:space="preserve">This act is reinforced </w:t>
      </w:r>
      <w:r w:rsidR="004F434E">
        <w:rPr>
          <w:color w:val="000000" w:themeColor="text1"/>
        </w:rPr>
        <w:t>by</w:t>
      </w:r>
      <w:r w:rsidR="004C2A69">
        <w:rPr>
          <w:color w:val="000000" w:themeColor="text1"/>
        </w:rPr>
        <w:t xml:space="preserve"> </w:t>
      </w:r>
      <w:r w:rsidR="004C2A69" w:rsidRPr="00C92FAF">
        <w:rPr>
          <w:color w:val="000000" w:themeColor="text1"/>
        </w:rPr>
        <w:t xml:space="preserve">The Health and Safety at Work Regulations </w:t>
      </w:r>
      <w:r w:rsidR="003D0390" w:rsidRPr="00C92FAF">
        <w:rPr>
          <w:color w:val="000000" w:themeColor="text1"/>
        </w:rPr>
        <w:t>(</w:t>
      </w:r>
      <w:r w:rsidR="004C2A69" w:rsidRPr="00C92FAF">
        <w:rPr>
          <w:color w:val="000000" w:themeColor="text1"/>
        </w:rPr>
        <w:t>1999</w:t>
      </w:r>
      <w:r w:rsidR="003D0390" w:rsidRPr="00C92FAF">
        <w:rPr>
          <w:color w:val="000000" w:themeColor="text1"/>
        </w:rPr>
        <w:t>)</w:t>
      </w:r>
      <w:r w:rsidR="004C2A69" w:rsidRPr="00C92FAF">
        <w:rPr>
          <w:color w:val="000000" w:themeColor="text1"/>
        </w:rPr>
        <w:t xml:space="preserve">, </w:t>
      </w:r>
      <w:r w:rsidR="00D024BC">
        <w:rPr>
          <w:color w:val="000000" w:themeColor="text1"/>
        </w:rPr>
        <w:t>Unfortunately</w:t>
      </w:r>
      <w:r w:rsidR="004C2A69">
        <w:rPr>
          <w:color w:val="000000" w:themeColor="text1"/>
        </w:rPr>
        <w:t xml:space="preserve">, </w:t>
      </w:r>
      <w:r w:rsidR="0069200B">
        <w:rPr>
          <w:color w:val="000000" w:themeColor="text1"/>
        </w:rPr>
        <w:t>these regulations are subject to an exclusion to civil proceedings under section 22 so wil</w:t>
      </w:r>
      <w:r w:rsidR="003D0390">
        <w:rPr>
          <w:color w:val="000000" w:themeColor="text1"/>
        </w:rPr>
        <w:t xml:space="preserve">l not be </w:t>
      </w:r>
      <w:r w:rsidR="004960B4">
        <w:rPr>
          <w:color w:val="000000" w:themeColor="text1"/>
        </w:rPr>
        <w:t>considered</w:t>
      </w:r>
      <w:r w:rsidR="003C78AC">
        <w:rPr>
          <w:color w:val="000000" w:themeColor="text1"/>
        </w:rPr>
        <w:t>.</w:t>
      </w:r>
      <w:r w:rsidR="00136E44">
        <w:t xml:space="preserve"> </w:t>
      </w:r>
      <w:r w:rsidR="00B42680">
        <w:t xml:space="preserve">The statute governing employer’s liability is often concurrent with common law. This is evidenced in the case of </w:t>
      </w:r>
      <w:r w:rsidR="00B42680" w:rsidRPr="00C92FAF">
        <w:rPr>
          <w:color w:val="000000" w:themeColor="text1"/>
        </w:rPr>
        <w:t xml:space="preserve">Wilson &amp; Clyde Coal Co Ltd v English (1938) </w:t>
      </w:r>
      <w:r w:rsidR="00B42680">
        <w:t>whereby the responsibilities of employers as specified in HSW virtually correspond with each other.</w:t>
      </w:r>
      <w:r w:rsidR="00136E44">
        <w:t xml:space="preserve"> (s</w:t>
      </w:r>
      <w:r w:rsidR="00154FEA">
        <w:t>.2</w:t>
      </w:r>
      <w:r w:rsidR="009322B0">
        <w:t>a</w:t>
      </w:r>
      <w:r w:rsidR="00154FEA">
        <w:t>) provides that</w:t>
      </w:r>
      <w:r w:rsidR="00DE65F1">
        <w:t xml:space="preserve"> </w:t>
      </w:r>
      <w:r w:rsidR="006B4BC7">
        <w:t>employers must</w:t>
      </w:r>
      <w:r w:rsidR="00654465">
        <w:t xml:space="preserve"> where r </w:t>
      </w:r>
      <w:r w:rsidR="00DA3838">
        <w:t>viable</w:t>
      </w:r>
      <w:r w:rsidR="00713970">
        <w:t xml:space="preserve"> </w:t>
      </w:r>
      <w:r w:rsidR="00AD4277">
        <w:t>maintain</w:t>
      </w:r>
      <w:r w:rsidR="00162AD6">
        <w:t xml:space="preserve"> and ensure the safety of</w:t>
      </w:r>
      <w:r w:rsidR="00AD4277">
        <w:t xml:space="preserve"> </w:t>
      </w:r>
      <w:r w:rsidR="006A646C">
        <w:t xml:space="preserve">all systems of </w:t>
      </w:r>
      <w:r w:rsidR="009B28B0">
        <w:t>work</w:t>
      </w:r>
      <w:r w:rsidR="00E12E90">
        <w:t xml:space="preserve">. </w:t>
      </w:r>
      <w:r w:rsidR="00B44394">
        <w:t xml:space="preserve">This section is difficult to </w:t>
      </w:r>
      <w:r w:rsidR="00781400">
        <w:t xml:space="preserve">underpin as </w:t>
      </w:r>
      <w:r w:rsidR="008D352B">
        <w:t>cover</w:t>
      </w:r>
      <w:r w:rsidR="004960B4">
        <w:t xml:space="preserve">s </w:t>
      </w:r>
      <w:r w:rsidR="008D352B">
        <w:t xml:space="preserve">a vast </w:t>
      </w:r>
      <w:r w:rsidR="00AA0AA2">
        <w:t>number</w:t>
      </w:r>
      <w:r w:rsidR="008D352B">
        <w:t xml:space="preserve"> of systems for differing </w:t>
      </w:r>
      <w:r w:rsidR="00647141">
        <w:t>roles</w:t>
      </w:r>
      <w:r w:rsidR="008D352B">
        <w:t>.</w:t>
      </w:r>
      <w:r w:rsidR="0031109A">
        <w:t xml:space="preserve"> </w:t>
      </w:r>
      <w:r w:rsidR="00166644">
        <w:t>A</w:t>
      </w:r>
      <w:r w:rsidR="00AA0AA2">
        <w:t xml:space="preserve"> general </w:t>
      </w:r>
      <w:r w:rsidR="00AA0AA2">
        <w:lastRenderedPageBreak/>
        <w:t xml:space="preserve">example is seen in </w:t>
      </w:r>
      <w:r w:rsidR="00AA0AA2" w:rsidRPr="00C92FAF">
        <w:rPr>
          <w:color w:val="000000" w:themeColor="text1"/>
        </w:rPr>
        <w:t xml:space="preserve">Speed v Thomas </w:t>
      </w:r>
      <w:r w:rsidR="00D61975" w:rsidRPr="00C92FAF">
        <w:rPr>
          <w:color w:val="000000" w:themeColor="text1"/>
        </w:rPr>
        <w:t xml:space="preserve">&amp; Co Ltd (1943) </w:t>
      </w:r>
      <w:r w:rsidR="00D61975">
        <w:t xml:space="preserve">whereby the court </w:t>
      </w:r>
      <w:r w:rsidR="00394837">
        <w:t>established that any given system of work should have a hazard free</w:t>
      </w:r>
      <w:r w:rsidR="000B5361">
        <w:t xml:space="preserve"> physical layout, sufficient warnings and danger notices and </w:t>
      </w:r>
      <w:r w:rsidR="00463077">
        <w:t xml:space="preserve">have regular updates for </w:t>
      </w:r>
      <w:r w:rsidR="003770B4">
        <w:t>alternate circumstances which may arise.</w:t>
      </w:r>
      <w:r w:rsidR="0028604B">
        <w:t xml:space="preserve"> A </w:t>
      </w:r>
      <w:r w:rsidR="002C1E8D">
        <w:t xml:space="preserve">relevant ruling is seen </w:t>
      </w:r>
      <w:r w:rsidR="0076791C">
        <w:t xml:space="preserve">in </w:t>
      </w:r>
      <w:r w:rsidR="0076791C" w:rsidRPr="002042E3">
        <w:rPr>
          <w:color w:val="000000" w:themeColor="text1"/>
        </w:rPr>
        <w:t>Pape v Cumbria County Council (1992)</w:t>
      </w:r>
      <w:r w:rsidR="008A6A7B" w:rsidRPr="002042E3">
        <w:rPr>
          <w:color w:val="000000" w:themeColor="text1"/>
        </w:rPr>
        <w:t xml:space="preserve"> </w:t>
      </w:r>
      <w:r w:rsidR="008A6A7B">
        <w:t>which found that</w:t>
      </w:r>
      <w:r w:rsidR="00093DBC">
        <w:t xml:space="preserve"> employees </w:t>
      </w:r>
      <w:r w:rsidR="00BD787D">
        <w:t xml:space="preserve">must </w:t>
      </w:r>
      <w:r w:rsidR="00093DBC">
        <w:t xml:space="preserve">always be warned of known dangers. This </w:t>
      </w:r>
      <w:r w:rsidR="002C1E8D">
        <w:t xml:space="preserve">is further supported by </w:t>
      </w:r>
      <w:proofErr w:type="spellStart"/>
      <w:r w:rsidR="002C1E8D" w:rsidRPr="002042E3">
        <w:rPr>
          <w:color w:val="000000" w:themeColor="text1"/>
        </w:rPr>
        <w:t>Bax</w:t>
      </w:r>
      <w:proofErr w:type="spellEnd"/>
      <w:r w:rsidR="002C1E8D" w:rsidRPr="002042E3">
        <w:rPr>
          <w:color w:val="000000" w:themeColor="text1"/>
        </w:rPr>
        <w:t xml:space="preserve"> v Slough</w:t>
      </w:r>
      <w:r w:rsidR="00D022CE" w:rsidRPr="002042E3">
        <w:rPr>
          <w:color w:val="000000" w:themeColor="text1"/>
        </w:rPr>
        <w:t xml:space="preserve"> Metals (1973) </w:t>
      </w:r>
      <w:r w:rsidR="00D022CE">
        <w:t>which found that even in instances where warning is provided and unheeded,</w:t>
      </w:r>
      <w:r w:rsidR="00292FDA">
        <w:t xml:space="preserve"> employers can still be held liable for injury if the risk</w:t>
      </w:r>
      <w:r w:rsidR="008C54CE">
        <w:t xml:space="preserve"> is then forgotten or not hand</w:t>
      </w:r>
      <w:r w:rsidR="003F04DE">
        <w:t xml:space="preserve">led </w:t>
      </w:r>
      <w:r w:rsidR="000D2BE7">
        <w:t>sufficiently</w:t>
      </w:r>
      <w:r w:rsidR="008C54CE">
        <w:t>.</w:t>
      </w:r>
      <w:r w:rsidR="00005379">
        <w:t xml:space="preserve"> </w:t>
      </w:r>
    </w:p>
    <w:p w14:paraId="54C8AEFC" w14:textId="77777777" w:rsidR="00490E6E" w:rsidRDefault="00490E6E" w:rsidP="0092094E"/>
    <w:p w14:paraId="5DC86096" w14:textId="02280807" w:rsidR="0092094E" w:rsidRDefault="00D511B8" w:rsidP="0092094E">
      <w:r>
        <w:t xml:space="preserve">There is no referenced system of work to fully </w:t>
      </w:r>
      <w:r w:rsidR="00421F8E">
        <w:t xml:space="preserve">conclude </w:t>
      </w:r>
      <w:r>
        <w:t>a breach of HSW (s.2a)</w:t>
      </w:r>
      <w:r w:rsidR="00F9777F">
        <w:t xml:space="preserve"> nonetheless, Elijah could use the principles o</w:t>
      </w:r>
      <w:r w:rsidR="00CF46C3">
        <w:t>f Bex</w:t>
      </w:r>
      <w:r w:rsidR="00421F8E">
        <w:t xml:space="preserve"> </w:t>
      </w:r>
      <w:r w:rsidR="00A1319C">
        <w:t xml:space="preserve">against defendant 1 </w:t>
      </w:r>
      <w:r w:rsidR="00421F8E">
        <w:t xml:space="preserve">to </w:t>
      </w:r>
      <w:r w:rsidR="009C0D7E">
        <w:t>afford the court the d</w:t>
      </w:r>
      <w:r w:rsidR="00251E63">
        <w:t xml:space="preserve">ecision </w:t>
      </w:r>
      <w:r w:rsidR="009C0D7E">
        <w:t>of whether the warning used was appropriate. Furt</w:t>
      </w:r>
      <w:r w:rsidR="0092094E">
        <w:t>her</w:t>
      </w:r>
      <w:r w:rsidR="003C3B7E">
        <w:t>more</w:t>
      </w:r>
      <w:r w:rsidR="0092094E">
        <w:t>,</w:t>
      </w:r>
      <w:r w:rsidR="0092094E" w:rsidRPr="0092094E">
        <w:t xml:space="preserve"> </w:t>
      </w:r>
      <w:r w:rsidR="0092094E">
        <w:t xml:space="preserve">statutory instruments such as the </w:t>
      </w:r>
      <w:r w:rsidR="0092094E" w:rsidRPr="002042E3">
        <w:rPr>
          <w:color w:val="000000" w:themeColor="text1"/>
        </w:rPr>
        <w:t xml:space="preserve">Health and Safety (Safety Signs and Signals) Regulations (1996) </w:t>
      </w:r>
      <w:r w:rsidR="0092094E">
        <w:t>(HSSS) c</w:t>
      </w:r>
      <w:r w:rsidR="003C3B7E">
        <w:t>ould</w:t>
      </w:r>
      <w:r w:rsidR="004B10D6">
        <w:t xml:space="preserve"> aid this principle</w:t>
      </w:r>
      <w:r w:rsidR="000A59A0">
        <w:t xml:space="preserve">, the regulations cannot form a breach in the court </w:t>
      </w:r>
      <w:r w:rsidR="00160044">
        <w:t>b</w:t>
      </w:r>
      <w:r w:rsidR="002F0C47">
        <w:t>ut could function as evidence if a breach</w:t>
      </w:r>
      <w:r w:rsidR="00160044">
        <w:t xml:space="preserve"> of </w:t>
      </w:r>
      <w:r w:rsidR="00F84543">
        <w:t>HSW (</w:t>
      </w:r>
      <w:r w:rsidR="00160044">
        <w:t>s</w:t>
      </w:r>
      <w:r w:rsidR="00C9435C">
        <w:t>.2a) is found</w:t>
      </w:r>
      <w:r w:rsidR="002F0C47">
        <w:t>.</w:t>
      </w:r>
      <w:r w:rsidR="0092094E">
        <w:t xml:space="preserve"> HSSS (s</w:t>
      </w:r>
      <w:r w:rsidR="0092094E" w:rsidRPr="008C0FAB">
        <w:t xml:space="preserve"> 2.2.1</w:t>
      </w:r>
      <w:r w:rsidR="0092094E">
        <w:t>) states that sufficient signage must be provided when signalling a potential danger.</w:t>
      </w:r>
      <w:r w:rsidR="0092094E" w:rsidRPr="00184216">
        <w:t xml:space="preserve"> </w:t>
      </w:r>
      <w:r w:rsidR="0092094E">
        <w:t>As well as provisions on design and colour of the sign, HSSS (s5.2) explains that poor de</w:t>
      </w:r>
      <w:r w:rsidR="00077D6C">
        <w:t>s</w:t>
      </w:r>
      <w:r w:rsidR="0092094E">
        <w:t>ign, placement or functioning of signage adversely impacts its effectiveness.</w:t>
      </w:r>
      <w:r w:rsidR="001177CF" w:rsidRPr="001177CF">
        <w:t xml:space="preserve"> </w:t>
      </w:r>
      <w:r w:rsidR="007B04AA">
        <w:t>To rebut, d</w:t>
      </w:r>
      <w:r w:rsidR="001177CF">
        <w:t xml:space="preserve">efendant 1 may negate </w:t>
      </w:r>
      <w:r w:rsidR="00A16690">
        <w:t>a breach</w:t>
      </w:r>
      <w:r w:rsidR="001177CF">
        <w:t xml:space="preserve"> by referencing their use of warning as seen in Pape</w:t>
      </w:r>
      <w:r w:rsidR="007B04AA">
        <w:t xml:space="preserve"> if all </w:t>
      </w:r>
      <w:r w:rsidR="00A94C6D">
        <w:t xml:space="preserve">required </w:t>
      </w:r>
      <w:r w:rsidR="007B04AA">
        <w:t>provisions are met</w:t>
      </w:r>
      <w:r w:rsidR="000918B2">
        <w:t xml:space="preserve">. </w:t>
      </w:r>
      <w:r w:rsidR="004E0C37">
        <w:t xml:space="preserve">Furthermore, HSW (s.7) provides that employees must take adequate care for their own safety, in walking whilst distracted and overlooking the </w:t>
      </w:r>
      <w:r w:rsidR="00A94C6D">
        <w:t>warning</w:t>
      </w:r>
      <w:r w:rsidR="004E0C37">
        <w:t xml:space="preserve"> Elijah could have failed to do this</w:t>
      </w:r>
      <w:r w:rsidR="00C81491">
        <w:t>.</w:t>
      </w:r>
      <w:r w:rsidR="00BE679D">
        <w:t xml:space="preserve"> </w:t>
      </w:r>
      <w:r w:rsidR="00071616">
        <w:t xml:space="preserve">Defendant 1 may also </w:t>
      </w:r>
      <w:r w:rsidR="00F84543">
        <w:t xml:space="preserve">reference </w:t>
      </w:r>
      <w:proofErr w:type="spellStart"/>
      <w:r w:rsidR="00F84543" w:rsidRPr="008813D3">
        <w:rPr>
          <w:color w:val="000000" w:themeColor="text1"/>
        </w:rPr>
        <w:t>Bourne</w:t>
      </w:r>
      <w:proofErr w:type="spellEnd"/>
      <w:r w:rsidR="00BE679D" w:rsidRPr="008813D3">
        <w:rPr>
          <w:color w:val="000000" w:themeColor="text1"/>
        </w:rPr>
        <w:t xml:space="preserve"> Leisure Ltd v Marsden (2009</w:t>
      </w:r>
      <w:r w:rsidR="00BE679D" w:rsidRPr="008813D3">
        <w:rPr>
          <w:color w:val="000000" w:themeColor="text1"/>
        </w:rPr>
        <w:t xml:space="preserve">) </w:t>
      </w:r>
      <w:r w:rsidR="00071616">
        <w:rPr>
          <w:color w:val="000000" w:themeColor="text1"/>
        </w:rPr>
        <w:t>which highlight</w:t>
      </w:r>
      <w:r w:rsidR="00D236A8">
        <w:rPr>
          <w:color w:val="000000" w:themeColor="text1"/>
        </w:rPr>
        <w:t>s that a claimant must take</w:t>
      </w:r>
      <w:r w:rsidR="001041BA">
        <w:rPr>
          <w:color w:val="000000" w:themeColor="text1"/>
        </w:rPr>
        <w:t xml:space="preserve"> </w:t>
      </w:r>
      <w:r w:rsidR="00D236A8">
        <w:rPr>
          <w:color w:val="000000" w:themeColor="text1"/>
        </w:rPr>
        <w:t xml:space="preserve">reasonable care in their actions. Alternatively, </w:t>
      </w:r>
      <w:r w:rsidR="00C06E4C">
        <w:t>contributory negligence</w:t>
      </w:r>
      <w:r w:rsidR="00F84543">
        <w:t xml:space="preserve"> may be utilised</w:t>
      </w:r>
      <w:r w:rsidR="00C06E4C">
        <w:t>. Th</w:t>
      </w:r>
      <w:r w:rsidR="001041BA">
        <w:t>is</w:t>
      </w:r>
      <w:r w:rsidR="00C06E4C">
        <w:t xml:space="preserve"> partial defence</w:t>
      </w:r>
      <w:r w:rsidR="001041BA">
        <w:t xml:space="preserve"> is </w:t>
      </w:r>
      <w:r w:rsidR="00C06E4C">
        <w:t xml:space="preserve">placed within (s1.1) </w:t>
      </w:r>
      <w:r w:rsidR="00C06E4C" w:rsidRPr="000B461D">
        <w:rPr>
          <w:color w:val="000000" w:themeColor="text1"/>
        </w:rPr>
        <w:t xml:space="preserve">Law Reform (Contributory Negligence) Act (1945) </w:t>
      </w:r>
      <w:r w:rsidR="001041BA">
        <w:t>stating that</w:t>
      </w:r>
      <w:r w:rsidR="00C06E4C">
        <w:t xml:space="preserve"> that when the claimant suffers </w:t>
      </w:r>
      <w:r w:rsidR="00D94340">
        <w:t>harm</w:t>
      </w:r>
      <w:r w:rsidR="00C06E4C">
        <w:t xml:space="preserve"> from own </w:t>
      </w:r>
      <w:r w:rsidR="00D94340">
        <w:t xml:space="preserve">faults </w:t>
      </w:r>
      <w:r w:rsidR="00C06E4C">
        <w:t>alongside others</w:t>
      </w:r>
      <w:r w:rsidR="00D94340">
        <w:t>,</w:t>
      </w:r>
      <w:r w:rsidR="00C06E4C">
        <w:t xml:space="preserve"> the </w:t>
      </w:r>
      <w:r w:rsidR="00BF1AA3">
        <w:t>provision of damages will be lessened to reflect the circumstances</w:t>
      </w:r>
      <w:r w:rsidR="00BF1AA3" w:rsidRPr="00E21637">
        <w:rPr>
          <w:color w:val="000000" w:themeColor="text1"/>
        </w:rPr>
        <w:t>.</w:t>
      </w:r>
      <w:r w:rsidR="00C06E4C" w:rsidRPr="00E21637">
        <w:rPr>
          <w:color w:val="000000" w:themeColor="text1"/>
        </w:rPr>
        <w:t xml:space="preserve"> Barnett v Ministry of Defence</w:t>
      </w:r>
      <w:r w:rsidR="008157CF" w:rsidRPr="00E21637">
        <w:rPr>
          <w:color w:val="000000" w:themeColor="text1"/>
        </w:rPr>
        <w:t xml:space="preserve"> (1995</w:t>
      </w:r>
      <w:r w:rsidR="00E33E72" w:rsidRPr="00E21637">
        <w:rPr>
          <w:color w:val="000000" w:themeColor="text1"/>
        </w:rPr>
        <w:t xml:space="preserve">) </w:t>
      </w:r>
      <w:r w:rsidR="00E33E72">
        <w:t>categorises</w:t>
      </w:r>
      <w:r w:rsidR="00502F93">
        <w:t xml:space="preserve"> the </w:t>
      </w:r>
      <w:r w:rsidR="00C06E4C">
        <w:t>defence</w:t>
      </w:r>
      <w:r w:rsidR="00502F93">
        <w:t xml:space="preserve"> as variable,</w:t>
      </w:r>
      <w:r w:rsidR="00C06E4C">
        <w:t xml:space="preserve"> taking in to account all circumstances. </w:t>
      </w:r>
      <w:r w:rsidR="000C46FB">
        <w:t xml:space="preserve">The case of </w:t>
      </w:r>
      <w:r w:rsidR="00C06E4C" w:rsidRPr="00E21637">
        <w:rPr>
          <w:color w:val="000000" w:themeColor="text1"/>
        </w:rPr>
        <w:t>Capps v Miller (1989)</w:t>
      </w:r>
      <w:r w:rsidR="000C46FB" w:rsidRPr="00E21637">
        <w:rPr>
          <w:color w:val="000000" w:themeColor="text1"/>
        </w:rPr>
        <w:t xml:space="preserve"> </w:t>
      </w:r>
      <w:r w:rsidR="006769C7">
        <w:t>reinforces</w:t>
      </w:r>
      <w:r w:rsidR="00773C92">
        <w:t xml:space="preserve"> that this defence is unlikely to detriment Elijah’s </w:t>
      </w:r>
      <w:r w:rsidR="00E0192D">
        <w:t>prospects of a case against defendant 1 but could lessen damages.</w:t>
      </w:r>
    </w:p>
    <w:p w14:paraId="6FA4CACA" w14:textId="77777777" w:rsidR="00E22435" w:rsidRDefault="00E22435" w:rsidP="00184216"/>
    <w:p w14:paraId="669E6D01" w14:textId="72688F69" w:rsidR="00907DBD" w:rsidRDefault="003C245B" w:rsidP="00184216">
      <w:r>
        <w:t xml:space="preserve"> HSW </w:t>
      </w:r>
      <w:r w:rsidR="00294687">
        <w:t>(S.2b) provides that employers must</w:t>
      </w:r>
      <w:r w:rsidR="00497F2D">
        <w:t xml:space="preserve"> pre</w:t>
      </w:r>
      <w:r w:rsidR="00863C36">
        <w:t>vent</w:t>
      </w:r>
      <w:r w:rsidR="00497F2D">
        <w:t xml:space="preserve"> risk</w:t>
      </w:r>
      <w:r w:rsidR="00863C36">
        <w:t xml:space="preserve">s connecting to the </w:t>
      </w:r>
      <w:r w:rsidR="0027193A">
        <w:t>usage</w:t>
      </w:r>
      <w:r w:rsidR="005018FB">
        <w:t xml:space="preserve"> </w:t>
      </w:r>
      <w:r w:rsidR="005A4192">
        <w:t xml:space="preserve">and transport of </w:t>
      </w:r>
      <w:r w:rsidR="00601981">
        <w:t>materials</w:t>
      </w:r>
      <w:r w:rsidR="00B23626">
        <w:t xml:space="preserve">. The </w:t>
      </w:r>
      <w:r w:rsidR="005E469D">
        <w:t xml:space="preserve">handling of </w:t>
      </w:r>
      <w:r w:rsidR="007202D9">
        <w:t>equipment</w:t>
      </w:r>
      <w:r w:rsidR="005E469D">
        <w:t xml:space="preserve"> is also covered through the </w:t>
      </w:r>
      <w:r w:rsidR="005E469D" w:rsidRPr="00E21637">
        <w:rPr>
          <w:color w:val="000000" w:themeColor="text1"/>
        </w:rPr>
        <w:t xml:space="preserve">Employers Liability (Defective Equipment) Act </w:t>
      </w:r>
      <w:r w:rsidR="00E21637">
        <w:rPr>
          <w:color w:val="000000" w:themeColor="text1"/>
        </w:rPr>
        <w:t>(</w:t>
      </w:r>
      <w:r w:rsidR="005E469D" w:rsidRPr="00E21637">
        <w:rPr>
          <w:color w:val="000000" w:themeColor="text1"/>
        </w:rPr>
        <w:t>1969</w:t>
      </w:r>
      <w:r w:rsidR="00E21637">
        <w:rPr>
          <w:color w:val="000000" w:themeColor="text1"/>
        </w:rPr>
        <w:t>)</w:t>
      </w:r>
      <w:r w:rsidR="005E5E88" w:rsidRPr="00E21637">
        <w:rPr>
          <w:color w:val="000000" w:themeColor="text1"/>
        </w:rPr>
        <w:t xml:space="preserve"> </w:t>
      </w:r>
      <w:r w:rsidR="00850496">
        <w:t xml:space="preserve">and cases such as </w:t>
      </w:r>
      <w:r w:rsidR="00850496" w:rsidRPr="0047165B">
        <w:rPr>
          <w:color w:val="000000" w:themeColor="text1"/>
        </w:rPr>
        <w:t>Knowles v Liverpool County Council (1993)</w:t>
      </w:r>
      <w:r w:rsidR="002C468B" w:rsidRPr="0047165B">
        <w:rPr>
          <w:color w:val="000000" w:themeColor="text1"/>
        </w:rPr>
        <w:t xml:space="preserve"> </w:t>
      </w:r>
      <w:r w:rsidR="002C468B">
        <w:t>which a</w:t>
      </w:r>
      <w:r w:rsidR="00925998">
        <w:t>l</w:t>
      </w:r>
      <w:r w:rsidR="008159D0">
        <w:t>l confirm that materials in use during employment must avoid risk where practicable.</w:t>
      </w:r>
      <w:r w:rsidR="00142488">
        <w:t xml:space="preserve"> (S2.c) </w:t>
      </w:r>
      <w:r w:rsidR="0043661F">
        <w:t>expects employers to provide</w:t>
      </w:r>
      <w:r w:rsidR="009F2BC7">
        <w:t xml:space="preserve"> sufficient training and/or supervision </w:t>
      </w:r>
      <w:r w:rsidR="0043661F">
        <w:t>to ensure staff competency</w:t>
      </w:r>
      <w:r w:rsidR="00B3604C">
        <w:t>.</w:t>
      </w:r>
      <w:r w:rsidR="006012D0">
        <w:t xml:space="preserve"> This is demonstrated in</w:t>
      </w:r>
      <w:r w:rsidR="00FF6E1A">
        <w:t xml:space="preserve"> </w:t>
      </w:r>
      <w:r w:rsidR="00FF6E1A" w:rsidRPr="0047165B">
        <w:rPr>
          <w:color w:val="000000" w:themeColor="text1"/>
        </w:rPr>
        <w:t>Hudson v Ridge Manufacturing Co Ltd (1957)</w:t>
      </w:r>
      <w:r w:rsidR="000213FE" w:rsidRPr="0047165B">
        <w:rPr>
          <w:color w:val="000000" w:themeColor="text1"/>
        </w:rPr>
        <w:t xml:space="preserve"> </w:t>
      </w:r>
      <w:r w:rsidR="000213FE">
        <w:t xml:space="preserve">which found that even when an employee has acted </w:t>
      </w:r>
      <w:r w:rsidR="00847DD2">
        <w:t xml:space="preserve">improperly it is for the employer to </w:t>
      </w:r>
      <w:r w:rsidR="00F11269">
        <w:t xml:space="preserve">prevent harm, this factor also </w:t>
      </w:r>
      <w:r w:rsidR="002D0381">
        <w:t>holds potential for claims through</w:t>
      </w:r>
      <w:r w:rsidR="0047607C">
        <w:t xml:space="preserve"> </w:t>
      </w:r>
      <w:r w:rsidR="00B84E1B">
        <w:t>V</w:t>
      </w:r>
      <w:r w:rsidR="00D0082B">
        <w:t>L</w:t>
      </w:r>
      <w:r w:rsidR="00BC1503">
        <w:t>.</w:t>
      </w:r>
      <w:r w:rsidR="00A635BE">
        <w:t xml:space="preserve"> This is useful for Elijah’s claim prospects as the scenario does</w:t>
      </w:r>
      <w:r w:rsidR="006B0AD5">
        <w:t xml:space="preserve"> not depict who </w:t>
      </w:r>
      <w:r w:rsidR="001B6A9D">
        <w:t xml:space="preserve">enacted the </w:t>
      </w:r>
      <w:r w:rsidR="00D0082B">
        <w:t>warning, (</w:t>
      </w:r>
      <w:r w:rsidR="00547CC3">
        <w:t xml:space="preserve">S2.d) requires </w:t>
      </w:r>
      <w:r w:rsidR="00B84578">
        <w:t>provi</w:t>
      </w:r>
      <w:r w:rsidR="00D16F78">
        <w:t xml:space="preserve">sion of </w:t>
      </w:r>
      <w:r w:rsidR="00B84578">
        <w:t xml:space="preserve">a safe </w:t>
      </w:r>
      <w:r w:rsidR="00FC28AB">
        <w:t>means of access to any areas requir</w:t>
      </w:r>
      <w:r w:rsidR="00E357F2">
        <w:t xml:space="preserve">ing entrance or exit </w:t>
      </w:r>
      <w:r w:rsidR="00FC28AB">
        <w:t xml:space="preserve">by the </w:t>
      </w:r>
      <w:r w:rsidR="0005685B">
        <w:t>employee. This</w:t>
      </w:r>
      <w:r w:rsidR="00571618">
        <w:t xml:space="preserve"> is </w:t>
      </w:r>
      <w:r w:rsidR="0005685B">
        <w:t xml:space="preserve">exampled </w:t>
      </w:r>
      <w:r w:rsidR="00571618">
        <w:t>in the case of</w:t>
      </w:r>
      <w:r w:rsidR="009718FE">
        <w:t xml:space="preserve"> </w:t>
      </w:r>
      <w:r w:rsidR="009718FE" w:rsidRPr="0047165B">
        <w:rPr>
          <w:color w:val="000000" w:themeColor="text1"/>
        </w:rPr>
        <w:t>PRP Architects v Reid (2006)</w:t>
      </w:r>
      <w:r w:rsidR="009718FE" w:rsidRPr="0005685B">
        <w:rPr>
          <w:color w:val="FF0000"/>
        </w:rPr>
        <w:t xml:space="preserve"> </w:t>
      </w:r>
      <w:r w:rsidR="009718FE">
        <w:t xml:space="preserve">whereby the claimant </w:t>
      </w:r>
      <w:r w:rsidR="000E37DD">
        <w:t xml:space="preserve">become </w:t>
      </w:r>
      <w:r w:rsidR="00907DBD">
        <w:t>i</w:t>
      </w:r>
      <w:r w:rsidR="000E37DD">
        <w:t xml:space="preserve">njured following the use of a lift whilst exiting work. This suggests that </w:t>
      </w:r>
      <w:r w:rsidR="005E156E">
        <w:t xml:space="preserve">employees do not need to be undertaking their duties to hold an employer liable for </w:t>
      </w:r>
      <w:r w:rsidR="00907DBD">
        <w:t>injury.</w:t>
      </w:r>
    </w:p>
    <w:p w14:paraId="3C140A3F" w14:textId="77777777" w:rsidR="00907DBD" w:rsidRDefault="00907DBD" w:rsidP="00184216"/>
    <w:p w14:paraId="4AAA7B26" w14:textId="0AD0DF58" w:rsidR="00DB07CE" w:rsidRDefault="00907DBD">
      <w:r>
        <w:t xml:space="preserve"> </w:t>
      </w:r>
      <w:r w:rsidR="00C027D1">
        <w:t xml:space="preserve">HSW </w:t>
      </w:r>
      <w:r>
        <w:t>(</w:t>
      </w:r>
      <w:r w:rsidR="001F69E4">
        <w:t xml:space="preserve">S.2e) </w:t>
      </w:r>
      <w:r w:rsidR="007933C5">
        <w:t xml:space="preserve">states </w:t>
      </w:r>
      <w:r w:rsidR="00D16F78">
        <w:t>th</w:t>
      </w:r>
      <w:r w:rsidR="007933C5">
        <w:t xml:space="preserve">at a </w:t>
      </w:r>
      <w:r w:rsidR="00D16F78">
        <w:t xml:space="preserve">safe </w:t>
      </w:r>
      <w:r w:rsidR="004C2464">
        <w:t>wor</w:t>
      </w:r>
      <w:r w:rsidR="007933C5">
        <w:t>kplace</w:t>
      </w:r>
      <w:r w:rsidR="004C2464">
        <w:t xml:space="preserve"> and satisfactory </w:t>
      </w:r>
      <w:r w:rsidR="00221131">
        <w:t>welfare facilities</w:t>
      </w:r>
      <w:r w:rsidR="007933C5">
        <w:t xml:space="preserve"> must be </w:t>
      </w:r>
      <w:r w:rsidR="00673D8F">
        <w:t>provided. Application</w:t>
      </w:r>
      <w:r w:rsidR="0010711A">
        <w:t xml:space="preserve"> of this can be seen in </w:t>
      </w:r>
      <w:r w:rsidR="0010711A" w:rsidRPr="002C42CE">
        <w:rPr>
          <w:color w:val="000000" w:themeColor="text1"/>
        </w:rPr>
        <w:t xml:space="preserve">Latimer v </w:t>
      </w:r>
      <w:r w:rsidR="00E55DC3" w:rsidRPr="002C42CE">
        <w:rPr>
          <w:color w:val="000000" w:themeColor="text1"/>
        </w:rPr>
        <w:t xml:space="preserve">AEC Ltd (1953) </w:t>
      </w:r>
      <w:r w:rsidR="00E55DC3">
        <w:t>which found that</w:t>
      </w:r>
      <w:r w:rsidR="004120AD">
        <w:t xml:space="preserve"> the expected standard of a workplace is that of a </w:t>
      </w:r>
      <w:r w:rsidR="009455FA">
        <w:t>cautious employer.</w:t>
      </w:r>
      <w:r w:rsidR="006845AC">
        <w:t xml:space="preserve"> Despite this,</w:t>
      </w:r>
      <w:r w:rsidR="00620DB8" w:rsidRPr="00620DB8">
        <w:t xml:space="preserve"> </w:t>
      </w:r>
      <w:r w:rsidR="00620DB8">
        <w:t>the case also fou</w:t>
      </w:r>
      <w:r w:rsidR="00661A1B">
        <w:t>nd</w:t>
      </w:r>
      <w:r w:rsidR="00620DB8" w:rsidRPr="00620DB8">
        <w:t xml:space="preserve"> that employers cannot be expected to protect against unexpected factors</w:t>
      </w:r>
      <w:r w:rsidR="00673D8F">
        <w:t xml:space="preserve"> thus suggesting</w:t>
      </w:r>
      <w:r w:rsidR="007C2395">
        <w:t xml:space="preserve"> a lessened pressure on employers. However, in </w:t>
      </w:r>
      <w:r w:rsidR="007C2395" w:rsidRPr="00590B25">
        <w:rPr>
          <w:color w:val="000000" w:themeColor="text1"/>
        </w:rPr>
        <w:t>General Cleaning Contractors v Christmas (1954)</w:t>
      </w:r>
      <w:r w:rsidR="007C79B0" w:rsidRPr="00590B25">
        <w:rPr>
          <w:color w:val="000000" w:themeColor="text1"/>
        </w:rPr>
        <w:t xml:space="preserve"> a</w:t>
      </w:r>
      <w:r w:rsidR="007C79B0">
        <w:t xml:space="preserve">nd </w:t>
      </w:r>
      <w:r w:rsidR="007C79B0" w:rsidRPr="00590B25">
        <w:rPr>
          <w:color w:val="000000" w:themeColor="text1"/>
        </w:rPr>
        <w:t>Cook v Square D Ltd (1992)</w:t>
      </w:r>
      <w:r w:rsidR="00553BF6" w:rsidRPr="00590B25">
        <w:rPr>
          <w:color w:val="000000" w:themeColor="text1"/>
        </w:rPr>
        <w:t xml:space="preserve"> </w:t>
      </w:r>
      <w:r w:rsidR="00553BF6">
        <w:t xml:space="preserve">the courts emphasised that </w:t>
      </w:r>
      <w:r w:rsidR="007D5348">
        <w:t>expectations of a safe workplace are heightened when there is a known risk to</w:t>
      </w:r>
      <w:r w:rsidR="00311504">
        <w:t xml:space="preserve"> safety</w:t>
      </w:r>
      <w:r w:rsidR="005034ED">
        <w:t>.</w:t>
      </w:r>
      <w:r w:rsidR="00B84E1B">
        <w:t xml:space="preserve"> </w:t>
      </w:r>
      <w:r w:rsidR="00BE0ACD">
        <w:t>D</w:t>
      </w:r>
      <w:r w:rsidR="0056237C">
        <w:t xml:space="preserve">ependant 1 may be liable for a breach </w:t>
      </w:r>
      <w:r w:rsidR="00286E5E">
        <w:t>under HSW (s.2e</w:t>
      </w:r>
      <w:r w:rsidR="001A4AEB">
        <w:t>)</w:t>
      </w:r>
      <w:r w:rsidR="00BE0ACD">
        <w:t>. This is because</w:t>
      </w:r>
      <w:r w:rsidR="001A4AEB">
        <w:t xml:space="preserve"> of the cl</w:t>
      </w:r>
      <w:r w:rsidR="00E2554D">
        <w:t>e</w:t>
      </w:r>
      <w:r w:rsidR="001A4AEB">
        <w:t>ar</w:t>
      </w:r>
      <w:r w:rsidR="00BE0ACD">
        <w:t xml:space="preserve"> hazard posed by the boxes</w:t>
      </w:r>
      <w:r w:rsidR="00C349AD">
        <w:t>.</w:t>
      </w:r>
      <w:r w:rsidR="00546755">
        <w:t xml:space="preserve"> </w:t>
      </w:r>
      <w:r w:rsidR="00F03E97">
        <w:t xml:space="preserve">Moreover, </w:t>
      </w:r>
      <w:r w:rsidR="00C20B82">
        <w:t>there</w:t>
      </w:r>
      <w:r w:rsidR="00450A6D">
        <w:t xml:space="preserve"> w</w:t>
      </w:r>
      <w:r w:rsidR="00C20B82">
        <w:t>as</w:t>
      </w:r>
      <w:r w:rsidR="006018D3">
        <w:t xml:space="preserve"> a </w:t>
      </w:r>
      <w:r w:rsidR="00C20B82">
        <w:t xml:space="preserve">definite awareness of the risk due to the placement of a warning. This could potentially </w:t>
      </w:r>
      <w:r w:rsidR="00882721">
        <w:t xml:space="preserve">heighten the responsibilities of defendant 1 due to the principals of Cook and Christmas. </w:t>
      </w:r>
      <w:r w:rsidR="0063073B">
        <w:t xml:space="preserve">Further still, the party placing the warning need </w:t>
      </w:r>
      <w:r w:rsidR="006D4851">
        <w:t>not be defendant 1, they may still be held liable through V</w:t>
      </w:r>
      <w:r w:rsidR="00D0082B">
        <w:t xml:space="preserve">L if the </w:t>
      </w:r>
      <w:r w:rsidR="008E11BD">
        <w:t>warning was placed by another employee.</w:t>
      </w:r>
      <w:r w:rsidR="0063073B">
        <w:t xml:space="preserve"> </w:t>
      </w:r>
      <w:r w:rsidR="003405AC">
        <w:t>The scenari</w:t>
      </w:r>
      <w:r w:rsidR="00BE34A3">
        <w:t xml:space="preserve">o does not </w:t>
      </w:r>
      <w:r w:rsidR="00562091">
        <w:t>provide</w:t>
      </w:r>
      <w:r w:rsidR="00BE34A3">
        <w:t xml:space="preserve"> </w:t>
      </w:r>
      <w:r w:rsidR="00FD4FF7">
        <w:t>reference to</w:t>
      </w:r>
      <w:r w:rsidR="00BE34A3">
        <w:t xml:space="preserve"> Elijah’s employment contract</w:t>
      </w:r>
      <w:r w:rsidR="00ED51CB">
        <w:t>,</w:t>
      </w:r>
      <w:r w:rsidR="00BE34A3">
        <w:t xml:space="preserve"> </w:t>
      </w:r>
      <w:r w:rsidR="00ED51CB">
        <w:t xml:space="preserve">but </w:t>
      </w:r>
      <w:r w:rsidR="0071420D">
        <w:t xml:space="preserve">it is unlikely to impact the liability placed upon defendant </w:t>
      </w:r>
      <w:r w:rsidR="005E7880">
        <w:t xml:space="preserve">1 </w:t>
      </w:r>
      <w:r w:rsidR="0071420D">
        <w:t xml:space="preserve">due to </w:t>
      </w:r>
      <w:r w:rsidR="005E7880">
        <w:t xml:space="preserve">the case of </w:t>
      </w:r>
      <w:r w:rsidR="005E7880" w:rsidRPr="005542F8">
        <w:rPr>
          <w:color w:val="000000" w:themeColor="text1"/>
        </w:rPr>
        <w:t xml:space="preserve">Johnstone v Bloomsbury Health Authority (1992) </w:t>
      </w:r>
      <w:r w:rsidR="005E7880">
        <w:t xml:space="preserve">whereby the </w:t>
      </w:r>
      <w:r w:rsidR="003109CA">
        <w:t xml:space="preserve">court </w:t>
      </w:r>
      <w:r w:rsidR="00BE7029">
        <w:t>found</w:t>
      </w:r>
      <w:r w:rsidR="003109CA">
        <w:t xml:space="preserve"> that contract terms cannot be used to negate</w:t>
      </w:r>
      <w:r w:rsidR="00A2001E">
        <w:t xml:space="preserve"> an employer’s duties</w:t>
      </w:r>
      <w:r w:rsidR="00BE7029">
        <w:t>.</w:t>
      </w:r>
      <w:r w:rsidR="00E95404">
        <w:t xml:space="preserve"> </w:t>
      </w:r>
    </w:p>
    <w:p w14:paraId="44981F33" w14:textId="1AF1D094" w:rsidR="00027ECF" w:rsidRDefault="00027ECF"/>
    <w:p w14:paraId="49DB8A91" w14:textId="32A1D3A9" w:rsidR="00027ECF" w:rsidRDefault="00027ECF">
      <w:pPr>
        <w:rPr>
          <w:color w:val="000000" w:themeColor="text1"/>
        </w:rPr>
      </w:pPr>
      <w:r>
        <w:t xml:space="preserve">Although a duty of care </w:t>
      </w:r>
      <w:r w:rsidR="00D033FE">
        <w:t xml:space="preserve">is established by defendant 2, </w:t>
      </w:r>
      <w:r w:rsidR="00847A08">
        <w:t>concluding a breach is subject to different factors in comparison to defendant 1</w:t>
      </w:r>
      <w:r w:rsidR="008B38EA">
        <w:t xml:space="preserve">. </w:t>
      </w:r>
      <w:r w:rsidR="007C721A">
        <w:t xml:space="preserve">As it is not specified whether the initial advice was </w:t>
      </w:r>
      <w:r w:rsidR="004F4603">
        <w:t>provided by a</w:t>
      </w:r>
      <w:r w:rsidR="009C0C39">
        <w:t xml:space="preserve"> </w:t>
      </w:r>
      <w:r w:rsidR="004F4603">
        <w:t>professional,</w:t>
      </w:r>
      <w:r w:rsidR="00774266">
        <w:t xml:space="preserve"> this will be addressed </w:t>
      </w:r>
      <w:r w:rsidR="009C0C39">
        <w:t>without reference to professional standards.</w:t>
      </w:r>
      <w:r w:rsidR="00B04CF7">
        <w:t xml:space="preserve"> A potential breach</w:t>
      </w:r>
      <w:r w:rsidR="00345027">
        <w:t xml:space="preserve"> could be satisfied </w:t>
      </w:r>
      <w:r w:rsidR="00E17C8A">
        <w:t xml:space="preserve">within the Initial advice provided and failure to </w:t>
      </w:r>
      <w:r w:rsidR="00C61503">
        <w:t>foresee</w:t>
      </w:r>
      <w:r w:rsidR="00E17C8A">
        <w:t xml:space="preserve"> the risk</w:t>
      </w:r>
      <w:r w:rsidR="00C61503">
        <w:t xml:space="preserve">. This is supported by the </w:t>
      </w:r>
      <w:proofErr w:type="gramStart"/>
      <w:r w:rsidR="00C61503">
        <w:t>aforementioned case</w:t>
      </w:r>
      <w:proofErr w:type="gramEnd"/>
      <w:r w:rsidR="00C61503">
        <w:t xml:space="preserve"> of </w:t>
      </w:r>
      <w:r w:rsidR="005511F1">
        <w:t xml:space="preserve">Darnley (2018) </w:t>
      </w:r>
      <w:r w:rsidR="008B60C4">
        <w:t xml:space="preserve">as </w:t>
      </w:r>
      <w:r w:rsidR="005256DE">
        <w:t xml:space="preserve">the case </w:t>
      </w:r>
      <w:r w:rsidR="00594373">
        <w:t>established that defendant 1 could be held liable through V</w:t>
      </w:r>
      <w:r w:rsidR="00F52DD6">
        <w:t>L f</w:t>
      </w:r>
      <w:r w:rsidR="00594373">
        <w:t xml:space="preserve">or the actions of </w:t>
      </w:r>
      <w:r w:rsidR="00F52DD6">
        <w:t>non-medical employees.</w:t>
      </w:r>
      <w:r w:rsidR="00BB3F50">
        <w:t xml:space="preserve"> </w:t>
      </w:r>
      <w:r w:rsidR="00F06CE5">
        <w:t xml:space="preserve">Despite this, </w:t>
      </w:r>
      <w:r w:rsidR="00BB3F50">
        <w:t>Issues arise when</w:t>
      </w:r>
      <w:r w:rsidR="00676B4D">
        <w:t xml:space="preserve"> the </w:t>
      </w:r>
      <w:r w:rsidR="00F06CE5">
        <w:t>element of causation is considered.</w:t>
      </w:r>
      <w:r w:rsidR="003B69BD">
        <w:t xml:space="preserve"> To establish factual causation,</w:t>
      </w:r>
      <w:r w:rsidR="00A143C8">
        <w:t xml:space="preserve"> </w:t>
      </w:r>
      <w:r w:rsidR="00570DD5">
        <w:t xml:space="preserve">the ‘but for’ test is </w:t>
      </w:r>
      <w:r w:rsidR="00FA47CB">
        <w:t xml:space="preserve">utilised as demonstrated in </w:t>
      </w:r>
      <w:r w:rsidR="00FA47CB" w:rsidRPr="005542F8">
        <w:rPr>
          <w:color w:val="000000" w:themeColor="text1"/>
        </w:rPr>
        <w:t>Cork v Kirby Mac</w:t>
      </w:r>
      <w:r w:rsidR="003B2FDE" w:rsidRPr="005542F8">
        <w:rPr>
          <w:color w:val="000000" w:themeColor="text1"/>
        </w:rPr>
        <w:t>lean Ltd (1952).</w:t>
      </w:r>
      <w:r w:rsidR="002A5B4E" w:rsidRPr="005542F8">
        <w:rPr>
          <w:color w:val="000000" w:themeColor="text1"/>
        </w:rPr>
        <w:t xml:space="preserve"> </w:t>
      </w:r>
      <w:r w:rsidR="002A5B4E">
        <w:t xml:space="preserve">This </w:t>
      </w:r>
      <w:proofErr w:type="gramStart"/>
      <w:r w:rsidR="003341FE">
        <w:t>principle</w:t>
      </w:r>
      <w:proofErr w:type="gramEnd"/>
      <w:r w:rsidR="003341FE">
        <w:t xml:space="preserve"> </w:t>
      </w:r>
      <w:r w:rsidR="00DB1839">
        <w:t>queries</w:t>
      </w:r>
      <w:r w:rsidR="001053C3">
        <w:t xml:space="preserve"> that if not for the </w:t>
      </w:r>
      <w:r w:rsidR="00087A90">
        <w:t>defendant’s</w:t>
      </w:r>
      <w:r w:rsidR="001053C3">
        <w:t xml:space="preserve"> actions, would the harm have</w:t>
      </w:r>
      <w:r w:rsidR="00013933">
        <w:t xml:space="preserve"> taken place</w:t>
      </w:r>
      <w:r w:rsidR="00DB1839">
        <w:t xml:space="preserve">? </w:t>
      </w:r>
      <w:r w:rsidR="004D6A42">
        <w:t xml:space="preserve">In the case of Elijah, defendant </w:t>
      </w:r>
      <w:r w:rsidR="007C7F33">
        <w:t xml:space="preserve">2 </w:t>
      </w:r>
      <w:r w:rsidR="004D6A42">
        <w:t xml:space="preserve">is unlikely </w:t>
      </w:r>
      <w:r w:rsidR="00381EF5">
        <w:t>to</w:t>
      </w:r>
      <w:r w:rsidR="00CF6B49">
        <w:t xml:space="preserve"> satisfy the but for test</w:t>
      </w:r>
      <w:r w:rsidR="008E748E">
        <w:t xml:space="preserve"> and consequently, there is a lessened chance of a claim against defendant 2</w:t>
      </w:r>
      <w:r w:rsidR="00CF6B49">
        <w:t xml:space="preserve">. It is </w:t>
      </w:r>
      <w:r w:rsidR="00CF6B49">
        <w:lastRenderedPageBreak/>
        <w:t xml:space="preserve">evident </w:t>
      </w:r>
      <w:r w:rsidR="007C7F33">
        <w:t xml:space="preserve">in the scenario that </w:t>
      </w:r>
      <w:r w:rsidR="000E155F">
        <w:t xml:space="preserve">had </w:t>
      </w:r>
      <w:r w:rsidR="007C7F33">
        <w:t xml:space="preserve">Elijah </w:t>
      </w:r>
      <w:r w:rsidR="005E790D">
        <w:t>not</w:t>
      </w:r>
      <w:r w:rsidR="00C955E5">
        <w:t xml:space="preserve"> </w:t>
      </w:r>
      <w:r w:rsidR="00364D9E">
        <w:t>been dismissed</w:t>
      </w:r>
      <w:r w:rsidR="005E790D">
        <w:t xml:space="preserve"> </w:t>
      </w:r>
      <w:r w:rsidR="00D471A6">
        <w:t xml:space="preserve">by </w:t>
      </w:r>
      <w:r w:rsidR="005E790D">
        <w:t xml:space="preserve">the hospital the </w:t>
      </w:r>
      <w:r w:rsidR="00C955E5">
        <w:t>injury</w:t>
      </w:r>
      <w:r w:rsidR="00E40665">
        <w:t xml:space="preserve"> would still have occurred</w:t>
      </w:r>
      <w:r w:rsidR="00364D9E">
        <w:t xml:space="preserve">, </w:t>
      </w:r>
      <w:r w:rsidR="00E866D1">
        <w:t>the outcome would</w:t>
      </w:r>
      <w:r w:rsidR="0089181F">
        <w:t xml:space="preserve"> not differ.</w:t>
      </w:r>
      <w:r w:rsidR="00C955E5">
        <w:t xml:space="preserve"> </w:t>
      </w:r>
      <w:r w:rsidR="00FA54AF">
        <w:t xml:space="preserve">This is evidenced further </w:t>
      </w:r>
      <w:r w:rsidR="00364D9E">
        <w:t xml:space="preserve">in </w:t>
      </w:r>
      <w:r w:rsidR="00F86CAA" w:rsidRPr="005542F8">
        <w:rPr>
          <w:color w:val="000000" w:themeColor="text1"/>
        </w:rPr>
        <w:t>Performance Cars Ltd v Abraham (1962)</w:t>
      </w:r>
      <w:r w:rsidR="00FD02D0" w:rsidRPr="005542F8">
        <w:rPr>
          <w:color w:val="000000" w:themeColor="text1"/>
        </w:rPr>
        <w:t xml:space="preserve"> </w:t>
      </w:r>
      <w:r w:rsidR="00FD02D0">
        <w:t xml:space="preserve">which </w:t>
      </w:r>
      <w:r w:rsidR="00DD7774">
        <w:t xml:space="preserve">established that in situations where successive events occur, the </w:t>
      </w:r>
      <w:r w:rsidR="00D4373A">
        <w:t xml:space="preserve">first event </w:t>
      </w:r>
      <w:r w:rsidR="00074B25">
        <w:t>is legally responsible.</w:t>
      </w:r>
      <w:r w:rsidR="003377D5">
        <w:t xml:space="preserve"> This is reinforced </w:t>
      </w:r>
      <w:r w:rsidR="00652200">
        <w:t>in the</w:t>
      </w:r>
      <w:r w:rsidR="00D2387F">
        <w:t xml:space="preserve"> case o</w:t>
      </w:r>
      <w:r w:rsidR="00687B42">
        <w:t>f</w:t>
      </w:r>
      <w:r w:rsidR="00F66A96">
        <w:t xml:space="preserve"> </w:t>
      </w:r>
      <w:r w:rsidR="00F66A96" w:rsidRPr="00FB7B64">
        <w:rPr>
          <w:color w:val="000000" w:themeColor="text1"/>
        </w:rPr>
        <w:t>Webb v Barclays Bank and Po</w:t>
      </w:r>
      <w:r w:rsidR="00931456" w:rsidRPr="00FB7B64">
        <w:rPr>
          <w:color w:val="000000" w:themeColor="text1"/>
        </w:rPr>
        <w:t>rtsmouth H</w:t>
      </w:r>
      <w:r w:rsidR="004F4507" w:rsidRPr="00FB7B64">
        <w:rPr>
          <w:color w:val="000000" w:themeColor="text1"/>
        </w:rPr>
        <w:t>ospitals Trust (2001</w:t>
      </w:r>
      <w:r w:rsidR="00311642" w:rsidRPr="00FB7B64">
        <w:rPr>
          <w:color w:val="000000" w:themeColor="text1"/>
        </w:rPr>
        <w:t xml:space="preserve">) </w:t>
      </w:r>
      <w:r w:rsidR="00311642">
        <w:rPr>
          <w:color w:val="000000" w:themeColor="text1"/>
        </w:rPr>
        <w:t>which</w:t>
      </w:r>
      <w:r w:rsidR="00296E67">
        <w:rPr>
          <w:color w:val="000000" w:themeColor="text1"/>
        </w:rPr>
        <w:t xml:space="preserve"> states that </w:t>
      </w:r>
      <w:r w:rsidR="00A35D4E">
        <w:rPr>
          <w:color w:val="000000" w:themeColor="text1"/>
        </w:rPr>
        <w:t xml:space="preserve">the original source of the </w:t>
      </w:r>
      <w:r w:rsidR="00BC69EA">
        <w:rPr>
          <w:color w:val="000000" w:themeColor="text1"/>
        </w:rPr>
        <w:t>i</w:t>
      </w:r>
      <w:r w:rsidR="00A35D4E">
        <w:rPr>
          <w:color w:val="000000" w:themeColor="text1"/>
        </w:rPr>
        <w:t xml:space="preserve">njury </w:t>
      </w:r>
      <w:r w:rsidR="00311642">
        <w:rPr>
          <w:color w:val="000000" w:themeColor="text1"/>
        </w:rPr>
        <w:t>must settle the compensation of the</w:t>
      </w:r>
      <w:r w:rsidR="00305E96">
        <w:rPr>
          <w:color w:val="000000" w:themeColor="text1"/>
        </w:rPr>
        <w:t xml:space="preserve"> cl</w:t>
      </w:r>
      <w:r w:rsidR="00311642">
        <w:rPr>
          <w:color w:val="000000" w:themeColor="text1"/>
        </w:rPr>
        <w:t xml:space="preserve">aimant </w:t>
      </w:r>
      <w:r w:rsidR="00A4012E">
        <w:rPr>
          <w:color w:val="000000" w:themeColor="text1"/>
        </w:rPr>
        <w:t>asides instances where the treatment was ‘grossly negligent’</w:t>
      </w:r>
      <w:r w:rsidR="00D532E2">
        <w:rPr>
          <w:color w:val="000000" w:themeColor="text1"/>
        </w:rPr>
        <w:t>. There is no reference to a differing outcome of the treatment provided from defendant 2</w:t>
      </w:r>
      <w:r w:rsidR="00334E83">
        <w:rPr>
          <w:color w:val="000000" w:themeColor="text1"/>
        </w:rPr>
        <w:t xml:space="preserve"> and no reference to any lasting injuries </w:t>
      </w:r>
      <w:r w:rsidR="007A1B67">
        <w:rPr>
          <w:color w:val="000000" w:themeColor="text1"/>
        </w:rPr>
        <w:t>explicitly</w:t>
      </w:r>
      <w:r w:rsidR="00334E83">
        <w:rPr>
          <w:color w:val="000000" w:themeColor="text1"/>
        </w:rPr>
        <w:t xml:space="preserve"> caused by the delay</w:t>
      </w:r>
      <w:r w:rsidR="007A1B67">
        <w:rPr>
          <w:color w:val="000000" w:themeColor="text1"/>
        </w:rPr>
        <w:t xml:space="preserve">. </w:t>
      </w:r>
      <w:r w:rsidR="002B5C5E">
        <w:rPr>
          <w:color w:val="000000" w:themeColor="text1"/>
        </w:rPr>
        <w:t xml:space="preserve">Therefore, it is reasonable to conclude that defendant 1 </w:t>
      </w:r>
      <w:r w:rsidR="00253D1B">
        <w:rPr>
          <w:color w:val="000000" w:themeColor="text1"/>
        </w:rPr>
        <w:t>did not act in gross negligence.</w:t>
      </w:r>
      <w:r w:rsidR="00F404DA">
        <w:rPr>
          <w:color w:val="000000" w:themeColor="text1"/>
        </w:rPr>
        <w:t xml:space="preserve"> </w:t>
      </w:r>
    </w:p>
    <w:p w14:paraId="3E2DF86B" w14:textId="049FE80F" w:rsidR="00B27FA3" w:rsidRDefault="00B27FA3">
      <w:pPr>
        <w:rPr>
          <w:color w:val="000000" w:themeColor="text1"/>
        </w:rPr>
      </w:pPr>
    </w:p>
    <w:p w14:paraId="059629FF" w14:textId="0A63D0DF" w:rsidR="00B27FA3" w:rsidRPr="000B785E" w:rsidRDefault="00B27FA3">
      <w:pPr>
        <w:rPr>
          <w:color w:val="000000" w:themeColor="text1"/>
        </w:rPr>
      </w:pPr>
      <w:r>
        <w:rPr>
          <w:color w:val="000000" w:themeColor="text1"/>
        </w:rPr>
        <w:t xml:space="preserve">In closing, </w:t>
      </w:r>
      <w:r w:rsidR="00630904">
        <w:rPr>
          <w:color w:val="000000" w:themeColor="text1"/>
        </w:rPr>
        <w:t xml:space="preserve">Elijah </w:t>
      </w:r>
      <w:r w:rsidR="00A60EB2">
        <w:rPr>
          <w:color w:val="000000" w:themeColor="text1"/>
        </w:rPr>
        <w:t xml:space="preserve">could potentially bring a claim against defendant 1. This is </w:t>
      </w:r>
      <w:r w:rsidR="003B646D">
        <w:rPr>
          <w:color w:val="000000" w:themeColor="text1"/>
        </w:rPr>
        <w:t>due to the p</w:t>
      </w:r>
      <w:r w:rsidR="00175473">
        <w:rPr>
          <w:color w:val="000000" w:themeColor="text1"/>
        </w:rPr>
        <w:t>otential</w:t>
      </w:r>
      <w:r w:rsidR="003B646D">
        <w:rPr>
          <w:color w:val="000000" w:themeColor="text1"/>
        </w:rPr>
        <w:t xml:space="preserve"> of multiple breaches o</w:t>
      </w:r>
      <w:r w:rsidR="000D5CA5">
        <w:rPr>
          <w:color w:val="000000" w:themeColor="text1"/>
        </w:rPr>
        <w:t xml:space="preserve">f statutory duty </w:t>
      </w:r>
      <w:r w:rsidR="005C2939">
        <w:rPr>
          <w:color w:val="000000" w:themeColor="text1"/>
        </w:rPr>
        <w:t>which could likely be supported by the common law precedence</w:t>
      </w:r>
      <w:r w:rsidR="000D5CA5">
        <w:rPr>
          <w:color w:val="000000" w:themeColor="text1"/>
        </w:rPr>
        <w:t xml:space="preserve">. </w:t>
      </w:r>
      <w:r w:rsidR="005C2939">
        <w:rPr>
          <w:color w:val="000000" w:themeColor="text1"/>
        </w:rPr>
        <w:t>However, in order to soundly establish the breaches demonstrated, further detail would be required and considere</w:t>
      </w:r>
      <w:r w:rsidR="00345837">
        <w:rPr>
          <w:color w:val="000000" w:themeColor="text1"/>
        </w:rPr>
        <w:t>d</w:t>
      </w:r>
      <w:r w:rsidR="005C2939">
        <w:rPr>
          <w:color w:val="000000" w:themeColor="text1"/>
        </w:rPr>
        <w:t xml:space="preserve">. Elements such as an employment contract, an industry of work and further detail on the warning in place could strengthen Elijah’s prospects of a case against defendant 1 by providing insight into potential breaches of </w:t>
      </w:r>
      <w:r w:rsidR="009050B0">
        <w:rPr>
          <w:color w:val="000000" w:themeColor="text1"/>
        </w:rPr>
        <w:t>defendant 1’s statutory obligation to provide a safe workplace for Elijah</w:t>
      </w:r>
      <w:r w:rsidR="005C2939">
        <w:rPr>
          <w:color w:val="000000" w:themeColor="text1"/>
        </w:rPr>
        <w:t>.</w:t>
      </w:r>
      <w:r w:rsidR="009050B0">
        <w:rPr>
          <w:color w:val="000000" w:themeColor="text1"/>
        </w:rPr>
        <w:t xml:space="preserve"> Elijah is unlikely to be able to bring a claim against defendant 2 due to a break in the chain of factual causation. Without establishing factual causation, Elijah’s claim prospects against defendant 2 are low.</w:t>
      </w:r>
      <w:r w:rsidR="008002ED">
        <w:rPr>
          <w:color w:val="000000" w:themeColor="text1"/>
        </w:rPr>
        <w:t xml:space="preserve"> Ultimately, the above has demonstrated that the litigation process in negligence is subjective and all aspects of a claim are considered</w:t>
      </w:r>
      <w:r w:rsidR="00345837">
        <w:rPr>
          <w:color w:val="000000" w:themeColor="text1"/>
        </w:rPr>
        <w:t>,</w:t>
      </w:r>
      <w:r w:rsidR="008002ED">
        <w:rPr>
          <w:color w:val="000000" w:themeColor="text1"/>
        </w:rPr>
        <w:t xml:space="preserve"> so the true prospects of a claim can only be weighted when all the relevant information is </w:t>
      </w:r>
      <w:r w:rsidR="00345837">
        <w:rPr>
          <w:color w:val="000000" w:themeColor="text1"/>
        </w:rPr>
        <w:t>available and considered.</w:t>
      </w:r>
    </w:p>
    <w:p w14:paraId="002D9836" w14:textId="7035033D" w:rsidR="00484937" w:rsidRDefault="00484937"/>
    <w:p w14:paraId="3CCA4122" w14:textId="77777777" w:rsidR="00484937" w:rsidRDefault="00484937"/>
    <w:p w14:paraId="176D0C25" w14:textId="0DE892C0" w:rsidR="00517E76" w:rsidRPr="00345837" w:rsidRDefault="00345837">
      <w:pPr>
        <w:rPr>
          <w:b/>
          <w:bCs/>
          <w:u w:val="single"/>
        </w:rPr>
      </w:pPr>
      <w:r w:rsidRPr="00345837">
        <w:rPr>
          <w:b/>
          <w:bCs/>
          <w:u w:val="single"/>
        </w:rPr>
        <w:t>Reference list</w:t>
      </w:r>
    </w:p>
    <w:p w14:paraId="3621F4FA" w14:textId="77777777" w:rsidR="00517E76" w:rsidRDefault="00517E76"/>
    <w:p w14:paraId="6025C184" w14:textId="5409D637" w:rsidR="00345837" w:rsidRDefault="00345837" w:rsidP="00345837">
      <w:pPr>
        <w:rPr>
          <w:color w:val="000000" w:themeColor="text1"/>
        </w:rPr>
      </w:pPr>
      <w:proofErr w:type="spellStart"/>
      <w:r w:rsidRPr="00161D5F">
        <w:rPr>
          <w:color w:val="000000" w:themeColor="text1"/>
        </w:rPr>
        <w:t>Anns</w:t>
      </w:r>
      <w:proofErr w:type="spellEnd"/>
      <w:r w:rsidRPr="00161D5F">
        <w:rPr>
          <w:color w:val="000000" w:themeColor="text1"/>
        </w:rPr>
        <w:t xml:space="preserve"> v Merton London Borough Council [1978] AC 728</w:t>
      </w:r>
    </w:p>
    <w:p w14:paraId="274455E8" w14:textId="77777777" w:rsidR="009566F8" w:rsidRDefault="009566F8" w:rsidP="009566F8">
      <w:pPr>
        <w:rPr>
          <w:color w:val="000000" w:themeColor="text1"/>
        </w:rPr>
      </w:pPr>
    </w:p>
    <w:p w14:paraId="7E832D9A" w14:textId="101596BC" w:rsidR="009566F8" w:rsidRDefault="009566F8" w:rsidP="009566F8">
      <w:pPr>
        <w:rPr>
          <w:color w:val="000000" w:themeColor="text1"/>
        </w:rPr>
      </w:pPr>
      <w:r w:rsidRPr="00E21637">
        <w:rPr>
          <w:color w:val="000000" w:themeColor="text1"/>
        </w:rPr>
        <w:t>Barrett v Ministry of Defence [1995] 1 WLR 1217</w:t>
      </w:r>
    </w:p>
    <w:p w14:paraId="588B6F67" w14:textId="77777777" w:rsidR="009566F8" w:rsidRDefault="009566F8" w:rsidP="009566F8">
      <w:pPr>
        <w:rPr>
          <w:color w:val="000000" w:themeColor="text1"/>
        </w:rPr>
      </w:pPr>
    </w:p>
    <w:p w14:paraId="7742168C" w14:textId="71B11E57" w:rsidR="009566F8" w:rsidRDefault="009566F8" w:rsidP="009566F8">
      <w:pPr>
        <w:rPr>
          <w:color w:val="000000" w:themeColor="text1"/>
        </w:rPr>
      </w:pPr>
      <w:r w:rsidRPr="002042E3">
        <w:rPr>
          <w:color w:val="000000" w:themeColor="text1"/>
        </w:rPr>
        <w:t>B</w:t>
      </w:r>
      <w:r>
        <w:rPr>
          <w:color w:val="000000" w:themeColor="text1"/>
        </w:rPr>
        <w:t>e</w:t>
      </w:r>
      <w:r w:rsidRPr="002042E3">
        <w:rPr>
          <w:color w:val="000000" w:themeColor="text1"/>
        </w:rPr>
        <w:t>x v Slough Metals [1973] 1 WLR 1358</w:t>
      </w:r>
    </w:p>
    <w:p w14:paraId="09795DF1" w14:textId="77777777" w:rsidR="009566F8" w:rsidRDefault="009566F8" w:rsidP="009566F8">
      <w:pPr>
        <w:rPr>
          <w:color w:val="000000" w:themeColor="text1"/>
        </w:rPr>
      </w:pPr>
    </w:p>
    <w:p w14:paraId="619AE69F" w14:textId="77777777" w:rsidR="00345837" w:rsidRDefault="00345837" w:rsidP="00345837">
      <w:r w:rsidRPr="00270770">
        <w:t>Blyth v Birmingham Waterworks Company 11 Ex Ch 781</w:t>
      </w:r>
    </w:p>
    <w:p w14:paraId="223E4BE3" w14:textId="216B508D" w:rsidR="008951CC" w:rsidRDefault="008951CC"/>
    <w:p w14:paraId="0971B366" w14:textId="05931966" w:rsidR="009566F8" w:rsidRDefault="00345837" w:rsidP="00345837">
      <w:r w:rsidRPr="005D1924">
        <w:t>Bourhill v Young [1943] AC 92</w:t>
      </w:r>
    </w:p>
    <w:p w14:paraId="7FBAAE5B" w14:textId="37BFDFB5" w:rsidR="009566F8" w:rsidRDefault="009566F8" w:rsidP="00345837"/>
    <w:p w14:paraId="32840BF3" w14:textId="77777777" w:rsidR="009566F8" w:rsidRDefault="009566F8" w:rsidP="009566F8">
      <w:pPr>
        <w:rPr>
          <w:color w:val="000000" w:themeColor="text1"/>
        </w:rPr>
      </w:pPr>
      <w:proofErr w:type="spellStart"/>
      <w:r w:rsidRPr="00071CF4">
        <w:rPr>
          <w:color w:val="000000" w:themeColor="text1"/>
        </w:rPr>
        <w:t>Breakingbury</w:t>
      </w:r>
      <w:proofErr w:type="spellEnd"/>
      <w:r w:rsidRPr="00071CF4">
        <w:rPr>
          <w:color w:val="000000" w:themeColor="text1"/>
        </w:rPr>
        <w:t xml:space="preserve"> v </w:t>
      </w:r>
      <w:proofErr w:type="spellStart"/>
      <w:r w:rsidRPr="00071CF4">
        <w:rPr>
          <w:color w:val="000000" w:themeColor="text1"/>
        </w:rPr>
        <w:t>Croad</w:t>
      </w:r>
      <w:proofErr w:type="spellEnd"/>
      <w:r w:rsidRPr="00071CF4">
        <w:rPr>
          <w:color w:val="000000" w:themeColor="text1"/>
        </w:rPr>
        <w:t xml:space="preserve"> (2021</w:t>
      </w:r>
      <w:r>
        <w:rPr>
          <w:color w:val="000000" w:themeColor="text1"/>
        </w:rPr>
        <w:t>) Cardiff Civil Justice and Family Justice Court, Available at:</w:t>
      </w:r>
      <w:r w:rsidRPr="00071CF4">
        <w:t xml:space="preserve"> </w:t>
      </w:r>
      <w:hyperlink r:id="rId4" w:history="1">
        <w:r w:rsidRPr="002E582E">
          <w:rPr>
            <w:rStyle w:val="Hyperlink"/>
          </w:rPr>
          <w:t>https://jfhlaw.co.uk/wp-content/uploads/2021/05/Breakingbury-v-Croad-2021.pdf</w:t>
        </w:r>
      </w:hyperlink>
      <w:r>
        <w:rPr>
          <w:color w:val="000000" w:themeColor="text1"/>
        </w:rPr>
        <w:t xml:space="preserve"> (Accessed: 20 January)</w:t>
      </w:r>
    </w:p>
    <w:p w14:paraId="0ECB2D3E" w14:textId="6D8E6413" w:rsidR="009566F8" w:rsidRDefault="009566F8" w:rsidP="009566F8">
      <w:pPr>
        <w:rPr>
          <w:color w:val="000000" w:themeColor="text1"/>
        </w:rPr>
      </w:pPr>
    </w:p>
    <w:p w14:paraId="0A24FC82" w14:textId="77777777" w:rsidR="009566F8" w:rsidRDefault="009566F8" w:rsidP="009566F8">
      <w:pPr>
        <w:rPr>
          <w:color w:val="000000" w:themeColor="text1"/>
        </w:rPr>
      </w:pPr>
      <w:proofErr w:type="spellStart"/>
      <w:r w:rsidRPr="008813D3">
        <w:rPr>
          <w:color w:val="000000" w:themeColor="text1"/>
        </w:rPr>
        <w:t>Bourne</w:t>
      </w:r>
      <w:proofErr w:type="spellEnd"/>
      <w:r w:rsidRPr="008813D3">
        <w:rPr>
          <w:color w:val="000000" w:themeColor="text1"/>
        </w:rPr>
        <w:t xml:space="preserve"> Leisure Ltd v Marsden (2009)</w:t>
      </w:r>
      <w:r>
        <w:rPr>
          <w:color w:val="000000" w:themeColor="text1"/>
        </w:rPr>
        <w:t xml:space="preserve"> Court of Appeal Civil Division, case 671, </w:t>
      </w:r>
      <w:proofErr w:type="spellStart"/>
      <w:r>
        <w:rPr>
          <w:color w:val="000000" w:themeColor="text1"/>
        </w:rPr>
        <w:t>Casemine</w:t>
      </w:r>
      <w:proofErr w:type="spellEnd"/>
      <w:r>
        <w:rPr>
          <w:color w:val="000000" w:themeColor="text1"/>
        </w:rPr>
        <w:t>, Available at:</w:t>
      </w:r>
      <w:r w:rsidRPr="008813D3">
        <w:t xml:space="preserve"> </w:t>
      </w:r>
      <w:hyperlink r:id="rId5" w:history="1">
        <w:r w:rsidRPr="002E582E">
          <w:rPr>
            <w:rStyle w:val="Hyperlink"/>
          </w:rPr>
          <w:t>https://www.casemine.com/judgement/uk/5a8ff7a960d03e7f57eb0fad</w:t>
        </w:r>
      </w:hyperlink>
      <w:r>
        <w:rPr>
          <w:color w:val="000000" w:themeColor="text1"/>
        </w:rPr>
        <w:t xml:space="preserve"> (Accessed: 23 January 2024)</w:t>
      </w:r>
    </w:p>
    <w:p w14:paraId="47F7BEF9" w14:textId="77777777" w:rsidR="009566F8" w:rsidRDefault="009566F8" w:rsidP="009566F8">
      <w:pPr>
        <w:rPr>
          <w:color w:val="000000" w:themeColor="text1"/>
        </w:rPr>
      </w:pPr>
    </w:p>
    <w:p w14:paraId="11205C7A" w14:textId="2BCA37D3" w:rsidR="00345837" w:rsidRDefault="00345837" w:rsidP="00345837">
      <w:r w:rsidRPr="00270770">
        <w:t>Caparo Industries Plc v Dickman [1990] UKHL 2</w:t>
      </w:r>
    </w:p>
    <w:p w14:paraId="07CC70B9" w14:textId="490D1F3B" w:rsidR="00E22A1D" w:rsidRDefault="00E22A1D" w:rsidP="00345837"/>
    <w:p w14:paraId="5638558F" w14:textId="77777777" w:rsidR="00E22A1D" w:rsidRDefault="00E22A1D" w:rsidP="00E22A1D">
      <w:pPr>
        <w:rPr>
          <w:color w:val="000000" w:themeColor="text1"/>
        </w:rPr>
      </w:pPr>
      <w:r w:rsidRPr="00E21637">
        <w:rPr>
          <w:color w:val="000000" w:themeColor="text1"/>
        </w:rPr>
        <w:t>Capps v Miller [1989] 1 WLR 839</w:t>
      </w:r>
    </w:p>
    <w:p w14:paraId="1773F2DA" w14:textId="77777777" w:rsidR="00E22A1D" w:rsidRDefault="00E22A1D" w:rsidP="00345837"/>
    <w:p w14:paraId="57CDC329" w14:textId="219B1AFF" w:rsidR="009566F8" w:rsidRDefault="009566F8" w:rsidP="009566F8">
      <w:pPr>
        <w:rPr>
          <w:color w:val="000000" w:themeColor="text1"/>
        </w:rPr>
      </w:pPr>
      <w:r w:rsidRPr="006E6A43">
        <w:rPr>
          <w:color w:val="000000" w:themeColor="text1"/>
        </w:rPr>
        <w:t xml:space="preserve">Costello v Chief Constable of Northumbria Police [1998] EWCA </w:t>
      </w:r>
      <w:proofErr w:type="spellStart"/>
      <w:r w:rsidRPr="006E6A43">
        <w:rPr>
          <w:color w:val="000000" w:themeColor="text1"/>
        </w:rPr>
        <w:t>Civ</w:t>
      </w:r>
      <w:proofErr w:type="spellEnd"/>
      <w:r w:rsidRPr="006E6A43">
        <w:rPr>
          <w:color w:val="000000" w:themeColor="text1"/>
        </w:rPr>
        <w:t xml:space="preserve"> 1898</w:t>
      </w:r>
    </w:p>
    <w:p w14:paraId="566774D6" w14:textId="59FA2B87" w:rsidR="009566F8" w:rsidRDefault="009566F8" w:rsidP="009566F8">
      <w:pPr>
        <w:rPr>
          <w:color w:val="000000" w:themeColor="text1"/>
        </w:rPr>
      </w:pPr>
    </w:p>
    <w:p w14:paraId="4E6F1314" w14:textId="77777777" w:rsidR="009566F8" w:rsidRDefault="009566F8" w:rsidP="009566F8">
      <w:pPr>
        <w:rPr>
          <w:color w:val="000000" w:themeColor="text1"/>
        </w:rPr>
      </w:pPr>
      <w:r w:rsidRPr="005542F8">
        <w:rPr>
          <w:color w:val="000000" w:themeColor="text1"/>
        </w:rPr>
        <w:t>Cork v Kirby MacLean Ltd [1952] 2 All ER 402</w:t>
      </w:r>
    </w:p>
    <w:p w14:paraId="6D64C88F" w14:textId="77777777" w:rsidR="009566F8" w:rsidRDefault="009566F8" w:rsidP="009566F8">
      <w:pPr>
        <w:rPr>
          <w:color w:val="000000" w:themeColor="text1"/>
        </w:rPr>
      </w:pPr>
    </w:p>
    <w:p w14:paraId="0DC00330" w14:textId="77777777" w:rsidR="00E22A1D" w:rsidRDefault="00E22A1D" w:rsidP="00E22A1D">
      <w:pPr>
        <w:rPr>
          <w:color w:val="000000" w:themeColor="text1"/>
        </w:rPr>
      </w:pPr>
      <w:r w:rsidRPr="005542F8">
        <w:rPr>
          <w:color w:val="000000" w:themeColor="text1"/>
        </w:rPr>
        <w:t>Cook v Square D Ltd [1992] ICR 262</w:t>
      </w:r>
    </w:p>
    <w:p w14:paraId="1A47055B" w14:textId="77777777" w:rsidR="00E22A1D" w:rsidRDefault="00E22A1D" w:rsidP="00E22A1D">
      <w:pPr>
        <w:rPr>
          <w:color w:val="000000" w:themeColor="text1"/>
        </w:rPr>
      </w:pPr>
    </w:p>
    <w:p w14:paraId="692EC11F" w14:textId="77777777" w:rsidR="009566F8" w:rsidRDefault="009566F8" w:rsidP="009566F8">
      <w:pPr>
        <w:rPr>
          <w:color w:val="000000" w:themeColor="text1"/>
        </w:rPr>
      </w:pPr>
      <w:r w:rsidRPr="00161D5F">
        <w:rPr>
          <w:color w:val="000000" w:themeColor="text1"/>
        </w:rPr>
        <w:t>Darnley (Appellant) v Croydon Health Services NHS Trust (Respondent)</w:t>
      </w:r>
      <w:r>
        <w:rPr>
          <w:color w:val="000000" w:themeColor="text1"/>
        </w:rPr>
        <w:t xml:space="preserve"> (2018) </w:t>
      </w:r>
      <w:proofErr w:type="gramStart"/>
      <w:r>
        <w:rPr>
          <w:color w:val="000000" w:themeColor="text1"/>
        </w:rPr>
        <w:t>United kingdom</w:t>
      </w:r>
      <w:proofErr w:type="gramEnd"/>
      <w:r>
        <w:rPr>
          <w:color w:val="000000" w:themeColor="text1"/>
        </w:rPr>
        <w:t xml:space="preserve"> Supreme Court, case 50, The Supreme Court. Available at: </w:t>
      </w:r>
      <w:hyperlink r:id="rId6" w:history="1">
        <w:r w:rsidRPr="002E582E">
          <w:rPr>
            <w:rStyle w:val="Hyperlink"/>
          </w:rPr>
          <w:t>https://www.supremecourt.uk/cases/uksc-2017-0070.html</w:t>
        </w:r>
      </w:hyperlink>
    </w:p>
    <w:p w14:paraId="41B3A372" w14:textId="77777777" w:rsidR="009566F8" w:rsidRDefault="009566F8" w:rsidP="009566F8">
      <w:pPr>
        <w:rPr>
          <w:color w:val="000000" w:themeColor="text1"/>
        </w:rPr>
      </w:pPr>
      <w:r>
        <w:rPr>
          <w:color w:val="000000" w:themeColor="text1"/>
        </w:rPr>
        <w:t>(Accessed January 24</w:t>
      </w:r>
      <w:proofErr w:type="gramStart"/>
      <w:r>
        <w:rPr>
          <w:color w:val="000000" w:themeColor="text1"/>
        </w:rPr>
        <w:t xml:space="preserve"> 2024</w:t>
      </w:r>
      <w:proofErr w:type="gramEnd"/>
      <w:r>
        <w:rPr>
          <w:color w:val="000000" w:themeColor="text1"/>
        </w:rPr>
        <w:t>)</w:t>
      </w:r>
    </w:p>
    <w:p w14:paraId="23921672" w14:textId="77777777" w:rsidR="009566F8" w:rsidRDefault="009566F8" w:rsidP="009566F8">
      <w:pPr>
        <w:rPr>
          <w:color w:val="000000" w:themeColor="text1"/>
        </w:rPr>
      </w:pPr>
    </w:p>
    <w:p w14:paraId="44ABB2E6" w14:textId="35F48763" w:rsidR="008951CC" w:rsidRDefault="0074629B">
      <w:r w:rsidRPr="0074629B">
        <w:t>Donoghue v Stevenson [1932] A.C. 562, [1932] UKHL 100, 1932 S.C. (H.L.) 31, 1932 S.L.T. 317, [1932] W.N. 139.</w:t>
      </w:r>
    </w:p>
    <w:p w14:paraId="5100A198" w14:textId="563A5CAC" w:rsidR="00270770" w:rsidRDefault="00270770"/>
    <w:p w14:paraId="23ECE350" w14:textId="77777777" w:rsidR="009566F8" w:rsidRDefault="009566F8" w:rsidP="009566F8">
      <w:pPr>
        <w:rPr>
          <w:color w:val="000000" w:themeColor="text1"/>
        </w:rPr>
      </w:pPr>
      <w:r w:rsidRPr="00E21637">
        <w:rPr>
          <w:color w:val="000000" w:themeColor="text1"/>
        </w:rPr>
        <w:t>Employers Liability (Defective Equipment) Act 1969</w:t>
      </w:r>
      <w:r>
        <w:rPr>
          <w:color w:val="000000" w:themeColor="text1"/>
        </w:rPr>
        <w:t>, c37 Available at:</w:t>
      </w:r>
      <w:r w:rsidRPr="0047165B">
        <w:t xml:space="preserve"> </w:t>
      </w:r>
      <w:hyperlink r:id="rId7" w:history="1">
        <w:r w:rsidRPr="002E582E">
          <w:rPr>
            <w:rStyle w:val="Hyperlink"/>
          </w:rPr>
          <w:t>https://www.legislation.gov.uk/ukpga/1969/37</w:t>
        </w:r>
      </w:hyperlink>
      <w:r>
        <w:rPr>
          <w:color w:val="000000" w:themeColor="text1"/>
        </w:rPr>
        <w:t xml:space="preserve"> (Accessed: 24 January 2024)</w:t>
      </w:r>
    </w:p>
    <w:p w14:paraId="51D94CA1" w14:textId="77777777" w:rsidR="009566F8" w:rsidRDefault="009566F8" w:rsidP="009566F8">
      <w:pPr>
        <w:rPr>
          <w:color w:val="000000" w:themeColor="text1"/>
        </w:rPr>
      </w:pPr>
    </w:p>
    <w:p w14:paraId="18021BB0" w14:textId="77777777" w:rsidR="009566F8" w:rsidRDefault="009566F8"/>
    <w:p w14:paraId="0F214C61" w14:textId="01EDB0E3" w:rsidR="00DA2C6A" w:rsidRDefault="00DA2C6A">
      <w:pPr>
        <w:rPr>
          <w:color w:val="000000" w:themeColor="text1"/>
        </w:rPr>
      </w:pPr>
      <w:r w:rsidRPr="00E005B5">
        <w:rPr>
          <w:color w:val="000000" w:themeColor="text1"/>
        </w:rPr>
        <w:lastRenderedPageBreak/>
        <w:t>Sumner v Colborn</w:t>
      </w:r>
      <w:r>
        <w:rPr>
          <w:color w:val="000000" w:themeColor="text1"/>
        </w:rPr>
        <w:t>e</w:t>
      </w:r>
      <w:r w:rsidRPr="00E005B5">
        <w:rPr>
          <w:color w:val="000000" w:themeColor="text1"/>
        </w:rPr>
        <w:t xml:space="preserve"> (2018)</w:t>
      </w:r>
      <w:r>
        <w:rPr>
          <w:color w:val="000000" w:themeColor="text1"/>
        </w:rPr>
        <w:t xml:space="preserve"> Court of Appeal Civil </w:t>
      </w:r>
      <w:r w:rsidR="006E6A43">
        <w:rPr>
          <w:color w:val="000000" w:themeColor="text1"/>
        </w:rPr>
        <w:t>Division</w:t>
      </w:r>
      <w:r>
        <w:rPr>
          <w:color w:val="000000" w:themeColor="text1"/>
        </w:rPr>
        <w:t xml:space="preserve">, case 1006, </w:t>
      </w:r>
      <w:proofErr w:type="spellStart"/>
      <w:r>
        <w:rPr>
          <w:color w:val="000000" w:themeColor="text1"/>
        </w:rPr>
        <w:t>Casemine</w:t>
      </w:r>
      <w:proofErr w:type="spellEnd"/>
      <w:r>
        <w:rPr>
          <w:color w:val="000000" w:themeColor="text1"/>
        </w:rPr>
        <w:t>. Available at:</w:t>
      </w:r>
      <w:r w:rsidRPr="00DA2C6A">
        <w:t xml:space="preserve"> </w:t>
      </w:r>
      <w:hyperlink r:id="rId8" w:history="1">
        <w:r w:rsidRPr="002E582E">
          <w:rPr>
            <w:rStyle w:val="Hyperlink"/>
          </w:rPr>
          <w:t>https://www.casemine.com/judgement/uk/5b2897ed2c94e06b9e19dd85</w:t>
        </w:r>
      </w:hyperlink>
      <w:r>
        <w:rPr>
          <w:color w:val="000000" w:themeColor="text1"/>
        </w:rPr>
        <w:t xml:space="preserve"> (Accessed: </w:t>
      </w:r>
      <w:r w:rsidR="006E6A43">
        <w:rPr>
          <w:color w:val="000000" w:themeColor="text1"/>
        </w:rPr>
        <w:t>January 25</w:t>
      </w:r>
      <w:proofErr w:type="gramStart"/>
      <w:r w:rsidR="006E6A43">
        <w:rPr>
          <w:color w:val="000000" w:themeColor="text1"/>
        </w:rPr>
        <w:t xml:space="preserve"> 2024</w:t>
      </w:r>
      <w:proofErr w:type="gramEnd"/>
      <w:r w:rsidR="006E6A43">
        <w:rPr>
          <w:color w:val="000000" w:themeColor="text1"/>
        </w:rPr>
        <w:t>)</w:t>
      </w:r>
    </w:p>
    <w:p w14:paraId="33C989CC" w14:textId="55B82B54" w:rsidR="006E6A43" w:rsidRDefault="006E6A43">
      <w:pPr>
        <w:rPr>
          <w:color w:val="000000" w:themeColor="text1"/>
        </w:rPr>
      </w:pPr>
    </w:p>
    <w:p w14:paraId="682D4044" w14:textId="080B2CB9" w:rsidR="00B315B8" w:rsidRDefault="00B315B8">
      <w:pPr>
        <w:rPr>
          <w:color w:val="000000" w:themeColor="text1"/>
        </w:rPr>
      </w:pPr>
      <w:r w:rsidRPr="00B315B8">
        <w:rPr>
          <w:color w:val="000000" w:themeColor="text1"/>
        </w:rPr>
        <w:t>Lister</w:t>
      </w:r>
      <w:r>
        <w:rPr>
          <w:color w:val="000000" w:themeColor="text1"/>
        </w:rPr>
        <w:t xml:space="preserve"> and Others (AP)</w:t>
      </w:r>
      <w:r w:rsidRPr="00B315B8">
        <w:rPr>
          <w:color w:val="000000" w:themeColor="text1"/>
        </w:rPr>
        <w:t xml:space="preserve"> v </w:t>
      </w:r>
      <w:proofErr w:type="spellStart"/>
      <w:r w:rsidRPr="00B315B8">
        <w:rPr>
          <w:color w:val="000000" w:themeColor="text1"/>
        </w:rPr>
        <w:t>Hesley</w:t>
      </w:r>
      <w:proofErr w:type="spellEnd"/>
      <w:r w:rsidRPr="00B315B8">
        <w:rPr>
          <w:color w:val="000000" w:themeColor="text1"/>
        </w:rPr>
        <w:t xml:space="preserve"> Hall L</w:t>
      </w:r>
      <w:r>
        <w:rPr>
          <w:color w:val="000000" w:themeColor="text1"/>
        </w:rPr>
        <w:t>imite</w:t>
      </w:r>
      <w:r w:rsidRPr="00B315B8">
        <w:rPr>
          <w:color w:val="000000" w:themeColor="text1"/>
        </w:rPr>
        <w:t>d (2002)</w:t>
      </w:r>
      <w:r>
        <w:rPr>
          <w:color w:val="000000" w:themeColor="text1"/>
        </w:rPr>
        <w:t xml:space="preserve"> House of Lords, case 22</w:t>
      </w:r>
      <w:r w:rsidR="00417C1E">
        <w:rPr>
          <w:color w:val="000000" w:themeColor="text1"/>
        </w:rPr>
        <w:t>, House of Lords Judgements. Available at:</w:t>
      </w:r>
      <w:r w:rsidR="00417C1E" w:rsidRPr="00417C1E">
        <w:t xml:space="preserve"> </w:t>
      </w:r>
      <w:hyperlink r:id="rId9" w:history="1">
        <w:r w:rsidR="00417C1E" w:rsidRPr="002E582E">
          <w:rPr>
            <w:rStyle w:val="Hyperlink"/>
          </w:rPr>
          <w:t>https://publications.parliament.uk/pa/ld200001/ldjudgmt/jd010503/lister-1.htm</w:t>
        </w:r>
      </w:hyperlink>
      <w:r w:rsidR="00417C1E">
        <w:rPr>
          <w:color w:val="000000" w:themeColor="text1"/>
        </w:rPr>
        <w:t xml:space="preserve"> (Accessed 20 January 2024)</w:t>
      </w:r>
    </w:p>
    <w:p w14:paraId="14F5399F" w14:textId="77777777" w:rsidR="00E22A1D" w:rsidRDefault="00E22A1D" w:rsidP="00E22A1D">
      <w:pPr>
        <w:rPr>
          <w:color w:val="000000" w:themeColor="text1"/>
        </w:rPr>
      </w:pPr>
    </w:p>
    <w:p w14:paraId="2427AD28" w14:textId="354436C0" w:rsidR="00E22A1D" w:rsidRDefault="00E22A1D" w:rsidP="00E22A1D">
      <w:pPr>
        <w:rPr>
          <w:color w:val="000000" w:themeColor="text1"/>
        </w:rPr>
      </w:pPr>
      <w:r w:rsidRPr="002C42CE">
        <w:rPr>
          <w:color w:val="000000" w:themeColor="text1"/>
        </w:rPr>
        <w:t>Latimer v AEC Ltd [1953] AC 643</w:t>
      </w:r>
    </w:p>
    <w:p w14:paraId="3908DD89" w14:textId="77777777" w:rsidR="00E22A1D" w:rsidRDefault="00E22A1D">
      <w:pPr>
        <w:rPr>
          <w:color w:val="000000" w:themeColor="text1"/>
        </w:rPr>
      </w:pPr>
    </w:p>
    <w:p w14:paraId="285D9A4F" w14:textId="29F57F66" w:rsidR="00E22A1D" w:rsidRDefault="00E22A1D" w:rsidP="00E22A1D">
      <w:pPr>
        <w:rPr>
          <w:color w:val="000000" w:themeColor="text1"/>
        </w:rPr>
      </w:pPr>
      <w:r w:rsidRPr="001F65C1">
        <w:rPr>
          <w:color w:val="000000" w:themeColor="text1"/>
        </w:rPr>
        <w:t>Mineral Workings (Offshore Installations) Act 1971</w:t>
      </w:r>
      <w:r>
        <w:rPr>
          <w:color w:val="000000" w:themeColor="text1"/>
        </w:rPr>
        <w:t>, c51 Available at:</w:t>
      </w:r>
      <w:r w:rsidRPr="00392C87">
        <w:t xml:space="preserve"> </w:t>
      </w:r>
      <w:hyperlink r:id="rId10" w:history="1">
        <w:r w:rsidRPr="002E582E">
          <w:rPr>
            <w:rStyle w:val="Hyperlink"/>
          </w:rPr>
          <w:t>https://www.legislation.gov.uk/ukpga/1971/61/contents</w:t>
        </w:r>
      </w:hyperlink>
      <w:r>
        <w:rPr>
          <w:color w:val="000000" w:themeColor="text1"/>
        </w:rPr>
        <w:t xml:space="preserve"> (Accessed: 20 January 2024)</w:t>
      </w:r>
    </w:p>
    <w:p w14:paraId="120C405E" w14:textId="17542A71" w:rsidR="009566F8" w:rsidRDefault="009566F8" w:rsidP="009566F8"/>
    <w:p w14:paraId="24A7319B" w14:textId="17D8F74E" w:rsidR="009566F8" w:rsidRDefault="009566F8" w:rsidP="009566F8">
      <w:r w:rsidRPr="00270770">
        <w:t>Nicholas H (Marc Rich &amp; Co v Bishops Rock Marine) (1995)</w:t>
      </w:r>
    </w:p>
    <w:p w14:paraId="799433CA" w14:textId="4593BF06" w:rsidR="00E22A1D" w:rsidRDefault="00E22A1D" w:rsidP="009566F8"/>
    <w:p w14:paraId="2F11CE2E" w14:textId="6A8A8CBF" w:rsidR="00E22A1D" w:rsidRDefault="00E22A1D" w:rsidP="00E22A1D">
      <w:pPr>
        <w:rPr>
          <w:color w:val="000000" w:themeColor="text1"/>
        </w:rPr>
      </w:pPr>
      <w:r w:rsidRPr="002042E3">
        <w:rPr>
          <w:color w:val="000000" w:themeColor="text1"/>
        </w:rPr>
        <w:t>Pape v Cumbria County Council [1992] 2 All ER 211</w:t>
      </w:r>
    </w:p>
    <w:p w14:paraId="60467CF0" w14:textId="0B33DF34" w:rsidR="00E22A1D" w:rsidRDefault="00E22A1D" w:rsidP="00E22A1D">
      <w:pPr>
        <w:rPr>
          <w:color w:val="000000" w:themeColor="text1"/>
        </w:rPr>
      </w:pPr>
    </w:p>
    <w:p w14:paraId="74EE4132" w14:textId="77777777" w:rsidR="00E22A1D" w:rsidRDefault="00E22A1D" w:rsidP="00E22A1D">
      <w:pPr>
        <w:rPr>
          <w:color w:val="000000" w:themeColor="text1"/>
        </w:rPr>
      </w:pPr>
      <w:r w:rsidRPr="0047165B">
        <w:rPr>
          <w:color w:val="000000" w:themeColor="text1"/>
        </w:rPr>
        <w:t>PRP Architects v Reid (2006)</w:t>
      </w:r>
      <w:r>
        <w:rPr>
          <w:color w:val="000000" w:themeColor="text1"/>
        </w:rPr>
        <w:t xml:space="preserve"> Court of Appeal Civil Division, case </w:t>
      </w:r>
      <w:r w:rsidRPr="002C42CE">
        <w:rPr>
          <w:color w:val="000000" w:themeColor="text1"/>
        </w:rPr>
        <w:t>1119</w:t>
      </w:r>
      <w:r>
        <w:rPr>
          <w:color w:val="000000" w:themeColor="text1"/>
        </w:rPr>
        <w:t xml:space="preserve"> Available at:</w:t>
      </w:r>
      <w:r w:rsidRPr="002C42CE">
        <w:t xml:space="preserve"> </w:t>
      </w:r>
      <w:hyperlink r:id="rId11" w:history="1">
        <w:r w:rsidRPr="002E582E">
          <w:rPr>
            <w:rStyle w:val="Hyperlink"/>
          </w:rPr>
          <w:t>https://www.bailii.org/ew/cases/EWCA/Civ/2006/1119.html</w:t>
        </w:r>
      </w:hyperlink>
      <w:r>
        <w:rPr>
          <w:color w:val="000000" w:themeColor="text1"/>
        </w:rPr>
        <w:t xml:space="preserve"> (Accessed: 23 January 2024)</w:t>
      </w:r>
    </w:p>
    <w:p w14:paraId="73481A9D" w14:textId="77777777" w:rsidR="00E22A1D" w:rsidRDefault="00E22A1D" w:rsidP="00E22A1D">
      <w:pPr>
        <w:rPr>
          <w:color w:val="000000" w:themeColor="text1"/>
        </w:rPr>
      </w:pPr>
    </w:p>
    <w:p w14:paraId="453A71A4" w14:textId="2B16E9D6" w:rsidR="00807256" w:rsidRDefault="00071CF4" w:rsidP="00071CF4">
      <w:pPr>
        <w:rPr>
          <w:color w:val="000000" w:themeColor="text1"/>
        </w:rPr>
      </w:pPr>
      <w:r w:rsidRPr="00071CF4">
        <w:rPr>
          <w:color w:val="000000" w:themeColor="text1"/>
        </w:rPr>
        <w:t>Ready Mixed Concrete Ltd v Minister of Pensions [1968] 2 QB 497</w:t>
      </w:r>
    </w:p>
    <w:p w14:paraId="29158A97" w14:textId="3A728026" w:rsidR="00E22A1D" w:rsidRDefault="00E22A1D" w:rsidP="00071CF4">
      <w:pPr>
        <w:rPr>
          <w:color w:val="000000" w:themeColor="text1"/>
        </w:rPr>
      </w:pPr>
    </w:p>
    <w:p w14:paraId="1B83664B" w14:textId="77777777" w:rsidR="00E22A1D" w:rsidRDefault="00E22A1D" w:rsidP="00E22A1D">
      <w:proofErr w:type="spellStart"/>
      <w:r w:rsidRPr="00270770">
        <w:t>Topp</w:t>
      </w:r>
      <w:proofErr w:type="spellEnd"/>
      <w:r w:rsidRPr="00270770">
        <w:t xml:space="preserve"> v London Country Bus (</w:t>
      </w:r>
      <w:proofErr w:type="gramStart"/>
      <w:r w:rsidRPr="00270770">
        <w:t>South West</w:t>
      </w:r>
      <w:proofErr w:type="gramEnd"/>
      <w:r w:rsidRPr="00270770">
        <w:t xml:space="preserve">) Ltd [1993] 1 WLR 976; [1993] EWCA </w:t>
      </w:r>
      <w:proofErr w:type="spellStart"/>
      <w:r w:rsidRPr="00270770">
        <w:t>Civ</w:t>
      </w:r>
      <w:proofErr w:type="spellEnd"/>
      <w:r w:rsidRPr="00270770">
        <w:t xml:space="preserve"> 15</w:t>
      </w:r>
    </w:p>
    <w:p w14:paraId="1AF7FDD3" w14:textId="77777777" w:rsidR="00E22A1D" w:rsidRDefault="00E22A1D" w:rsidP="00E22A1D"/>
    <w:p w14:paraId="4DFE7D23" w14:textId="7105B9BB" w:rsidR="00C92FAF" w:rsidRDefault="00C92FAF">
      <w:pPr>
        <w:rPr>
          <w:color w:val="000000" w:themeColor="text1"/>
        </w:rPr>
      </w:pPr>
      <w:r w:rsidRPr="00C92FAF">
        <w:rPr>
          <w:color w:val="000000" w:themeColor="text1"/>
        </w:rPr>
        <w:t>The Health and Safety at Work etc. Act 1974</w:t>
      </w:r>
      <w:r>
        <w:rPr>
          <w:color w:val="000000" w:themeColor="text1"/>
        </w:rPr>
        <w:t>, c37 Available at:</w:t>
      </w:r>
      <w:r w:rsidRPr="00C92FAF">
        <w:t xml:space="preserve"> </w:t>
      </w:r>
      <w:hyperlink r:id="rId12" w:history="1">
        <w:r w:rsidRPr="002E582E">
          <w:rPr>
            <w:rStyle w:val="Hyperlink"/>
          </w:rPr>
          <w:t>https://www.legislation.gov.uk/ukpga/1974/37/contents</w:t>
        </w:r>
      </w:hyperlink>
      <w:r>
        <w:rPr>
          <w:color w:val="000000" w:themeColor="text1"/>
        </w:rPr>
        <w:t xml:space="preserve"> (Accessed: 22 January 2024)</w:t>
      </w:r>
    </w:p>
    <w:p w14:paraId="03B341BC" w14:textId="0EED7416" w:rsidR="00C92FAF" w:rsidRDefault="00C92FAF">
      <w:pPr>
        <w:rPr>
          <w:color w:val="000000" w:themeColor="text1"/>
        </w:rPr>
      </w:pPr>
    </w:p>
    <w:p w14:paraId="1C29D05C" w14:textId="4E9573A5" w:rsidR="006E6A43" w:rsidRDefault="00C92FAF">
      <w:pPr>
        <w:rPr>
          <w:color w:val="000000" w:themeColor="text1"/>
        </w:rPr>
      </w:pPr>
      <w:r w:rsidRPr="00C92FAF">
        <w:rPr>
          <w:color w:val="000000" w:themeColor="text1"/>
        </w:rPr>
        <w:t>The Health and Safety at Work Regulations 1999</w:t>
      </w:r>
      <w:r>
        <w:rPr>
          <w:color w:val="000000" w:themeColor="text1"/>
        </w:rPr>
        <w:t>, no 3242</w:t>
      </w:r>
      <w:r w:rsidR="008813D3">
        <w:rPr>
          <w:color w:val="000000" w:themeColor="text1"/>
        </w:rPr>
        <w:t xml:space="preserve"> </w:t>
      </w:r>
      <w:r>
        <w:rPr>
          <w:color w:val="000000" w:themeColor="text1"/>
        </w:rPr>
        <w:t>Available at:</w:t>
      </w:r>
      <w:r w:rsidRPr="00C92FAF">
        <w:t xml:space="preserve"> </w:t>
      </w:r>
      <w:r>
        <w:rPr>
          <w:color w:val="000000" w:themeColor="text1"/>
        </w:rPr>
        <w:fldChar w:fldCharType="begin"/>
      </w:r>
      <w:r>
        <w:rPr>
          <w:color w:val="000000" w:themeColor="text1"/>
        </w:rPr>
        <w:instrText xml:space="preserve"> HYPERLINK "</w:instrText>
      </w:r>
      <w:r w:rsidRPr="00C92FAF">
        <w:rPr>
          <w:color w:val="000000" w:themeColor="text1"/>
        </w:rPr>
        <w:instrText>https://www.legislation.gov.uk/uksi/1999/3242/contents/made</w:instrText>
      </w:r>
      <w:r>
        <w:rPr>
          <w:color w:val="000000" w:themeColor="text1"/>
        </w:rPr>
        <w:instrText xml:space="preserve">" </w:instrText>
      </w:r>
      <w:r>
        <w:rPr>
          <w:color w:val="000000" w:themeColor="text1"/>
        </w:rPr>
        <w:fldChar w:fldCharType="separate"/>
      </w:r>
      <w:r w:rsidRPr="002E582E">
        <w:rPr>
          <w:rStyle w:val="Hyperlink"/>
        </w:rPr>
        <w:t>https://www.legislation.gov.uk/uksi/1999/3242/contents/made</w:t>
      </w:r>
      <w:r>
        <w:rPr>
          <w:color w:val="000000" w:themeColor="text1"/>
        </w:rPr>
        <w:fldChar w:fldCharType="end"/>
      </w:r>
      <w:r>
        <w:rPr>
          <w:color w:val="000000" w:themeColor="text1"/>
        </w:rPr>
        <w:t xml:space="preserve"> (Accessed: 22 January 2024)</w:t>
      </w:r>
    </w:p>
    <w:p w14:paraId="4572AED1" w14:textId="5BA96A9B" w:rsidR="00C92FAF" w:rsidRDefault="00C92FAF">
      <w:pPr>
        <w:rPr>
          <w:color w:val="000000" w:themeColor="text1"/>
        </w:rPr>
      </w:pPr>
    </w:p>
    <w:p w14:paraId="0D6B9E9E" w14:textId="53A91180" w:rsidR="00C92FAF" w:rsidRDefault="00C92FAF">
      <w:pPr>
        <w:rPr>
          <w:color w:val="000000" w:themeColor="text1"/>
        </w:rPr>
      </w:pPr>
      <w:r w:rsidRPr="00C92FAF">
        <w:rPr>
          <w:color w:val="000000" w:themeColor="text1"/>
        </w:rPr>
        <w:t>Wilsons &amp; Clyde Co Ltd v English [1938] AC 57</w:t>
      </w:r>
    </w:p>
    <w:p w14:paraId="18112E00" w14:textId="661E68F3" w:rsidR="002042E3" w:rsidRDefault="002042E3">
      <w:pPr>
        <w:rPr>
          <w:color w:val="000000" w:themeColor="text1"/>
        </w:rPr>
      </w:pPr>
    </w:p>
    <w:p w14:paraId="37AD1FE6" w14:textId="66F4178A" w:rsidR="002042E3" w:rsidRDefault="002042E3">
      <w:pPr>
        <w:rPr>
          <w:color w:val="000000" w:themeColor="text1"/>
        </w:rPr>
      </w:pPr>
      <w:r w:rsidRPr="002042E3">
        <w:rPr>
          <w:color w:val="000000" w:themeColor="text1"/>
        </w:rPr>
        <w:t>Speed v Thomas Swift &amp; Co Ltd [1943] 1 KB 557</w:t>
      </w:r>
    </w:p>
    <w:p w14:paraId="20C4E466" w14:textId="77777777" w:rsidR="00E22A1D" w:rsidRDefault="00E22A1D" w:rsidP="00E22A1D">
      <w:pPr>
        <w:rPr>
          <w:color w:val="000000" w:themeColor="text1"/>
        </w:rPr>
      </w:pPr>
    </w:p>
    <w:p w14:paraId="270219FD" w14:textId="5784E7FE" w:rsidR="00E22A1D" w:rsidRDefault="00E22A1D" w:rsidP="00E22A1D">
      <w:pPr>
        <w:rPr>
          <w:color w:val="000000" w:themeColor="text1"/>
        </w:rPr>
      </w:pPr>
      <w:r w:rsidRPr="00E005B5">
        <w:rPr>
          <w:color w:val="000000" w:themeColor="text1"/>
        </w:rPr>
        <w:t>Sumner v Colborn</w:t>
      </w:r>
      <w:r>
        <w:rPr>
          <w:color w:val="000000" w:themeColor="text1"/>
        </w:rPr>
        <w:t>e</w:t>
      </w:r>
      <w:r w:rsidRPr="00E005B5">
        <w:rPr>
          <w:color w:val="000000" w:themeColor="text1"/>
        </w:rPr>
        <w:t xml:space="preserve"> (2018)</w:t>
      </w:r>
      <w:r>
        <w:rPr>
          <w:color w:val="000000" w:themeColor="text1"/>
        </w:rPr>
        <w:t xml:space="preserve"> Court of Appeal Civil Division, case 1006, </w:t>
      </w:r>
      <w:proofErr w:type="spellStart"/>
      <w:r>
        <w:rPr>
          <w:color w:val="000000" w:themeColor="text1"/>
        </w:rPr>
        <w:t>Casemine</w:t>
      </w:r>
      <w:proofErr w:type="spellEnd"/>
      <w:r>
        <w:rPr>
          <w:color w:val="000000" w:themeColor="text1"/>
        </w:rPr>
        <w:t>. Available at:</w:t>
      </w:r>
      <w:r w:rsidRPr="00DA2C6A">
        <w:t xml:space="preserve"> </w:t>
      </w:r>
      <w:hyperlink r:id="rId13" w:history="1">
        <w:r w:rsidRPr="002E582E">
          <w:rPr>
            <w:rStyle w:val="Hyperlink"/>
          </w:rPr>
          <w:t>https://www.casemine.com/judgement/uk/5b2897ed2c94e06b9e19dd85</w:t>
        </w:r>
      </w:hyperlink>
      <w:r>
        <w:rPr>
          <w:color w:val="000000" w:themeColor="text1"/>
        </w:rPr>
        <w:t xml:space="preserve"> (Accessed: January 25</w:t>
      </w:r>
      <w:proofErr w:type="gramStart"/>
      <w:r>
        <w:rPr>
          <w:color w:val="000000" w:themeColor="text1"/>
        </w:rPr>
        <w:t xml:space="preserve"> 2024</w:t>
      </w:r>
      <w:proofErr w:type="gramEnd"/>
      <w:r>
        <w:rPr>
          <w:color w:val="000000" w:themeColor="text1"/>
        </w:rPr>
        <w:t>)</w:t>
      </w:r>
    </w:p>
    <w:p w14:paraId="16ABCA84" w14:textId="77777777" w:rsidR="00E22A1D" w:rsidRDefault="00E22A1D" w:rsidP="00E22A1D">
      <w:pPr>
        <w:rPr>
          <w:color w:val="000000" w:themeColor="text1"/>
        </w:rPr>
      </w:pPr>
    </w:p>
    <w:p w14:paraId="27E5BA31" w14:textId="6D60F46D" w:rsidR="002042E3" w:rsidRPr="002042E3" w:rsidRDefault="002042E3">
      <w:pPr>
        <w:rPr>
          <w:color w:val="000000" w:themeColor="text1"/>
        </w:rPr>
      </w:pPr>
      <w:r w:rsidRPr="002042E3">
        <w:rPr>
          <w:color w:val="000000" w:themeColor="text1"/>
        </w:rPr>
        <w:t>Health and Safety (Safety Signs and Signals) Regulations 1996</w:t>
      </w:r>
      <w:r>
        <w:rPr>
          <w:color w:val="000000" w:themeColor="text1"/>
        </w:rPr>
        <w:t>, no 341</w:t>
      </w:r>
      <w:r w:rsidR="008813D3">
        <w:rPr>
          <w:color w:val="000000" w:themeColor="text1"/>
        </w:rPr>
        <w:t xml:space="preserve"> Available at:</w:t>
      </w:r>
      <w:r w:rsidR="008813D3" w:rsidRPr="008813D3">
        <w:t xml:space="preserve"> </w:t>
      </w:r>
      <w:hyperlink r:id="rId14" w:history="1">
        <w:r w:rsidR="008813D3" w:rsidRPr="002E582E">
          <w:rPr>
            <w:rStyle w:val="Hyperlink"/>
          </w:rPr>
          <w:t>https://www.legislation.gov.uk/uksi/1996/341/contents/made</w:t>
        </w:r>
      </w:hyperlink>
      <w:r w:rsidR="008813D3">
        <w:rPr>
          <w:color w:val="000000" w:themeColor="text1"/>
        </w:rPr>
        <w:t xml:space="preserve"> (Accessed: 23 January 2024)</w:t>
      </w:r>
    </w:p>
    <w:p w14:paraId="0372475E" w14:textId="52288902" w:rsidR="002042E3" w:rsidRPr="008813D3" w:rsidRDefault="002042E3">
      <w:pPr>
        <w:rPr>
          <w:color w:val="000000" w:themeColor="text1"/>
        </w:rPr>
      </w:pPr>
    </w:p>
    <w:p w14:paraId="008A032A" w14:textId="62C633BC" w:rsidR="000B461D" w:rsidRDefault="000B461D">
      <w:pPr>
        <w:rPr>
          <w:color w:val="000000" w:themeColor="text1"/>
        </w:rPr>
      </w:pPr>
      <w:r w:rsidRPr="000B461D">
        <w:rPr>
          <w:color w:val="000000" w:themeColor="text1"/>
        </w:rPr>
        <w:t>Law Reform (Contributory Negligence) Act 1945</w:t>
      </w:r>
      <w:r>
        <w:rPr>
          <w:color w:val="000000" w:themeColor="text1"/>
        </w:rPr>
        <w:t>, c28</w:t>
      </w:r>
      <w:r w:rsidR="00E21637">
        <w:rPr>
          <w:color w:val="000000" w:themeColor="text1"/>
        </w:rPr>
        <w:t xml:space="preserve"> Available at:</w:t>
      </w:r>
      <w:r w:rsidR="00E21637" w:rsidRPr="00E21637">
        <w:t xml:space="preserve"> </w:t>
      </w:r>
      <w:hyperlink r:id="rId15" w:history="1">
        <w:r w:rsidR="00E21637" w:rsidRPr="002E582E">
          <w:rPr>
            <w:rStyle w:val="Hyperlink"/>
          </w:rPr>
          <w:t>https://www.legislation.gov.uk/ukpga/Geo6/8-9/28/contents</w:t>
        </w:r>
      </w:hyperlink>
      <w:r w:rsidR="00E21637">
        <w:rPr>
          <w:color w:val="000000" w:themeColor="text1"/>
        </w:rPr>
        <w:t xml:space="preserve"> (Accessed: 21 January 2024)</w:t>
      </w:r>
    </w:p>
    <w:p w14:paraId="68BBADE1" w14:textId="030A70E0" w:rsidR="00E21637" w:rsidRDefault="00E21637">
      <w:pPr>
        <w:rPr>
          <w:color w:val="000000" w:themeColor="text1"/>
        </w:rPr>
      </w:pPr>
    </w:p>
    <w:p w14:paraId="088DF9FF" w14:textId="77777777" w:rsidR="0047165B" w:rsidRPr="0047165B" w:rsidRDefault="0047165B" w:rsidP="0047165B">
      <w:pPr>
        <w:rPr>
          <w:color w:val="000000" w:themeColor="text1"/>
        </w:rPr>
      </w:pPr>
      <w:r w:rsidRPr="0047165B">
        <w:rPr>
          <w:color w:val="000000" w:themeColor="text1"/>
        </w:rPr>
        <w:t>Knowles v Liverpool County Council [1993] 1 WLR 1428</w:t>
      </w:r>
    </w:p>
    <w:p w14:paraId="70CE7301" w14:textId="1C6CF48E" w:rsidR="0047165B" w:rsidRDefault="0047165B">
      <w:pPr>
        <w:rPr>
          <w:color w:val="000000" w:themeColor="text1"/>
        </w:rPr>
      </w:pPr>
    </w:p>
    <w:p w14:paraId="04618EA4" w14:textId="77777777" w:rsidR="0047165B" w:rsidRPr="0047165B" w:rsidRDefault="0047165B" w:rsidP="0047165B">
      <w:pPr>
        <w:rPr>
          <w:color w:val="000000" w:themeColor="text1"/>
        </w:rPr>
      </w:pPr>
      <w:r w:rsidRPr="0047165B">
        <w:rPr>
          <w:color w:val="000000" w:themeColor="text1"/>
        </w:rPr>
        <w:t>Hudson v Ridge Manufacturing Co Ltd [1957] 2 QB 348</w:t>
      </w:r>
    </w:p>
    <w:p w14:paraId="1AEEBF0F" w14:textId="2DA9EDC4" w:rsidR="0047165B" w:rsidRDefault="0047165B">
      <w:pPr>
        <w:rPr>
          <w:color w:val="000000" w:themeColor="text1"/>
        </w:rPr>
      </w:pPr>
    </w:p>
    <w:p w14:paraId="701640D2" w14:textId="0E4C5576" w:rsidR="002C42CE" w:rsidRDefault="002C42CE">
      <w:pPr>
        <w:rPr>
          <w:color w:val="000000" w:themeColor="text1"/>
        </w:rPr>
      </w:pPr>
      <w:r w:rsidRPr="002C42CE">
        <w:rPr>
          <w:color w:val="000000" w:themeColor="text1"/>
        </w:rPr>
        <w:t>Latimer v AEC Ltd [1953] AC 643</w:t>
      </w:r>
    </w:p>
    <w:p w14:paraId="2177369B" w14:textId="7576AEA0" w:rsidR="00590B25" w:rsidRDefault="00590B25">
      <w:pPr>
        <w:rPr>
          <w:color w:val="000000" w:themeColor="text1"/>
        </w:rPr>
      </w:pPr>
    </w:p>
    <w:p w14:paraId="6516138E" w14:textId="607FFFA6" w:rsidR="00590B25" w:rsidRDefault="00590B25">
      <w:pPr>
        <w:rPr>
          <w:color w:val="000000" w:themeColor="text1"/>
        </w:rPr>
      </w:pPr>
      <w:r w:rsidRPr="00590B25">
        <w:rPr>
          <w:color w:val="000000" w:themeColor="text1"/>
        </w:rPr>
        <w:t>General Cleaning Contractors v Christmas [1954] AC 180</w:t>
      </w:r>
    </w:p>
    <w:p w14:paraId="297F775F" w14:textId="1A1338DA" w:rsidR="005542F8" w:rsidRDefault="005542F8">
      <w:pPr>
        <w:rPr>
          <w:color w:val="000000" w:themeColor="text1"/>
        </w:rPr>
      </w:pPr>
    </w:p>
    <w:p w14:paraId="6E78C5A7" w14:textId="737F3D8E" w:rsidR="005542F8" w:rsidRDefault="005542F8">
      <w:pPr>
        <w:rPr>
          <w:color w:val="000000" w:themeColor="text1"/>
        </w:rPr>
      </w:pPr>
      <w:r w:rsidRPr="005542F8">
        <w:rPr>
          <w:color w:val="000000" w:themeColor="text1"/>
        </w:rPr>
        <w:t>Cook v Square D Ltd [1992] ICR 262</w:t>
      </w:r>
    </w:p>
    <w:p w14:paraId="7369749B" w14:textId="2FAB609C" w:rsidR="005542F8" w:rsidRDefault="005542F8">
      <w:pPr>
        <w:rPr>
          <w:color w:val="000000" w:themeColor="text1"/>
        </w:rPr>
      </w:pPr>
    </w:p>
    <w:p w14:paraId="5CA615B7" w14:textId="54B47638" w:rsidR="005542F8" w:rsidRDefault="005542F8">
      <w:pPr>
        <w:rPr>
          <w:color w:val="000000" w:themeColor="text1"/>
        </w:rPr>
      </w:pPr>
      <w:r w:rsidRPr="005542F8">
        <w:rPr>
          <w:color w:val="000000" w:themeColor="text1"/>
        </w:rPr>
        <w:t>Johnstone v Bloomsbury Health Authority [1992] QB 333</w:t>
      </w:r>
    </w:p>
    <w:p w14:paraId="4726C444" w14:textId="77777777" w:rsidR="00E22A1D" w:rsidRDefault="00E22A1D">
      <w:pPr>
        <w:rPr>
          <w:color w:val="000000" w:themeColor="text1"/>
        </w:rPr>
      </w:pPr>
    </w:p>
    <w:p w14:paraId="3BF91C9A" w14:textId="24CC27FC" w:rsidR="005542F8" w:rsidRDefault="005542F8">
      <w:pPr>
        <w:rPr>
          <w:color w:val="000000" w:themeColor="text1"/>
        </w:rPr>
      </w:pPr>
      <w:r w:rsidRPr="005542F8">
        <w:rPr>
          <w:color w:val="000000" w:themeColor="text1"/>
        </w:rPr>
        <w:t>Performance Cars Ltd v Abraham [1962] 1 QB 33</w:t>
      </w:r>
    </w:p>
    <w:p w14:paraId="48237574" w14:textId="135DB45E" w:rsidR="009566F8" w:rsidRDefault="009566F8">
      <w:pPr>
        <w:rPr>
          <w:color w:val="000000" w:themeColor="text1"/>
        </w:rPr>
      </w:pPr>
    </w:p>
    <w:p w14:paraId="059BE5AB" w14:textId="77777777" w:rsidR="009566F8" w:rsidRDefault="009566F8">
      <w:pPr>
        <w:rPr>
          <w:color w:val="000000" w:themeColor="text1"/>
        </w:rPr>
      </w:pPr>
      <w:r w:rsidRPr="00AC1E07">
        <w:rPr>
          <w:color w:val="000000" w:themeColor="text1"/>
        </w:rPr>
        <w:t>Kickabout Productions Limited v The Commissioners for HMRC (2022)</w:t>
      </w:r>
      <w:r>
        <w:rPr>
          <w:color w:val="000000" w:themeColor="text1"/>
        </w:rPr>
        <w:t xml:space="preserve"> Court of Appeal Civil Division, case 502, </w:t>
      </w:r>
      <w:proofErr w:type="spellStart"/>
      <w:r>
        <w:rPr>
          <w:color w:val="000000" w:themeColor="text1"/>
        </w:rPr>
        <w:t>Casemine</w:t>
      </w:r>
      <w:proofErr w:type="spellEnd"/>
      <w:r>
        <w:rPr>
          <w:color w:val="000000" w:themeColor="text1"/>
        </w:rPr>
        <w:t>, Available at:</w:t>
      </w:r>
      <w:r w:rsidRPr="00AC1E07">
        <w:t xml:space="preserve"> </w:t>
      </w:r>
      <w:hyperlink r:id="rId16" w:history="1">
        <w:r w:rsidRPr="002E582E">
          <w:rPr>
            <w:rStyle w:val="Hyperlink"/>
          </w:rPr>
          <w:t>https://www.casemine.com/judgement/uk/626add56b50db9a8c72e5394</w:t>
        </w:r>
      </w:hyperlink>
      <w:r>
        <w:rPr>
          <w:color w:val="000000" w:themeColor="text1"/>
        </w:rPr>
        <w:t xml:space="preserve"> (Accessed: 20 January 2024)</w:t>
      </w:r>
    </w:p>
    <w:p w14:paraId="0BD96825" w14:textId="57A23A1A" w:rsidR="00FB7B64" w:rsidRDefault="00FB7B64">
      <w:pPr>
        <w:rPr>
          <w:color w:val="000000" w:themeColor="text1"/>
        </w:rPr>
      </w:pPr>
      <w:r w:rsidRPr="005542F8">
        <w:rPr>
          <w:color w:val="000000" w:themeColor="text1"/>
        </w:rPr>
        <w:lastRenderedPageBreak/>
        <w:t>Webb v Barclays Bank and Portsmouth Hospitals Trust (2001</w:t>
      </w:r>
      <w:r>
        <w:rPr>
          <w:color w:val="000000" w:themeColor="text1"/>
        </w:rPr>
        <w:t>) Court of Appeal Civil Division, case 1141 Available at:</w:t>
      </w:r>
      <w:r w:rsidRPr="00FB7B64">
        <w:t xml:space="preserve"> </w:t>
      </w:r>
      <w:hyperlink r:id="rId17" w:history="1">
        <w:r w:rsidRPr="002E582E">
          <w:rPr>
            <w:rStyle w:val="Hyperlink"/>
          </w:rPr>
          <w:t>https://www.bailii.org/ew/cases/EWCA/Civ/2001/1141.html</w:t>
        </w:r>
      </w:hyperlink>
      <w:r>
        <w:rPr>
          <w:color w:val="000000" w:themeColor="text1"/>
        </w:rPr>
        <w:t xml:space="preserve"> (Accessed: 25 January 2024)</w:t>
      </w:r>
    </w:p>
    <w:p w14:paraId="03F64674" w14:textId="77777777" w:rsidR="009566F8" w:rsidRDefault="009566F8" w:rsidP="009566F8">
      <w:pPr>
        <w:rPr>
          <w:color w:val="000000" w:themeColor="text1"/>
        </w:rPr>
      </w:pPr>
    </w:p>
    <w:p w14:paraId="74A5F5EB" w14:textId="48C68C04" w:rsidR="009566F8" w:rsidRDefault="009566F8" w:rsidP="009566F8">
      <w:pPr>
        <w:rPr>
          <w:color w:val="000000" w:themeColor="text1"/>
        </w:rPr>
      </w:pPr>
      <w:r w:rsidRPr="00AC1E07">
        <w:rPr>
          <w:color w:val="000000" w:themeColor="text1"/>
        </w:rPr>
        <w:t xml:space="preserve">X (Minors) v </w:t>
      </w:r>
      <w:proofErr w:type="spellStart"/>
      <w:r w:rsidRPr="00AC1E07">
        <w:rPr>
          <w:color w:val="000000" w:themeColor="text1"/>
        </w:rPr>
        <w:t>Bedforshire</w:t>
      </w:r>
      <w:proofErr w:type="spellEnd"/>
      <w:r w:rsidRPr="00AC1E07">
        <w:rPr>
          <w:color w:val="000000" w:themeColor="text1"/>
        </w:rPr>
        <w:t xml:space="preserve"> County Council [1995] 2 AC 633</w:t>
      </w:r>
    </w:p>
    <w:p w14:paraId="1DD83402" w14:textId="77777777" w:rsidR="009566F8" w:rsidRDefault="009566F8" w:rsidP="009566F8">
      <w:pPr>
        <w:rPr>
          <w:color w:val="000000" w:themeColor="text1"/>
        </w:rPr>
      </w:pPr>
    </w:p>
    <w:p w14:paraId="02182DE9" w14:textId="77777777" w:rsidR="009566F8" w:rsidRPr="00FB7B64" w:rsidRDefault="009566F8">
      <w:pPr>
        <w:rPr>
          <w:color w:val="000000" w:themeColor="text1"/>
        </w:rPr>
      </w:pPr>
    </w:p>
    <w:p w14:paraId="1DE0432D" w14:textId="3F7DDCFB" w:rsidR="005542F8" w:rsidRDefault="005542F8">
      <w:pPr>
        <w:rPr>
          <w:color w:val="000000" w:themeColor="text1"/>
        </w:rPr>
      </w:pPr>
    </w:p>
    <w:p w14:paraId="5A935589" w14:textId="77777777" w:rsidR="005542F8" w:rsidRDefault="005542F8">
      <w:pPr>
        <w:rPr>
          <w:color w:val="000000" w:themeColor="text1"/>
        </w:rPr>
      </w:pPr>
    </w:p>
    <w:p w14:paraId="5D80C372" w14:textId="2FD6DB89" w:rsidR="005542F8" w:rsidRDefault="005542F8">
      <w:pPr>
        <w:rPr>
          <w:color w:val="000000" w:themeColor="text1"/>
        </w:rPr>
      </w:pPr>
    </w:p>
    <w:p w14:paraId="60B0D88E" w14:textId="77777777" w:rsidR="005542F8" w:rsidRDefault="005542F8">
      <w:pPr>
        <w:rPr>
          <w:color w:val="000000" w:themeColor="text1"/>
        </w:rPr>
      </w:pPr>
    </w:p>
    <w:p w14:paraId="7753237B" w14:textId="4B850A89" w:rsidR="00590B25" w:rsidRDefault="00590B25">
      <w:pPr>
        <w:rPr>
          <w:color w:val="000000" w:themeColor="text1"/>
        </w:rPr>
      </w:pPr>
    </w:p>
    <w:p w14:paraId="49F2167D" w14:textId="77777777" w:rsidR="00590B25" w:rsidRDefault="00590B25">
      <w:pPr>
        <w:rPr>
          <w:color w:val="000000" w:themeColor="text1"/>
        </w:rPr>
      </w:pPr>
    </w:p>
    <w:p w14:paraId="39B4B120" w14:textId="77777777" w:rsidR="002C42CE" w:rsidRDefault="002C42CE">
      <w:pPr>
        <w:rPr>
          <w:color w:val="000000" w:themeColor="text1"/>
        </w:rPr>
      </w:pPr>
    </w:p>
    <w:p w14:paraId="17A297AD" w14:textId="53A19373" w:rsidR="002C42CE" w:rsidRDefault="002C42CE">
      <w:pPr>
        <w:rPr>
          <w:color w:val="000000" w:themeColor="text1"/>
        </w:rPr>
      </w:pPr>
    </w:p>
    <w:p w14:paraId="78A2872E" w14:textId="77777777" w:rsidR="002C42CE" w:rsidRPr="0047165B" w:rsidRDefault="002C42CE">
      <w:pPr>
        <w:rPr>
          <w:color w:val="000000" w:themeColor="text1"/>
        </w:rPr>
      </w:pPr>
    </w:p>
    <w:p w14:paraId="1F69E151" w14:textId="77777777" w:rsidR="0047165B" w:rsidRDefault="0047165B">
      <w:pPr>
        <w:rPr>
          <w:color w:val="000000" w:themeColor="text1"/>
        </w:rPr>
      </w:pPr>
    </w:p>
    <w:p w14:paraId="4472F526" w14:textId="77777777" w:rsidR="0047165B" w:rsidRPr="00E21637" w:rsidRDefault="0047165B">
      <w:pPr>
        <w:rPr>
          <w:color w:val="000000" w:themeColor="text1"/>
        </w:rPr>
      </w:pPr>
    </w:p>
    <w:p w14:paraId="5E7B760B" w14:textId="77777777" w:rsidR="00E21637" w:rsidRPr="00E21637" w:rsidRDefault="00E21637">
      <w:pPr>
        <w:rPr>
          <w:color w:val="000000" w:themeColor="text1"/>
        </w:rPr>
      </w:pPr>
    </w:p>
    <w:p w14:paraId="654E35A7" w14:textId="046D3EA8" w:rsidR="00E21637" w:rsidRDefault="00E21637">
      <w:pPr>
        <w:rPr>
          <w:color w:val="000000" w:themeColor="text1"/>
        </w:rPr>
      </w:pPr>
    </w:p>
    <w:p w14:paraId="6E097797" w14:textId="77777777" w:rsidR="00E21637" w:rsidRPr="008813D3" w:rsidRDefault="00E21637">
      <w:pPr>
        <w:rPr>
          <w:color w:val="000000" w:themeColor="text1"/>
        </w:rPr>
      </w:pPr>
    </w:p>
    <w:p w14:paraId="7B387EC5" w14:textId="41643E48" w:rsidR="002042E3" w:rsidRDefault="002042E3">
      <w:pPr>
        <w:rPr>
          <w:color w:val="000000" w:themeColor="text1"/>
        </w:rPr>
      </w:pPr>
    </w:p>
    <w:p w14:paraId="3DB62D98" w14:textId="77777777" w:rsidR="002042E3" w:rsidRDefault="002042E3">
      <w:pPr>
        <w:rPr>
          <w:color w:val="000000" w:themeColor="text1"/>
        </w:rPr>
      </w:pPr>
    </w:p>
    <w:p w14:paraId="4849BD39" w14:textId="30D27116" w:rsidR="00C92FAF" w:rsidRDefault="00C92FAF">
      <w:pPr>
        <w:rPr>
          <w:color w:val="000000" w:themeColor="text1"/>
        </w:rPr>
      </w:pPr>
    </w:p>
    <w:p w14:paraId="14492426" w14:textId="77777777" w:rsidR="00C92FAF" w:rsidRPr="00C92FAF" w:rsidRDefault="00C92FAF">
      <w:pPr>
        <w:rPr>
          <w:color w:val="000000" w:themeColor="text1"/>
        </w:rPr>
      </w:pPr>
    </w:p>
    <w:p w14:paraId="565DD1B5" w14:textId="5B58331A" w:rsidR="006E6A43" w:rsidRDefault="006E6A43">
      <w:pPr>
        <w:rPr>
          <w:color w:val="000000" w:themeColor="text1"/>
        </w:rPr>
      </w:pPr>
    </w:p>
    <w:p w14:paraId="61AD5A4A" w14:textId="77777777" w:rsidR="00C92FAF" w:rsidRDefault="00C92FAF">
      <w:pPr>
        <w:rPr>
          <w:color w:val="000000" w:themeColor="text1"/>
        </w:rPr>
      </w:pPr>
    </w:p>
    <w:p w14:paraId="6BAEAEB4" w14:textId="77777777" w:rsidR="006E6A43" w:rsidRDefault="006E6A43"/>
    <w:p w14:paraId="0FF79E94" w14:textId="298B3E07" w:rsidR="00270770" w:rsidRDefault="00270770"/>
    <w:p w14:paraId="5DD7629A" w14:textId="77777777" w:rsidR="00270770" w:rsidRDefault="00270770"/>
    <w:p w14:paraId="59BFF9F2" w14:textId="34E4B1D9" w:rsidR="00270770" w:rsidRDefault="00270770"/>
    <w:p w14:paraId="4487B21D" w14:textId="77777777" w:rsidR="00270770" w:rsidRDefault="00270770"/>
    <w:p w14:paraId="18A21FC2" w14:textId="1EA907E8" w:rsidR="00270770" w:rsidRDefault="00270770"/>
    <w:p w14:paraId="55A10C1F" w14:textId="77777777" w:rsidR="00270770" w:rsidRDefault="00270770"/>
    <w:p w14:paraId="171516DB" w14:textId="77777777" w:rsidR="0074629B" w:rsidRDefault="0074629B"/>
    <w:sectPr w:rsidR="0074629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69DD"/>
    <w:rsid w:val="00000498"/>
    <w:rsid w:val="00000F67"/>
    <w:rsid w:val="0000142A"/>
    <w:rsid w:val="0000270E"/>
    <w:rsid w:val="00002B35"/>
    <w:rsid w:val="0000424D"/>
    <w:rsid w:val="00005379"/>
    <w:rsid w:val="0000583A"/>
    <w:rsid w:val="00013933"/>
    <w:rsid w:val="00014D36"/>
    <w:rsid w:val="000150C4"/>
    <w:rsid w:val="000213FE"/>
    <w:rsid w:val="000215C5"/>
    <w:rsid w:val="00021F40"/>
    <w:rsid w:val="00023DAD"/>
    <w:rsid w:val="0002569F"/>
    <w:rsid w:val="00025C39"/>
    <w:rsid w:val="00027ECF"/>
    <w:rsid w:val="00032D73"/>
    <w:rsid w:val="0003308F"/>
    <w:rsid w:val="00033E2E"/>
    <w:rsid w:val="000359A4"/>
    <w:rsid w:val="000412BB"/>
    <w:rsid w:val="00046563"/>
    <w:rsid w:val="0005422B"/>
    <w:rsid w:val="0005685B"/>
    <w:rsid w:val="00057A03"/>
    <w:rsid w:val="00060A25"/>
    <w:rsid w:val="000636C8"/>
    <w:rsid w:val="0006382E"/>
    <w:rsid w:val="00063DE6"/>
    <w:rsid w:val="00071616"/>
    <w:rsid w:val="00071CF4"/>
    <w:rsid w:val="000722A3"/>
    <w:rsid w:val="00074B25"/>
    <w:rsid w:val="00077D6C"/>
    <w:rsid w:val="00087A90"/>
    <w:rsid w:val="000918B2"/>
    <w:rsid w:val="000934D9"/>
    <w:rsid w:val="00093DBC"/>
    <w:rsid w:val="00094002"/>
    <w:rsid w:val="000955C8"/>
    <w:rsid w:val="00097ECD"/>
    <w:rsid w:val="000A0F22"/>
    <w:rsid w:val="000A1A02"/>
    <w:rsid w:val="000A2852"/>
    <w:rsid w:val="000A59A0"/>
    <w:rsid w:val="000B0CE8"/>
    <w:rsid w:val="000B2429"/>
    <w:rsid w:val="000B29E1"/>
    <w:rsid w:val="000B3278"/>
    <w:rsid w:val="000B461D"/>
    <w:rsid w:val="000B5361"/>
    <w:rsid w:val="000B76FC"/>
    <w:rsid w:val="000B785E"/>
    <w:rsid w:val="000C46FB"/>
    <w:rsid w:val="000C5AAB"/>
    <w:rsid w:val="000D2BE7"/>
    <w:rsid w:val="000D5CA5"/>
    <w:rsid w:val="000D6443"/>
    <w:rsid w:val="000D7831"/>
    <w:rsid w:val="000E155F"/>
    <w:rsid w:val="000E1D0E"/>
    <w:rsid w:val="000E37DD"/>
    <w:rsid w:val="000E5101"/>
    <w:rsid w:val="000F0088"/>
    <w:rsid w:val="000F1ECA"/>
    <w:rsid w:val="000F77DD"/>
    <w:rsid w:val="001014FD"/>
    <w:rsid w:val="001033C6"/>
    <w:rsid w:val="001041BA"/>
    <w:rsid w:val="001053C3"/>
    <w:rsid w:val="0010711A"/>
    <w:rsid w:val="00113996"/>
    <w:rsid w:val="0011405C"/>
    <w:rsid w:val="001141FA"/>
    <w:rsid w:val="001146B4"/>
    <w:rsid w:val="00115547"/>
    <w:rsid w:val="00116955"/>
    <w:rsid w:val="00117759"/>
    <w:rsid w:val="001177CF"/>
    <w:rsid w:val="001224D6"/>
    <w:rsid w:val="0012760F"/>
    <w:rsid w:val="00130294"/>
    <w:rsid w:val="00130DE5"/>
    <w:rsid w:val="00134CBC"/>
    <w:rsid w:val="00136E44"/>
    <w:rsid w:val="001373D6"/>
    <w:rsid w:val="0014055D"/>
    <w:rsid w:val="00142488"/>
    <w:rsid w:val="00143844"/>
    <w:rsid w:val="00143852"/>
    <w:rsid w:val="0014390A"/>
    <w:rsid w:val="001444D6"/>
    <w:rsid w:val="00146507"/>
    <w:rsid w:val="00150914"/>
    <w:rsid w:val="00151A3F"/>
    <w:rsid w:val="00154A36"/>
    <w:rsid w:val="00154E25"/>
    <w:rsid w:val="00154FEA"/>
    <w:rsid w:val="00160044"/>
    <w:rsid w:val="00161D5F"/>
    <w:rsid w:val="00162AD6"/>
    <w:rsid w:val="00166644"/>
    <w:rsid w:val="00171384"/>
    <w:rsid w:val="00175473"/>
    <w:rsid w:val="00175A94"/>
    <w:rsid w:val="0018011E"/>
    <w:rsid w:val="00184216"/>
    <w:rsid w:val="001861CE"/>
    <w:rsid w:val="0018716E"/>
    <w:rsid w:val="00192977"/>
    <w:rsid w:val="001A066B"/>
    <w:rsid w:val="001A4AEB"/>
    <w:rsid w:val="001A53B1"/>
    <w:rsid w:val="001A698B"/>
    <w:rsid w:val="001B102A"/>
    <w:rsid w:val="001B4C00"/>
    <w:rsid w:val="001B6A9D"/>
    <w:rsid w:val="001C1ADA"/>
    <w:rsid w:val="001C3C5A"/>
    <w:rsid w:val="001C5FA9"/>
    <w:rsid w:val="001C7ADD"/>
    <w:rsid w:val="001D1748"/>
    <w:rsid w:val="001D359D"/>
    <w:rsid w:val="001D4E60"/>
    <w:rsid w:val="001E032A"/>
    <w:rsid w:val="001E1933"/>
    <w:rsid w:val="001E31F8"/>
    <w:rsid w:val="001E3BF3"/>
    <w:rsid w:val="001F021E"/>
    <w:rsid w:val="001F055D"/>
    <w:rsid w:val="001F52CC"/>
    <w:rsid w:val="001F5D5C"/>
    <w:rsid w:val="001F6320"/>
    <w:rsid w:val="001F65C1"/>
    <w:rsid w:val="001F69E4"/>
    <w:rsid w:val="002042E3"/>
    <w:rsid w:val="00205185"/>
    <w:rsid w:val="002057F1"/>
    <w:rsid w:val="00207944"/>
    <w:rsid w:val="00220458"/>
    <w:rsid w:val="00220C5F"/>
    <w:rsid w:val="00221131"/>
    <w:rsid w:val="00222C36"/>
    <w:rsid w:val="00231592"/>
    <w:rsid w:val="00237602"/>
    <w:rsid w:val="00237604"/>
    <w:rsid w:val="00246B01"/>
    <w:rsid w:val="00250259"/>
    <w:rsid w:val="00251E63"/>
    <w:rsid w:val="002525D9"/>
    <w:rsid w:val="00253D1B"/>
    <w:rsid w:val="0025642B"/>
    <w:rsid w:val="0025666A"/>
    <w:rsid w:val="00260852"/>
    <w:rsid w:val="00270770"/>
    <w:rsid w:val="0027193A"/>
    <w:rsid w:val="00272208"/>
    <w:rsid w:val="002749DB"/>
    <w:rsid w:val="00277FBB"/>
    <w:rsid w:val="00284F4A"/>
    <w:rsid w:val="0028604B"/>
    <w:rsid w:val="00286108"/>
    <w:rsid w:val="0028694F"/>
    <w:rsid w:val="00286E5E"/>
    <w:rsid w:val="00287666"/>
    <w:rsid w:val="002908F1"/>
    <w:rsid w:val="00290C5B"/>
    <w:rsid w:val="002916A7"/>
    <w:rsid w:val="00291F66"/>
    <w:rsid w:val="00292FDA"/>
    <w:rsid w:val="00294687"/>
    <w:rsid w:val="00296713"/>
    <w:rsid w:val="0029681A"/>
    <w:rsid w:val="00296E67"/>
    <w:rsid w:val="002973A5"/>
    <w:rsid w:val="002979D5"/>
    <w:rsid w:val="002A019B"/>
    <w:rsid w:val="002A2347"/>
    <w:rsid w:val="002A5394"/>
    <w:rsid w:val="002A5B4E"/>
    <w:rsid w:val="002A7C4C"/>
    <w:rsid w:val="002B5C5E"/>
    <w:rsid w:val="002B7BAE"/>
    <w:rsid w:val="002C1E8D"/>
    <w:rsid w:val="002C28DA"/>
    <w:rsid w:val="002C3329"/>
    <w:rsid w:val="002C3DC8"/>
    <w:rsid w:val="002C42CE"/>
    <w:rsid w:val="002C468B"/>
    <w:rsid w:val="002D0381"/>
    <w:rsid w:val="002D2F75"/>
    <w:rsid w:val="002D4997"/>
    <w:rsid w:val="002D4A33"/>
    <w:rsid w:val="002D62CC"/>
    <w:rsid w:val="002D70D5"/>
    <w:rsid w:val="002E25FD"/>
    <w:rsid w:val="002E5469"/>
    <w:rsid w:val="002F0C47"/>
    <w:rsid w:val="002F2147"/>
    <w:rsid w:val="002F3A6B"/>
    <w:rsid w:val="002F5954"/>
    <w:rsid w:val="003003F0"/>
    <w:rsid w:val="003050BF"/>
    <w:rsid w:val="00305E96"/>
    <w:rsid w:val="003109CA"/>
    <w:rsid w:val="0031109A"/>
    <w:rsid w:val="00311504"/>
    <w:rsid w:val="00311642"/>
    <w:rsid w:val="003141DF"/>
    <w:rsid w:val="00315310"/>
    <w:rsid w:val="00324DA1"/>
    <w:rsid w:val="00331020"/>
    <w:rsid w:val="003314E0"/>
    <w:rsid w:val="00333DED"/>
    <w:rsid w:val="003341FE"/>
    <w:rsid w:val="00334E83"/>
    <w:rsid w:val="003377D5"/>
    <w:rsid w:val="003405AC"/>
    <w:rsid w:val="003413EE"/>
    <w:rsid w:val="0034169B"/>
    <w:rsid w:val="0034434C"/>
    <w:rsid w:val="00345027"/>
    <w:rsid w:val="00345837"/>
    <w:rsid w:val="00345C3B"/>
    <w:rsid w:val="0035327E"/>
    <w:rsid w:val="0035518F"/>
    <w:rsid w:val="0036100E"/>
    <w:rsid w:val="00363FC6"/>
    <w:rsid w:val="00364D9E"/>
    <w:rsid w:val="003661A4"/>
    <w:rsid w:val="00366E81"/>
    <w:rsid w:val="00370EBA"/>
    <w:rsid w:val="00371DCE"/>
    <w:rsid w:val="00372CF4"/>
    <w:rsid w:val="00375A16"/>
    <w:rsid w:val="003770B4"/>
    <w:rsid w:val="003801EF"/>
    <w:rsid w:val="00381EF5"/>
    <w:rsid w:val="003821E9"/>
    <w:rsid w:val="00384BAD"/>
    <w:rsid w:val="003854A5"/>
    <w:rsid w:val="003859C4"/>
    <w:rsid w:val="00387A74"/>
    <w:rsid w:val="00392C87"/>
    <w:rsid w:val="00394837"/>
    <w:rsid w:val="00396023"/>
    <w:rsid w:val="003A0420"/>
    <w:rsid w:val="003A1D4B"/>
    <w:rsid w:val="003A3503"/>
    <w:rsid w:val="003A4ED7"/>
    <w:rsid w:val="003A62B8"/>
    <w:rsid w:val="003A68E8"/>
    <w:rsid w:val="003B1B29"/>
    <w:rsid w:val="003B2FDE"/>
    <w:rsid w:val="003B4FB9"/>
    <w:rsid w:val="003B646D"/>
    <w:rsid w:val="003B69BD"/>
    <w:rsid w:val="003B69DD"/>
    <w:rsid w:val="003B76BD"/>
    <w:rsid w:val="003C245B"/>
    <w:rsid w:val="003C3B7E"/>
    <w:rsid w:val="003C78AC"/>
    <w:rsid w:val="003D0390"/>
    <w:rsid w:val="003E0BF7"/>
    <w:rsid w:val="003E47C7"/>
    <w:rsid w:val="003E7911"/>
    <w:rsid w:val="003F04DE"/>
    <w:rsid w:val="003F1309"/>
    <w:rsid w:val="003F2E57"/>
    <w:rsid w:val="004028A6"/>
    <w:rsid w:val="00402B17"/>
    <w:rsid w:val="004033AB"/>
    <w:rsid w:val="004035D7"/>
    <w:rsid w:val="004040AD"/>
    <w:rsid w:val="00404CB9"/>
    <w:rsid w:val="00411B1B"/>
    <w:rsid w:val="004120AD"/>
    <w:rsid w:val="00416FF7"/>
    <w:rsid w:val="00417746"/>
    <w:rsid w:val="00417C1E"/>
    <w:rsid w:val="00421F8E"/>
    <w:rsid w:val="00427041"/>
    <w:rsid w:val="004342D8"/>
    <w:rsid w:val="00434B3E"/>
    <w:rsid w:val="00435107"/>
    <w:rsid w:val="0043661F"/>
    <w:rsid w:val="00437B98"/>
    <w:rsid w:val="00437C45"/>
    <w:rsid w:val="00450A6D"/>
    <w:rsid w:val="004512CD"/>
    <w:rsid w:val="00451ED5"/>
    <w:rsid w:val="00453EEC"/>
    <w:rsid w:val="00454731"/>
    <w:rsid w:val="00454736"/>
    <w:rsid w:val="00454B5C"/>
    <w:rsid w:val="00460DC2"/>
    <w:rsid w:val="00463077"/>
    <w:rsid w:val="004645FE"/>
    <w:rsid w:val="00465AB0"/>
    <w:rsid w:val="0047165B"/>
    <w:rsid w:val="0047607C"/>
    <w:rsid w:val="00476AD9"/>
    <w:rsid w:val="00483482"/>
    <w:rsid w:val="00484036"/>
    <w:rsid w:val="00484937"/>
    <w:rsid w:val="0049015C"/>
    <w:rsid w:val="00490E6E"/>
    <w:rsid w:val="004927B9"/>
    <w:rsid w:val="00493CD9"/>
    <w:rsid w:val="0049498D"/>
    <w:rsid w:val="00495AE2"/>
    <w:rsid w:val="004960B4"/>
    <w:rsid w:val="0049798E"/>
    <w:rsid w:val="00497F2D"/>
    <w:rsid w:val="004A0078"/>
    <w:rsid w:val="004A06FF"/>
    <w:rsid w:val="004A19A3"/>
    <w:rsid w:val="004A2B26"/>
    <w:rsid w:val="004A71B6"/>
    <w:rsid w:val="004A77B0"/>
    <w:rsid w:val="004B10D6"/>
    <w:rsid w:val="004B21AD"/>
    <w:rsid w:val="004B2368"/>
    <w:rsid w:val="004B3D0F"/>
    <w:rsid w:val="004B6ADE"/>
    <w:rsid w:val="004B6EBE"/>
    <w:rsid w:val="004B7CFE"/>
    <w:rsid w:val="004C2464"/>
    <w:rsid w:val="004C2A69"/>
    <w:rsid w:val="004D1B45"/>
    <w:rsid w:val="004D2037"/>
    <w:rsid w:val="004D3CF3"/>
    <w:rsid w:val="004D6A42"/>
    <w:rsid w:val="004E0C37"/>
    <w:rsid w:val="004E7629"/>
    <w:rsid w:val="004F019D"/>
    <w:rsid w:val="004F434E"/>
    <w:rsid w:val="004F4507"/>
    <w:rsid w:val="004F4603"/>
    <w:rsid w:val="005018FB"/>
    <w:rsid w:val="00502F93"/>
    <w:rsid w:val="005034ED"/>
    <w:rsid w:val="00503B61"/>
    <w:rsid w:val="00505A94"/>
    <w:rsid w:val="00505BE1"/>
    <w:rsid w:val="0050606B"/>
    <w:rsid w:val="00510B8D"/>
    <w:rsid w:val="00515AC5"/>
    <w:rsid w:val="0051612C"/>
    <w:rsid w:val="00517E76"/>
    <w:rsid w:val="0052025B"/>
    <w:rsid w:val="005256DE"/>
    <w:rsid w:val="005262C6"/>
    <w:rsid w:val="005264F5"/>
    <w:rsid w:val="005352BC"/>
    <w:rsid w:val="005360B7"/>
    <w:rsid w:val="00542667"/>
    <w:rsid w:val="0054374E"/>
    <w:rsid w:val="00543EDF"/>
    <w:rsid w:val="00543FEA"/>
    <w:rsid w:val="00546755"/>
    <w:rsid w:val="00546D0D"/>
    <w:rsid w:val="00547B59"/>
    <w:rsid w:val="00547CC3"/>
    <w:rsid w:val="005511F1"/>
    <w:rsid w:val="005529EE"/>
    <w:rsid w:val="00553BF6"/>
    <w:rsid w:val="005542F8"/>
    <w:rsid w:val="0055558F"/>
    <w:rsid w:val="00561729"/>
    <w:rsid w:val="00562091"/>
    <w:rsid w:val="0056237C"/>
    <w:rsid w:val="00565CD0"/>
    <w:rsid w:val="0056675F"/>
    <w:rsid w:val="00570DD5"/>
    <w:rsid w:val="00571618"/>
    <w:rsid w:val="00572D9F"/>
    <w:rsid w:val="005765A3"/>
    <w:rsid w:val="00582B72"/>
    <w:rsid w:val="005905CD"/>
    <w:rsid w:val="00590B25"/>
    <w:rsid w:val="005922AB"/>
    <w:rsid w:val="00592335"/>
    <w:rsid w:val="00594373"/>
    <w:rsid w:val="005A0F67"/>
    <w:rsid w:val="005A4192"/>
    <w:rsid w:val="005A45C4"/>
    <w:rsid w:val="005B183B"/>
    <w:rsid w:val="005B357A"/>
    <w:rsid w:val="005C2939"/>
    <w:rsid w:val="005C4E12"/>
    <w:rsid w:val="005D1924"/>
    <w:rsid w:val="005D4EFC"/>
    <w:rsid w:val="005D5ED8"/>
    <w:rsid w:val="005D63B9"/>
    <w:rsid w:val="005D7E25"/>
    <w:rsid w:val="005E156E"/>
    <w:rsid w:val="005E469D"/>
    <w:rsid w:val="005E5E88"/>
    <w:rsid w:val="005E6CD5"/>
    <w:rsid w:val="005E7880"/>
    <w:rsid w:val="005E790D"/>
    <w:rsid w:val="005F3215"/>
    <w:rsid w:val="005F413F"/>
    <w:rsid w:val="006012D0"/>
    <w:rsid w:val="006018D3"/>
    <w:rsid w:val="00601981"/>
    <w:rsid w:val="00602201"/>
    <w:rsid w:val="0060295F"/>
    <w:rsid w:val="00607866"/>
    <w:rsid w:val="006146F6"/>
    <w:rsid w:val="0061639F"/>
    <w:rsid w:val="006207C8"/>
    <w:rsid w:val="00620DB8"/>
    <w:rsid w:val="00621847"/>
    <w:rsid w:val="0063073B"/>
    <w:rsid w:val="00630904"/>
    <w:rsid w:val="006403C5"/>
    <w:rsid w:val="00645330"/>
    <w:rsid w:val="0064555C"/>
    <w:rsid w:val="00647141"/>
    <w:rsid w:val="00650C33"/>
    <w:rsid w:val="00652166"/>
    <w:rsid w:val="00652200"/>
    <w:rsid w:val="00654465"/>
    <w:rsid w:val="006564B3"/>
    <w:rsid w:val="00657517"/>
    <w:rsid w:val="00661A1B"/>
    <w:rsid w:val="00664DDE"/>
    <w:rsid w:val="00673164"/>
    <w:rsid w:val="00673D8F"/>
    <w:rsid w:val="006769C7"/>
    <w:rsid w:val="00676B4D"/>
    <w:rsid w:val="006840FF"/>
    <w:rsid w:val="00684107"/>
    <w:rsid w:val="006845AC"/>
    <w:rsid w:val="00685000"/>
    <w:rsid w:val="00687B42"/>
    <w:rsid w:val="006908C0"/>
    <w:rsid w:val="006913B6"/>
    <w:rsid w:val="0069200B"/>
    <w:rsid w:val="00692A21"/>
    <w:rsid w:val="0069678B"/>
    <w:rsid w:val="006A646C"/>
    <w:rsid w:val="006A7137"/>
    <w:rsid w:val="006B0AD5"/>
    <w:rsid w:val="006B25FE"/>
    <w:rsid w:val="006B3525"/>
    <w:rsid w:val="006B3A4B"/>
    <w:rsid w:val="006B467A"/>
    <w:rsid w:val="006B4698"/>
    <w:rsid w:val="006B46DC"/>
    <w:rsid w:val="006B4BC7"/>
    <w:rsid w:val="006C4269"/>
    <w:rsid w:val="006D067E"/>
    <w:rsid w:val="006D4851"/>
    <w:rsid w:val="006D4DE4"/>
    <w:rsid w:val="006E0900"/>
    <w:rsid w:val="006E2B16"/>
    <w:rsid w:val="006E5026"/>
    <w:rsid w:val="006E6A43"/>
    <w:rsid w:val="006E7A3C"/>
    <w:rsid w:val="006F1F81"/>
    <w:rsid w:val="006F5A0E"/>
    <w:rsid w:val="007004A5"/>
    <w:rsid w:val="00706F4C"/>
    <w:rsid w:val="0071063F"/>
    <w:rsid w:val="007106B6"/>
    <w:rsid w:val="00710D85"/>
    <w:rsid w:val="007126FE"/>
    <w:rsid w:val="007138C0"/>
    <w:rsid w:val="00713970"/>
    <w:rsid w:val="0071420D"/>
    <w:rsid w:val="00715305"/>
    <w:rsid w:val="00717820"/>
    <w:rsid w:val="007202D9"/>
    <w:rsid w:val="00723182"/>
    <w:rsid w:val="007328CE"/>
    <w:rsid w:val="007407AD"/>
    <w:rsid w:val="00745611"/>
    <w:rsid w:val="0074629B"/>
    <w:rsid w:val="00755617"/>
    <w:rsid w:val="00755DAE"/>
    <w:rsid w:val="00757541"/>
    <w:rsid w:val="00762A96"/>
    <w:rsid w:val="007671CA"/>
    <w:rsid w:val="0076791C"/>
    <w:rsid w:val="00773C92"/>
    <w:rsid w:val="00774266"/>
    <w:rsid w:val="00774372"/>
    <w:rsid w:val="007771EE"/>
    <w:rsid w:val="00781400"/>
    <w:rsid w:val="007839E4"/>
    <w:rsid w:val="00786EA5"/>
    <w:rsid w:val="007909D1"/>
    <w:rsid w:val="007913F2"/>
    <w:rsid w:val="0079214A"/>
    <w:rsid w:val="007933C1"/>
    <w:rsid w:val="007933C5"/>
    <w:rsid w:val="00797FC5"/>
    <w:rsid w:val="007A1B67"/>
    <w:rsid w:val="007A395A"/>
    <w:rsid w:val="007A4C81"/>
    <w:rsid w:val="007A5800"/>
    <w:rsid w:val="007B04AA"/>
    <w:rsid w:val="007B1B15"/>
    <w:rsid w:val="007B26F5"/>
    <w:rsid w:val="007B2902"/>
    <w:rsid w:val="007B5099"/>
    <w:rsid w:val="007C2395"/>
    <w:rsid w:val="007C33CB"/>
    <w:rsid w:val="007C4ACC"/>
    <w:rsid w:val="007C4CFE"/>
    <w:rsid w:val="007C527A"/>
    <w:rsid w:val="007C6935"/>
    <w:rsid w:val="007C721A"/>
    <w:rsid w:val="007C794E"/>
    <w:rsid w:val="007C79B0"/>
    <w:rsid w:val="007C7F33"/>
    <w:rsid w:val="007D5348"/>
    <w:rsid w:val="007E19A6"/>
    <w:rsid w:val="007E32C9"/>
    <w:rsid w:val="007E57BA"/>
    <w:rsid w:val="007E5D38"/>
    <w:rsid w:val="007E7005"/>
    <w:rsid w:val="007F278B"/>
    <w:rsid w:val="007F47B5"/>
    <w:rsid w:val="007F5856"/>
    <w:rsid w:val="008002ED"/>
    <w:rsid w:val="008006C0"/>
    <w:rsid w:val="00803762"/>
    <w:rsid w:val="0080379C"/>
    <w:rsid w:val="00807256"/>
    <w:rsid w:val="00807AC9"/>
    <w:rsid w:val="00810BA2"/>
    <w:rsid w:val="00813EB2"/>
    <w:rsid w:val="008157CF"/>
    <w:rsid w:val="008159D0"/>
    <w:rsid w:val="00815D04"/>
    <w:rsid w:val="00822752"/>
    <w:rsid w:val="008231D9"/>
    <w:rsid w:val="00824AA4"/>
    <w:rsid w:val="00824D60"/>
    <w:rsid w:val="0083265E"/>
    <w:rsid w:val="00833F1F"/>
    <w:rsid w:val="00833F45"/>
    <w:rsid w:val="008346F5"/>
    <w:rsid w:val="00836E18"/>
    <w:rsid w:val="00840555"/>
    <w:rsid w:val="00840DB8"/>
    <w:rsid w:val="00845525"/>
    <w:rsid w:val="00846EE6"/>
    <w:rsid w:val="008473C7"/>
    <w:rsid w:val="00847A08"/>
    <w:rsid w:val="00847DD2"/>
    <w:rsid w:val="00850496"/>
    <w:rsid w:val="00854C39"/>
    <w:rsid w:val="00860447"/>
    <w:rsid w:val="00861342"/>
    <w:rsid w:val="00863C36"/>
    <w:rsid w:val="00870BBA"/>
    <w:rsid w:val="00873717"/>
    <w:rsid w:val="008813D3"/>
    <w:rsid w:val="00882721"/>
    <w:rsid w:val="00884EFA"/>
    <w:rsid w:val="0089181F"/>
    <w:rsid w:val="0089202E"/>
    <w:rsid w:val="008951CC"/>
    <w:rsid w:val="008A3EC7"/>
    <w:rsid w:val="008A5710"/>
    <w:rsid w:val="008A6A7B"/>
    <w:rsid w:val="008A7E80"/>
    <w:rsid w:val="008B01A8"/>
    <w:rsid w:val="008B1674"/>
    <w:rsid w:val="008B38EA"/>
    <w:rsid w:val="008B46C8"/>
    <w:rsid w:val="008B60C4"/>
    <w:rsid w:val="008B696C"/>
    <w:rsid w:val="008C036A"/>
    <w:rsid w:val="008C0FAB"/>
    <w:rsid w:val="008C3803"/>
    <w:rsid w:val="008C54CE"/>
    <w:rsid w:val="008D1B48"/>
    <w:rsid w:val="008D352B"/>
    <w:rsid w:val="008D3EBA"/>
    <w:rsid w:val="008D4397"/>
    <w:rsid w:val="008E11BD"/>
    <w:rsid w:val="008E5CD2"/>
    <w:rsid w:val="008E748E"/>
    <w:rsid w:val="008F43AF"/>
    <w:rsid w:val="008F5138"/>
    <w:rsid w:val="008F6482"/>
    <w:rsid w:val="00901DCF"/>
    <w:rsid w:val="0090364A"/>
    <w:rsid w:val="009050B0"/>
    <w:rsid w:val="009058CC"/>
    <w:rsid w:val="00907B31"/>
    <w:rsid w:val="00907DBD"/>
    <w:rsid w:val="00912C20"/>
    <w:rsid w:val="00912CAB"/>
    <w:rsid w:val="009140F6"/>
    <w:rsid w:val="009153A1"/>
    <w:rsid w:val="00916F93"/>
    <w:rsid w:val="00917388"/>
    <w:rsid w:val="0092094E"/>
    <w:rsid w:val="00922EE7"/>
    <w:rsid w:val="00923AAA"/>
    <w:rsid w:val="009251BC"/>
    <w:rsid w:val="00925998"/>
    <w:rsid w:val="009306D3"/>
    <w:rsid w:val="00931456"/>
    <w:rsid w:val="00931DFF"/>
    <w:rsid w:val="009322B0"/>
    <w:rsid w:val="009324BD"/>
    <w:rsid w:val="00935ACC"/>
    <w:rsid w:val="00937D54"/>
    <w:rsid w:val="00943BAA"/>
    <w:rsid w:val="009455FA"/>
    <w:rsid w:val="0094721D"/>
    <w:rsid w:val="00950B1A"/>
    <w:rsid w:val="0095183B"/>
    <w:rsid w:val="00951858"/>
    <w:rsid w:val="009566F8"/>
    <w:rsid w:val="00963D03"/>
    <w:rsid w:val="0096438C"/>
    <w:rsid w:val="009662A2"/>
    <w:rsid w:val="009718FE"/>
    <w:rsid w:val="00974D19"/>
    <w:rsid w:val="0097629E"/>
    <w:rsid w:val="0097667C"/>
    <w:rsid w:val="009842BA"/>
    <w:rsid w:val="00984304"/>
    <w:rsid w:val="009854E9"/>
    <w:rsid w:val="009A69B0"/>
    <w:rsid w:val="009B28B0"/>
    <w:rsid w:val="009B2F24"/>
    <w:rsid w:val="009B43B9"/>
    <w:rsid w:val="009C0C39"/>
    <w:rsid w:val="009C0D7E"/>
    <w:rsid w:val="009C1B9C"/>
    <w:rsid w:val="009C2826"/>
    <w:rsid w:val="009C5306"/>
    <w:rsid w:val="009C53C4"/>
    <w:rsid w:val="009D14FC"/>
    <w:rsid w:val="009D1561"/>
    <w:rsid w:val="009D47D2"/>
    <w:rsid w:val="009D64B9"/>
    <w:rsid w:val="009E57FC"/>
    <w:rsid w:val="009E586B"/>
    <w:rsid w:val="009F2BC7"/>
    <w:rsid w:val="009F323A"/>
    <w:rsid w:val="009F780E"/>
    <w:rsid w:val="00A00C12"/>
    <w:rsid w:val="00A01BA2"/>
    <w:rsid w:val="00A107A5"/>
    <w:rsid w:val="00A1199F"/>
    <w:rsid w:val="00A1319C"/>
    <w:rsid w:val="00A143C8"/>
    <w:rsid w:val="00A14A86"/>
    <w:rsid w:val="00A16690"/>
    <w:rsid w:val="00A2001E"/>
    <w:rsid w:val="00A30412"/>
    <w:rsid w:val="00A35757"/>
    <w:rsid w:val="00A35D4E"/>
    <w:rsid w:val="00A36366"/>
    <w:rsid w:val="00A4012E"/>
    <w:rsid w:val="00A44448"/>
    <w:rsid w:val="00A444CF"/>
    <w:rsid w:val="00A44913"/>
    <w:rsid w:val="00A450A2"/>
    <w:rsid w:val="00A47605"/>
    <w:rsid w:val="00A51B1A"/>
    <w:rsid w:val="00A54BB9"/>
    <w:rsid w:val="00A5534B"/>
    <w:rsid w:val="00A60EB2"/>
    <w:rsid w:val="00A635BE"/>
    <w:rsid w:val="00A66466"/>
    <w:rsid w:val="00A6756A"/>
    <w:rsid w:val="00A725E6"/>
    <w:rsid w:val="00A810BA"/>
    <w:rsid w:val="00A83A8D"/>
    <w:rsid w:val="00A94C6D"/>
    <w:rsid w:val="00A95DFD"/>
    <w:rsid w:val="00AA0AA2"/>
    <w:rsid w:val="00AA2AF2"/>
    <w:rsid w:val="00AA5B7B"/>
    <w:rsid w:val="00AA6827"/>
    <w:rsid w:val="00AA6DCE"/>
    <w:rsid w:val="00AB1C70"/>
    <w:rsid w:val="00AB7481"/>
    <w:rsid w:val="00AC0202"/>
    <w:rsid w:val="00AC1E07"/>
    <w:rsid w:val="00AC7923"/>
    <w:rsid w:val="00AD048F"/>
    <w:rsid w:val="00AD3739"/>
    <w:rsid w:val="00AD3F5E"/>
    <w:rsid w:val="00AD4277"/>
    <w:rsid w:val="00AD4608"/>
    <w:rsid w:val="00AD607E"/>
    <w:rsid w:val="00AD615E"/>
    <w:rsid w:val="00AD64DB"/>
    <w:rsid w:val="00AD696F"/>
    <w:rsid w:val="00AE17BF"/>
    <w:rsid w:val="00AF4A6E"/>
    <w:rsid w:val="00B00F01"/>
    <w:rsid w:val="00B044F9"/>
    <w:rsid w:val="00B04CF7"/>
    <w:rsid w:val="00B11283"/>
    <w:rsid w:val="00B13097"/>
    <w:rsid w:val="00B130DD"/>
    <w:rsid w:val="00B15DB7"/>
    <w:rsid w:val="00B23626"/>
    <w:rsid w:val="00B27FA3"/>
    <w:rsid w:val="00B315B8"/>
    <w:rsid w:val="00B32D15"/>
    <w:rsid w:val="00B347C8"/>
    <w:rsid w:val="00B3604C"/>
    <w:rsid w:val="00B3716E"/>
    <w:rsid w:val="00B418AD"/>
    <w:rsid w:val="00B42680"/>
    <w:rsid w:val="00B42B71"/>
    <w:rsid w:val="00B44394"/>
    <w:rsid w:val="00B44591"/>
    <w:rsid w:val="00B46FC0"/>
    <w:rsid w:val="00B475A5"/>
    <w:rsid w:val="00B47D46"/>
    <w:rsid w:val="00B47DCE"/>
    <w:rsid w:val="00B54E26"/>
    <w:rsid w:val="00B569AA"/>
    <w:rsid w:val="00B6051D"/>
    <w:rsid w:val="00B63261"/>
    <w:rsid w:val="00B66FD2"/>
    <w:rsid w:val="00B67531"/>
    <w:rsid w:val="00B84578"/>
    <w:rsid w:val="00B84E1B"/>
    <w:rsid w:val="00B85B79"/>
    <w:rsid w:val="00B90858"/>
    <w:rsid w:val="00B9240D"/>
    <w:rsid w:val="00B929FE"/>
    <w:rsid w:val="00B941AA"/>
    <w:rsid w:val="00B972AD"/>
    <w:rsid w:val="00BA0E6B"/>
    <w:rsid w:val="00BA2181"/>
    <w:rsid w:val="00BA522D"/>
    <w:rsid w:val="00BA6A28"/>
    <w:rsid w:val="00BA6C80"/>
    <w:rsid w:val="00BA791A"/>
    <w:rsid w:val="00BB08A8"/>
    <w:rsid w:val="00BB0A8C"/>
    <w:rsid w:val="00BB3F50"/>
    <w:rsid w:val="00BC1503"/>
    <w:rsid w:val="00BC2850"/>
    <w:rsid w:val="00BC4D84"/>
    <w:rsid w:val="00BC660E"/>
    <w:rsid w:val="00BC69EA"/>
    <w:rsid w:val="00BD787D"/>
    <w:rsid w:val="00BE0ACD"/>
    <w:rsid w:val="00BE1A4A"/>
    <w:rsid w:val="00BE214A"/>
    <w:rsid w:val="00BE34A3"/>
    <w:rsid w:val="00BE679D"/>
    <w:rsid w:val="00BE6C9C"/>
    <w:rsid w:val="00BE7029"/>
    <w:rsid w:val="00BF0DD5"/>
    <w:rsid w:val="00BF0E67"/>
    <w:rsid w:val="00BF1AA3"/>
    <w:rsid w:val="00BF409C"/>
    <w:rsid w:val="00BF4F1A"/>
    <w:rsid w:val="00C027D1"/>
    <w:rsid w:val="00C02E29"/>
    <w:rsid w:val="00C0306C"/>
    <w:rsid w:val="00C051E8"/>
    <w:rsid w:val="00C06E4C"/>
    <w:rsid w:val="00C07BAC"/>
    <w:rsid w:val="00C132A7"/>
    <w:rsid w:val="00C15741"/>
    <w:rsid w:val="00C16A39"/>
    <w:rsid w:val="00C20B82"/>
    <w:rsid w:val="00C21454"/>
    <w:rsid w:val="00C31A58"/>
    <w:rsid w:val="00C332BE"/>
    <w:rsid w:val="00C33EA4"/>
    <w:rsid w:val="00C34309"/>
    <w:rsid w:val="00C3497A"/>
    <w:rsid w:val="00C349AD"/>
    <w:rsid w:val="00C3646E"/>
    <w:rsid w:val="00C4305B"/>
    <w:rsid w:val="00C466AA"/>
    <w:rsid w:val="00C468E8"/>
    <w:rsid w:val="00C509BE"/>
    <w:rsid w:val="00C517E7"/>
    <w:rsid w:val="00C519D8"/>
    <w:rsid w:val="00C5440B"/>
    <w:rsid w:val="00C550E9"/>
    <w:rsid w:val="00C5511B"/>
    <w:rsid w:val="00C55DA0"/>
    <w:rsid w:val="00C61019"/>
    <w:rsid w:val="00C61503"/>
    <w:rsid w:val="00C74247"/>
    <w:rsid w:val="00C76609"/>
    <w:rsid w:val="00C76CC3"/>
    <w:rsid w:val="00C804C6"/>
    <w:rsid w:val="00C81491"/>
    <w:rsid w:val="00C84A00"/>
    <w:rsid w:val="00C9077A"/>
    <w:rsid w:val="00C9134B"/>
    <w:rsid w:val="00C91EC8"/>
    <w:rsid w:val="00C91FF7"/>
    <w:rsid w:val="00C92FAF"/>
    <w:rsid w:val="00C9435C"/>
    <w:rsid w:val="00C955E5"/>
    <w:rsid w:val="00C95999"/>
    <w:rsid w:val="00CA1916"/>
    <w:rsid w:val="00CA41E4"/>
    <w:rsid w:val="00CA6EE3"/>
    <w:rsid w:val="00CB5DF8"/>
    <w:rsid w:val="00CC5957"/>
    <w:rsid w:val="00CC7247"/>
    <w:rsid w:val="00CD3DF2"/>
    <w:rsid w:val="00CE2909"/>
    <w:rsid w:val="00CE57AB"/>
    <w:rsid w:val="00CF07D5"/>
    <w:rsid w:val="00CF46C3"/>
    <w:rsid w:val="00CF4B4B"/>
    <w:rsid w:val="00CF6B49"/>
    <w:rsid w:val="00D0082B"/>
    <w:rsid w:val="00D022CE"/>
    <w:rsid w:val="00D024BC"/>
    <w:rsid w:val="00D03272"/>
    <w:rsid w:val="00D033FE"/>
    <w:rsid w:val="00D0461A"/>
    <w:rsid w:val="00D04F48"/>
    <w:rsid w:val="00D0613B"/>
    <w:rsid w:val="00D10522"/>
    <w:rsid w:val="00D10825"/>
    <w:rsid w:val="00D112A6"/>
    <w:rsid w:val="00D132CE"/>
    <w:rsid w:val="00D15E6F"/>
    <w:rsid w:val="00D168F7"/>
    <w:rsid w:val="00D16F78"/>
    <w:rsid w:val="00D2104D"/>
    <w:rsid w:val="00D21B57"/>
    <w:rsid w:val="00D22207"/>
    <w:rsid w:val="00D236A8"/>
    <w:rsid w:val="00D2387F"/>
    <w:rsid w:val="00D2511E"/>
    <w:rsid w:val="00D30DEA"/>
    <w:rsid w:val="00D325A6"/>
    <w:rsid w:val="00D33B73"/>
    <w:rsid w:val="00D4337E"/>
    <w:rsid w:val="00D4373A"/>
    <w:rsid w:val="00D44A50"/>
    <w:rsid w:val="00D453BD"/>
    <w:rsid w:val="00D459D0"/>
    <w:rsid w:val="00D471A6"/>
    <w:rsid w:val="00D511B8"/>
    <w:rsid w:val="00D532E2"/>
    <w:rsid w:val="00D53A55"/>
    <w:rsid w:val="00D5472B"/>
    <w:rsid w:val="00D6003F"/>
    <w:rsid w:val="00D61975"/>
    <w:rsid w:val="00D63761"/>
    <w:rsid w:val="00D64159"/>
    <w:rsid w:val="00D712A7"/>
    <w:rsid w:val="00D81AEE"/>
    <w:rsid w:val="00D82DA3"/>
    <w:rsid w:val="00D8409F"/>
    <w:rsid w:val="00D856C3"/>
    <w:rsid w:val="00D878DA"/>
    <w:rsid w:val="00D93240"/>
    <w:rsid w:val="00D93CEA"/>
    <w:rsid w:val="00D94340"/>
    <w:rsid w:val="00D967FF"/>
    <w:rsid w:val="00DA075F"/>
    <w:rsid w:val="00DA2C6A"/>
    <w:rsid w:val="00DA3838"/>
    <w:rsid w:val="00DB03E6"/>
    <w:rsid w:val="00DB07CE"/>
    <w:rsid w:val="00DB11E4"/>
    <w:rsid w:val="00DB14FF"/>
    <w:rsid w:val="00DB1839"/>
    <w:rsid w:val="00DB2089"/>
    <w:rsid w:val="00DB2120"/>
    <w:rsid w:val="00DB37EF"/>
    <w:rsid w:val="00DB3839"/>
    <w:rsid w:val="00DB68BF"/>
    <w:rsid w:val="00DB6FD1"/>
    <w:rsid w:val="00DC03EF"/>
    <w:rsid w:val="00DD0D37"/>
    <w:rsid w:val="00DD7774"/>
    <w:rsid w:val="00DD7E99"/>
    <w:rsid w:val="00DE2D33"/>
    <w:rsid w:val="00DE65F1"/>
    <w:rsid w:val="00DE6740"/>
    <w:rsid w:val="00E005B5"/>
    <w:rsid w:val="00E0192D"/>
    <w:rsid w:val="00E06530"/>
    <w:rsid w:val="00E12E90"/>
    <w:rsid w:val="00E13462"/>
    <w:rsid w:val="00E14448"/>
    <w:rsid w:val="00E16325"/>
    <w:rsid w:val="00E17643"/>
    <w:rsid w:val="00E17C8A"/>
    <w:rsid w:val="00E17EF8"/>
    <w:rsid w:val="00E21637"/>
    <w:rsid w:val="00E22435"/>
    <w:rsid w:val="00E22A1D"/>
    <w:rsid w:val="00E23346"/>
    <w:rsid w:val="00E23F0E"/>
    <w:rsid w:val="00E2554D"/>
    <w:rsid w:val="00E26AE6"/>
    <w:rsid w:val="00E33E72"/>
    <w:rsid w:val="00E33E9A"/>
    <w:rsid w:val="00E357F2"/>
    <w:rsid w:val="00E360E6"/>
    <w:rsid w:val="00E36F0F"/>
    <w:rsid w:val="00E40665"/>
    <w:rsid w:val="00E419E3"/>
    <w:rsid w:val="00E45111"/>
    <w:rsid w:val="00E45F2A"/>
    <w:rsid w:val="00E50872"/>
    <w:rsid w:val="00E55DC3"/>
    <w:rsid w:val="00E56EB6"/>
    <w:rsid w:val="00E574AC"/>
    <w:rsid w:val="00E66EA4"/>
    <w:rsid w:val="00E679FA"/>
    <w:rsid w:val="00E67D89"/>
    <w:rsid w:val="00E73C6B"/>
    <w:rsid w:val="00E817DD"/>
    <w:rsid w:val="00E82209"/>
    <w:rsid w:val="00E866D1"/>
    <w:rsid w:val="00E95404"/>
    <w:rsid w:val="00EA1E7F"/>
    <w:rsid w:val="00EA1EF1"/>
    <w:rsid w:val="00EA22D8"/>
    <w:rsid w:val="00EA4CD9"/>
    <w:rsid w:val="00EB62A3"/>
    <w:rsid w:val="00EB690D"/>
    <w:rsid w:val="00EC164B"/>
    <w:rsid w:val="00EC21BF"/>
    <w:rsid w:val="00EC4C00"/>
    <w:rsid w:val="00EC5A12"/>
    <w:rsid w:val="00EC6399"/>
    <w:rsid w:val="00ED02BA"/>
    <w:rsid w:val="00ED0598"/>
    <w:rsid w:val="00ED51CB"/>
    <w:rsid w:val="00ED76DD"/>
    <w:rsid w:val="00EE14DB"/>
    <w:rsid w:val="00EE3688"/>
    <w:rsid w:val="00EE4095"/>
    <w:rsid w:val="00EF2478"/>
    <w:rsid w:val="00EF407F"/>
    <w:rsid w:val="00EF6243"/>
    <w:rsid w:val="00EF7B61"/>
    <w:rsid w:val="00EF7E66"/>
    <w:rsid w:val="00F02E0F"/>
    <w:rsid w:val="00F03C07"/>
    <w:rsid w:val="00F03E97"/>
    <w:rsid w:val="00F06CE5"/>
    <w:rsid w:val="00F11269"/>
    <w:rsid w:val="00F11457"/>
    <w:rsid w:val="00F1421F"/>
    <w:rsid w:val="00F15A89"/>
    <w:rsid w:val="00F203D7"/>
    <w:rsid w:val="00F20F84"/>
    <w:rsid w:val="00F21F68"/>
    <w:rsid w:val="00F25E2C"/>
    <w:rsid w:val="00F271FC"/>
    <w:rsid w:val="00F27284"/>
    <w:rsid w:val="00F30B63"/>
    <w:rsid w:val="00F31B25"/>
    <w:rsid w:val="00F32AFA"/>
    <w:rsid w:val="00F3488C"/>
    <w:rsid w:val="00F35C83"/>
    <w:rsid w:val="00F404DA"/>
    <w:rsid w:val="00F40DC4"/>
    <w:rsid w:val="00F41A4A"/>
    <w:rsid w:val="00F43854"/>
    <w:rsid w:val="00F44E53"/>
    <w:rsid w:val="00F52DD6"/>
    <w:rsid w:val="00F5557E"/>
    <w:rsid w:val="00F57380"/>
    <w:rsid w:val="00F6168D"/>
    <w:rsid w:val="00F66A96"/>
    <w:rsid w:val="00F73A78"/>
    <w:rsid w:val="00F7649D"/>
    <w:rsid w:val="00F82E79"/>
    <w:rsid w:val="00F83704"/>
    <w:rsid w:val="00F84543"/>
    <w:rsid w:val="00F86CAA"/>
    <w:rsid w:val="00F92ED0"/>
    <w:rsid w:val="00F93200"/>
    <w:rsid w:val="00F968AA"/>
    <w:rsid w:val="00F9777F"/>
    <w:rsid w:val="00FA0662"/>
    <w:rsid w:val="00FA47CB"/>
    <w:rsid w:val="00FA54AF"/>
    <w:rsid w:val="00FA67DC"/>
    <w:rsid w:val="00FB17C8"/>
    <w:rsid w:val="00FB3B92"/>
    <w:rsid w:val="00FB3F8C"/>
    <w:rsid w:val="00FB4AF6"/>
    <w:rsid w:val="00FB4CF9"/>
    <w:rsid w:val="00FB7B64"/>
    <w:rsid w:val="00FC28AB"/>
    <w:rsid w:val="00FC3ECB"/>
    <w:rsid w:val="00FC4620"/>
    <w:rsid w:val="00FC5BFD"/>
    <w:rsid w:val="00FC5F15"/>
    <w:rsid w:val="00FC7A6C"/>
    <w:rsid w:val="00FD02D0"/>
    <w:rsid w:val="00FD1AB9"/>
    <w:rsid w:val="00FD2B51"/>
    <w:rsid w:val="00FD4FF7"/>
    <w:rsid w:val="00FD600F"/>
    <w:rsid w:val="00FE028D"/>
    <w:rsid w:val="00FE06E7"/>
    <w:rsid w:val="00FE316C"/>
    <w:rsid w:val="00FE390F"/>
    <w:rsid w:val="00FF11DF"/>
    <w:rsid w:val="00FF1A3F"/>
    <w:rsid w:val="00FF255B"/>
    <w:rsid w:val="00FF339A"/>
    <w:rsid w:val="00FF369B"/>
    <w:rsid w:val="00FF4354"/>
    <w:rsid w:val="00FF6E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D165640"/>
  <w15:chartTrackingRefBased/>
  <w15:docId w15:val="{395317C8-BB7D-F943-BC30-13A69BB0CC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050BF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A2C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2C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31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195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04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4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59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816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96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semine.com/judgement/uk/5b2897ed2c94e06b9e19dd85" TargetMode="External"/><Relationship Id="rId13" Type="http://schemas.openxmlformats.org/officeDocument/2006/relationships/hyperlink" Target="https://www.casemine.com/judgement/uk/5b2897ed2c94e06b9e19dd85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legislation.gov.uk/ukpga/1969/37" TargetMode="External"/><Relationship Id="rId12" Type="http://schemas.openxmlformats.org/officeDocument/2006/relationships/hyperlink" Target="https://www.legislation.gov.uk/ukpga/1974/37/contents" TargetMode="External"/><Relationship Id="rId17" Type="http://schemas.openxmlformats.org/officeDocument/2006/relationships/hyperlink" Target="https://www.bailii.org/ew/cases/EWCA/Civ/2001/1141.html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asemine.com/judgement/uk/626add56b50db9a8c72e5394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supremecourt.uk/cases/uksc-2017-0070.html" TargetMode="External"/><Relationship Id="rId11" Type="http://schemas.openxmlformats.org/officeDocument/2006/relationships/hyperlink" Target="https://www.bailii.org/ew/cases/EWCA/Civ/2006/1119.html" TargetMode="External"/><Relationship Id="rId5" Type="http://schemas.openxmlformats.org/officeDocument/2006/relationships/hyperlink" Target="https://www.casemine.com/judgement/uk/5a8ff7a960d03e7f57eb0fad" TargetMode="External"/><Relationship Id="rId15" Type="http://schemas.openxmlformats.org/officeDocument/2006/relationships/hyperlink" Target="https://www.legislation.gov.uk/ukpga/Geo6/8-9/28/contents" TargetMode="External"/><Relationship Id="rId10" Type="http://schemas.openxmlformats.org/officeDocument/2006/relationships/hyperlink" Target="https://www.legislation.gov.uk/ukpga/1971/61/contents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jfhlaw.co.uk/wp-content/uploads/2021/05/Breakingbury-v-Croad-2021.pdf" TargetMode="External"/><Relationship Id="rId9" Type="http://schemas.openxmlformats.org/officeDocument/2006/relationships/hyperlink" Target="https://publications.parliament.uk/pa/ld200001/ldjudgmt/jd010503/lister-1.htm" TargetMode="External"/><Relationship Id="rId14" Type="http://schemas.openxmlformats.org/officeDocument/2006/relationships/hyperlink" Target="https://www.legislation.gov.uk/uksi/1996/341/contents/mad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112</TotalTime>
  <Pages>5</Pages>
  <Words>2813</Words>
  <Characters>16039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Ashmole (2223229)</dc:creator>
  <cp:keywords/>
  <dc:description/>
  <cp:lastModifiedBy>Alisha Ashmole (2223229)</cp:lastModifiedBy>
  <cp:revision>16</cp:revision>
  <dcterms:created xsi:type="dcterms:W3CDTF">2024-01-26T19:37:00Z</dcterms:created>
  <dcterms:modified xsi:type="dcterms:W3CDTF">2024-01-26T22:06:00Z</dcterms:modified>
</cp:coreProperties>
</file>