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D9BDF" w14:textId="02C0100D" w:rsidR="008F1CC4" w:rsidRPr="00A95820" w:rsidRDefault="008F1CC4" w:rsidP="00E57C6F">
      <w:pPr>
        <w:ind w:firstLine="0"/>
        <w:contextualSpacing/>
        <w:rPr>
          <w:rFonts w:cs="Times New Roman"/>
          <w:szCs w:val="24"/>
        </w:rPr>
      </w:pPr>
    </w:p>
    <w:p w14:paraId="735184CA" w14:textId="77777777" w:rsidR="008F1CC4" w:rsidRPr="00A95820" w:rsidRDefault="008F1CC4" w:rsidP="00A95820">
      <w:pPr>
        <w:contextualSpacing/>
        <w:rPr>
          <w:rFonts w:cs="Times New Roman"/>
          <w:szCs w:val="24"/>
        </w:rPr>
      </w:pPr>
    </w:p>
    <w:p w14:paraId="19601DDD" w14:textId="77777777" w:rsidR="008F1CC4" w:rsidRPr="00A95820" w:rsidRDefault="008F1CC4" w:rsidP="00A95820">
      <w:pPr>
        <w:contextualSpacing/>
        <w:rPr>
          <w:rFonts w:cs="Times New Roman"/>
          <w:szCs w:val="24"/>
        </w:rPr>
      </w:pPr>
    </w:p>
    <w:p w14:paraId="17667118" w14:textId="77777777" w:rsidR="008F1CC4" w:rsidRPr="00A95820" w:rsidRDefault="008F1CC4" w:rsidP="00A95820">
      <w:pPr>
        <w:contextualSpacing/>
        <w:rPr>
          <w:rFonts w:cs="Times New Roman"/>
          <w:szCs w:val="24"/>
        </w:rPr>
      </w:pPr>
    </w:p>
    <w:p w14:paraId="500D55F9" w14:textId="77777777" w:rsidR="008F1CC4" w:rsidRPr="00A95820" w:rsidRDefault="008F1CC4" w:rsidP="00A95820">
      <w:pPr>
        <w:contextualSpacing/>
        <w:rPr>
          <w:rFonts w:cs="Times New Roman"/>
          <w:szCs w:val="24"/>
        </w:rPr>
      </w:pPr>
    </w:p>
    <w:p w14:paraId="2AA80A66" w14:textId="77777777" w:rsidR="008F1CC4" w:rsidRPr="00A95820" w:rsidRDefault="008F1CC4" w:rsidP="00A95820">
      <w:pPr>
        <w:contextualSpacing/>
        <w:rPr>
          <w:rFonts w:cs="Times New Roman"/>
          <w:szCs w:val="24"/>
        </w:rPr>
      </w:pPr>
    </w:p>
    <w:p w14:paraId="0BA3B5D6" w14:textId="77777777" w:rsidR="008F1CC4" w:rsidRPr="00A95820" w:rsidRDefault="008F1CC4" w:rsidP="00A95820">
      <w:pPr>
        <w:contextualSpacing/>
        <w:rPr>
          <w:rFonts w:cs="Times New Roman"/>
          <w:szCs w:val="24"/>
        </w:rPr>
      </w:pPr>
    </w:p>
    <w:p w14:paraId="228390DC" w14:textId="08BF42CE" w:rsidR="008F1CC4" w:rsidRPr="00E57C6F" w:rsidRDefault="00E57C6F" w:rsidP="00E57C6F">
      <w:pPr>
        <w:contextualSpacing/>
        <w:jc w:val="center"/>
        <w:rPr>
          <w:rFonts w:cs="Times New Roman"/>
          <w:sz w:val="22"/>
        </w:rPr>
      </w:pPr>
      <w:r w:rsidRPr="00E57C6F">
        <w:rPr>
          <w:rFonts w:cs="Times New Roman"/>
          <w:sz w:val="22"/>
        </w:rPr>
        <w:t>Student Name: Lucien Mbala</w:t>
      </w:r>
    </w:p>
    <w:p w14:paraId="4194A9B3" w14:textId="4EC830A4" w:rsidR="00E57C6F" w:rsidRPr="00E57C6F" w:rsidRDefault="00E57C6F" w:rsidP="00E57C6F">
      <w:pPr>
        <w:contextualSpacing/>
        <w:jc w:val="center"/>
        <w:rPr>
          <w:rFonts w:cs="Times New Roman"/>
          <w:sz w:val="22"/>
        </w:rPr>
      </w:pPr>
      <w:r w:rsidRPr="00E57C6F">
        <w:rPr>
          <w:rFonts w:cs="Times New Roman"/>
          <w:sz w:val="22"/>
        </w:rPr>
        <w:t>Student ID: 1809077</w:t>
      </w:r>
    </w:p>
    <w:p w14:paraId="2C5911A7" w14:textId="4188E433" w:rsidR="008F1CC4" w:rsidRPr="00E57C6F" w:rsidRDefault="00E57C6F" w:rsidP="00E57C6F">
      <w:pPr>
        <w:contextualSpacing/>
        <w:jc w:val="center"/>
        <w:rPr>
          <w:rFonts w:cs="Times New Roman"/>
          <w:sz w:val="22"/>
        </w:rPr>
      </w:pPr>
      <w:r w:rsidRPr="00E57C6F">
        <w:rPr>
          <w:rFonts w:cs="Times New Roman"/>
          <w:sz w:val="22"/>
        </w:rPr>
        <w:t xml:space="preserve">Module: </w:t>
      </w:r>
      <w:r w:rsidR="00D35DE7" w:rsidRPr="00E57C6F">
        <w:rPr>
          <w:rFonts w:cs="Times New Roman"/>
          <w:sz w:val="22"/>
        </w:rPr>
        <w:t>Digital Transformation in UK Health and Social Care</w:t>
      </w:r>
      <w:r w:rsidR="009F2004">
        <w:rPr>
          <w:rFonts w:cs="Times New Roman"/>
          <w:sz w:val="22"/>
        </w:rPr>
        <w:t xml:space="preserve"> Professions</w:t>
      </w:r>
    </w:p>
    <w:p w14:paraId="290B48A4" w14:textId="61FF00DD" w:rsidR="00E57C6F" w:rsidRPr="00E57C6F" w:rsidRDefault="00E57C6F" w:rsidP="00E57C6F">
      <w:pPr>
        <w:contextualSpacing/>
        <w:jc w:val="center"/>
        <w:rPr>
          <w:rFonts w:cs="Times New Roman"/>
          <w:sz w:val="22"/>
        </w:rPr>
      </w:pPr>
      <w:r w:rsidRPr="00E57C6F">
        <w:rPr>
          <w:rFonts w:cs="Times New Roman"/>
          <w:sz w:val="22"/>
        </w:rPr>
        <w:t>Module code: BMHP6026</w:t>
      </w:r>
    </w:p>
    <w:p w14:paraId="0577AB03" w14:textId="37566A4F" w:rsidR="00E57C6F" w:rsidRPr="00E57C6F" w:rsidRDefault="00E57C6F" w:rsidP="00E57C6F">
      <w:pPr>
        <w:contextualSpacing/>
        <w:jc w:val="center"/>
        <w:rPr>
          <w:rFonts w:cs="Times New Roman"/>
          <w:sz w:val="22"/>
        </w:rPr>
      </w:pPr>
      <w:r w:rsidRPr="00E57C6F">
        <w:rPr>
          <w:rFonts w:cs="Times New Roman"/>
          <w:sz w:val="22"/>
        </w:rPr>
        <w:t>Lecture: Martin Svejda</w:t>
      </w:r>
    </w:p>
    <w:p w14:paraId="7306E1C9" w14:textId="20F16EA0" w:rsidR="00E57C6F" w:rsidRPr="00E57C6F" w:rsidRDefault="00E57C6F" w:rsidP="00E57C6F">
      <w:pPr>
        <w:contextualSpacing/>
        <w:jc w:val="center"/>
        <w:rPr>
          <w:rFonts w:cs="Times New Roman"/>
          <w:sz w:val="22"/>
        </w:rPr>
      </w:pPr>
      <w:r w:rsidRPr="00E57C6F">
        <w:rPr>
          <w:rFonts w:cs="Times New Roman"/>
          <w:sz w:val="22"/>
        </w:rPr>
        <w:t>Assignment Title: Written Report</w:t>
      </w:r>
    </w:p>
    <w:p w14:paraId="5817177C" w14:textId="03C92A09" w:rsidR="00D35DE7" w:rsidRPr="00E57C6F" w:rsidRDefault="00D35DE7" w:rsidP="00E57C6F">
      <w:pPr>
        <w:contextualSpacing/>
        <w:jc w:val="center"/>
        <w:rPr>
          <w:rFonts w:cs="Times New Roman"/>
          <w:sz w:val="22"/>
        </w:rPr>
      </w:pPr>
    </w:p>
    <w:p w14:paraId="08ECE0F8" w14:textId="6F4CBDC5" w:rsidR="00D35DE7" w:rsidRPr="00E57C6F" w:rsidRDefault="00D35DE7" w:rsidP="00E57C6F">
      <w:pPr>
        <w:ind w:firstLine="0"/>
        <w:contextualSpacing/>
        <w:jc w:val="center"/>
        <w:rPr>
          <w:rFonts w:cs="Times New Roman"/>
          <w:sz w:val="22"/>
        </w:rPr>
      </w:pPr>
    </w:p>
    <w:p w14:paraId="027F334F" w14:textId="77777777" w:rsidR="00D35DE7" w:rsidRPr="00A95820" w:rsidRDefault="00D35DE7" w:rsidP="00A95820">
      <w:pPr>
        <w:ind w:firstLine="0"/>
        <w:contextualSpacing/>
        <w:jc w:val="left"/>
        <w:rPr>
          <w:rFonts w:cs="Times New Roman"/>
          <w:szCs w:val="24"/>
        </w:rPr>
      </w:pPr>
      <w:r w:rsidRPr="00A95820">
        <w:rPr>
          <w:rFonts w:cs="Times New Roman"/>
          <w:szCs w:val="24"/>
        </w:rPr>
        <w:br w:type="page"/>
      </w:r>
    </w:p>
    <w:p w14:paraId="64E00D6D" w14:textId="77777777" w:rsidR="00115814" w:rsidRPr="00E57C6F" w:rsidRDefault="00115814" w:rsidP="00E57C6F">
      <w:pPr>
        <w:pStyle w:val="Heading1"/>
      </w:pPr>
      <w:r w:rsidRPr="00E57C6F">
        <w:lastRenderedPageBreak/>
        <w:t>1. Introduction</w:t>
      </w:r>
    </w:p>
    <w:p w14:paraId="0270037E" w14:textId="2E57A164" w:rsidR="00A95820" w:rsidRPr="00E57C6F" w:rsidRDefault="00A95820" w:rsidP="00A95820">
      <w:pPr>
        <w:contextualSpacing/>
        <w:rPr>
          <w:rFonts w:eastAsia="Times New Roman" w:cs="Times New Roman"/>
          <w:sz w:val="22"/>
        </w:rPr>
      </w:pPr>
      <w:r w:rsidRPr="00E57C6F">
        <w:rPr>
          <w:rFonts w:eastAsia="Times New Roman" w:cs="Times New Roman"/>
          <w:sz w:val="22"/>
        </w:rPr>
        <w:t xml:space="preserve">An ageing population, more people with chronic health disorders, and a shortage of finance and staff are straining the UK's National Health Service (NHS). These issues are straining hospital-centered care; </w:t>
      </w:r>
      <w:r w:rsidR="00E57C6F" w:rsidRPr="00E57C6F">
        <w:rPr>
          <w:rFonts w:eastAsia="Times New Roman" w:cs="Times New Roman"/>
          <w:sz w:val="22"/>
        </w:rPr>
        <w:t>thus,</w:t>
      </w:r>
      <w:r w:rsidRPr="00E57C6F">
        <w:rPr>
          <w:rFonts w:eastAsia="Times New Roman" w:cs="Times New Roman"/>
          <w:sz w:val="22"/>
        </w:rPr>
        <w:t xml:space="preserve"> service delivery must be redesigned. Thus, Virtual Wards-based Remote Monitoring must be developed and implemented quickly statewide to complete digital transformation </w:t>
      </w:r>
      <w:r w:rsidRPr="00E57C6F">
        <w:rPr>
          <w:rFonts w:cs="Times New Roman"/>
          <w:sz w:val="22"/>
        </w:rPr>
        <w:t>(Kunonga et al., 2021).</w:t>
      </w:r>
      <w:r w:rsidRPr="00E57C6F">
        <w:rPr>
          <w:rFonts w:eastAsia="Times New Roman" w:cs="Times New Roman"/>
          <w:sz w:val="22"/>
        </w:rPr>
        <w:t xml:space="preserve"> This cutting-edge care model allows home monitoring of rapidly worsening chronic conditions including heart failure and COPD. It uses mobile apps, Bluetooth-enabled wearable sensors like pulse oximeters and blood pressure monitors, and clinical dashboards. </w:t>
      </w:r>
    </w:p>
    <w:p w14:paraId="1E42AAAE" w14:textId="77777777" w:rsidR="00115814" w:rsidRPr="00E57C6F" w:rsidRDefault="00A95820" w:rsidP="00A95820">
      <w:pPr>
        <w:contextualSpacing/>
        <w:rPr>
          <w:rFonts w:cs="Times New Roman"/>
          <w:sz w:val="22"/>
        </w:rPr>
      </w:pPr>
      <w:r w:rsidRPr="00E57C6F">
        <w:rPr>
          <w:rFonts w:eastAsia="Times New Roman" w:cs="Times New Roman"/>
          <w:sz w:val="22"/>
        </w:rPr>
        <w:t xml:space="preserve">This research will evaluate the last decade of UK health and social care by analysing Virtual Wards' adoption and results </w:t>
      </w:r>
      <w:r w:rsidRPr="00E57C6F">
        <w:rPr>
          <w:rFonts w:cs="Times New Roman"/>
          <w:sz w:val="22"/>
        </w:rPr>
        <w:t>(Cushen et al., 2022).</w:t>
      </w:r>
      <w:r w:rsidRPr="00E57C6F">
        <w:rPr>
          <w:rFonts w:eastAsia="Times New Roman" w:cs="Times New Roman"/>
          <w:sz w:val="22"/>
        </w:rPr>
        <w:t xml:space="preserve"> The digital revolution will impact health and social care personnel, service delivery, user experience, and society. These consequences will be studied in four categories. This report analyses this innovation's pros and cons to assess its revolutionary potential. This invention enhances patient-centered care and hospital capacity. It might worsen health inequities, and digital literacy and job adaptability are challenges </w:t>
      </w:r>
      <w:r w:rsidRPr="00E57C6F">
        <w:rPr>
          <w:rFonts w:cs="Times New Roman"/>
          <w:sz w:val="22"/>
        </w:rPr>
        <w:t>(Binci et al., 2022).</w:t>
      </w:r>
    </w:p>
    <w:p w14:paraId="7E9A87A3" w14:textId="2BEF5E7E" w:rsidR="00115814" w:rsidRPr="00E57C6F" w:rsidRDefault="00115814" w:rsidP="00E57C6F">
      <w:pPr>
        <w:pStyle w:val="Heading1"/>
      </w:pPr>
      <w:r w:rsidRPr="00E57C6F">
        <w:t xml:space="preserve">2. Description of </w:t>
      </w:r>
      <w:r w:rsidR="009F2004" w:rsidRPr="00E57C6F">
        <w:t>Innovation</w:t>
      </w:r>
      <w:r w:rsidRPr="00E57C6F">
        <w:t>: Remote Monitoring for Virtual Wards</w:t>
      </w:r>
    </w:p>
    <w:p w14:paraId="0952726D" w14:textId="77777777" w:rsidR="00A95820" w:rsidRPr="00E57C6F" w:rsidRDefault="00A95820" w:rsidP="00A95820">
      <w:pPr>
        <w:contextualSpacing/>
        <w:rPr>
          <w:rFonts w:eastAsia="Times New Roman" w:cs="Times New Roman"/>
          <w:sz w:val="22"/>
        </w:rPr>
      </w:pPr>
      <w:r w:rsidRPr="00E57C6F">
        <w:rPr>
          <w:rFonts w:eastAsia="Times New Roman" w:cs="Times New Roman"/>
          <w:sz w:val="22"/>
        </w:rPr>
        <w:t xml:space="preserve">Virtual Wards provide hospital-level monitoring to areas without infrastructure as part of a full digital care paradigm. A "kit" of interconnected digital devices for patients is central to this breakthrough. These devices may need clinically certified monitoring equipment and patient-friendly mobile devices with applications. Patients often use digital blood pressure monitors, smart weighing scales, and pulse oximeters to measure blood oxygen saturation. Additional spirometry or blood glucose sensors can be employed if needed </w:t>
      </w:r>
      <w:r w:rsidRPr="00E57C6F">
        <w:rPr>
          <w:rFonts w:cs="Times New Roman"/>
          <w:sz w:val="22"/>
        </w:rPr>
        <w:t xml:space="preserve">(Westby et al., 2024). </w:t>
      </w:r>
      <w:r w:rsidRPr="00E57C6F">
        <w:rPr>
          <w:rFonts w:eastAsia="Times New Roman" w:cs="Times New Roman"/>
          <w:sz w:val="22"/>
        </w:rPr>
        <w:t xml:space="preserve">Clinical efficacy and patient safety are ensured by a Virtual Ward's synchronised routine. </w:t>
      </w:r>
    </w:p>
    <w:p w14:paraId="3AFC7CF7" w14:textId="77777777" w:rsidR="00A95820" w:rsidRPr="00E57C6F" w:rsidRDefault="00A95820" w:rsidP="00A95820">
      <w:pPr>
        <w:contextualSpacing/>
        <w:rPr>
          <w:rFonts w:eastAsia="Times New Roman" w:cs="Times New Roman"/>
          <w:sz w:val="22"/>
        </w:rPr>
      </w:pPr>
      <w:r w:rsidRPr="00E57C6F">
        <w:rPr>
          <w:rFonts w:eastAsia="Times New Roman" w:cs="Times New Roman"/>
          <w:sz w:val="22"/>
        </w:rPr>
        <w:t xml:space="preserve">First, choose a qualified patient with long-term health issues like COPD or congestive heart failure. After being discharged from an acute hospital bed, the patient can enlist or move straight to the Virtual Ward. On admission, patients or their caretakers receive extensive instruction on how to use the equipment to take daily physiological readings </w:t>
      </w:r>
      <w:r w:rsidRPr="00E57C6F">
        <w:rPr>
          <w:rFonts w:cs="Times New Roman"/>
          <w:sz w:val="22"/>
        </w:rPr>
        <w:t>(Vindrola-Padros et al., 2021).</w:t>
      </w:r>
      <w:r w:rsidRPr="00E57C6F">
        <w:rPr>
          <w:rFonts w:eastAsia="Times New Roman" w:cs="Times New Roman"/>
          <w:sz w:val="22"/>
        </w:rPr>
        <w:t xml:space="preserve"> Bluetooth allows various devices to automatically and securely communicate data to a central clinical display. This platform uses Docobo or Huma software to collect ward patient data. Data gathering is followed by monitoring by a centralised MDT. </w:t>
      </w:r>
    </w:p>
    <w:p w14:paraId="0352E082" w14:textId="77777777" w:rsidR="00115814" w:rsidRPr="00E57C6F" w:rsidRDefault="00A95820" w:rsidP="00A95820">
      <w:pPr>
        <w:contextualSpacing/>
        <w:rPr>
          <w:rFonts w:eastAsia="Times New Roman" w:cs="Times New Roman"/>
          <w:sz w:val="22"/>
        </w:rPr>
      </w:pPr>
      <w:r w:rsidRPr="00E57C6F">
        <w:rPr>
          <w:rFonts w:eastAsia="Times New Roman" w:cs="Times New Roman"/>
          <w:sz w:val="22"/>
        </w:rPr>
        <w:t xml:space="preserve">Patients are remotely monitored by social workers, physiotherapists, consultant physicians, and nurses who analyse incoming data in real time </w:t>
      </w:r>
      <w:r w:rsidRPr="00E57C6F">
        <w:rPr>
          <w:rFonts w:cs="Times New Roman"/>
          <w:sz w:val="22"/>
        </w:rPr>
        <w:t>(Vallée and Arutkin, 2024).</w:t>
      </w:r>
      <w:r w:rsidRPr="00E57C6F">
        <w:rPr>
          <w:rFonts w:eastAsia="Times New Roman" w:cs="Times New Roman"/>
          <w:sz w:val="22"/>
        </w:rPr>
        <w:t xml:space="preserve"> If a reading deviates too much from each patient's clinical parameters, an automatic alarm will alert the clinical staff. Next, a medication adjustment, community nurse home visit, or phone call might determine the best course of action. By detecting and regulating a patient's deterioration before it becomes a crisis, care may be provided in their </w:t>
      </w:r>
      <w:r w:rsidRPr="00E57C6F">
        <w:rPr>
          <w:rFonts w:eastAsia="Times New Roman" w:cs="Times New Roman"/>
          <w:sz w:val="22"/>
        </w:rPr>
        <w:lastRenderedPageBreak/>
        <w:t xml:space="preserve">home, where it is most comfortable. This improves quality of life and reduces unnecessary hospitalisations. This paradigm represents a revolutionary shift from episodic and reactive care to proactive, person-centred care </w:t>
      </w:r>
      <w:r w:rsidRPr="00E57C6F">
        <w:rPr>
          <w:rFonts w:cs="Times New Roman"/>
          <w:sz w:val="22"/>
        </w:rPr>
        <w:t>(Shah et al., 2021).</w:t>
      </w:r>
    </w:p>
    <w:p w14:paraId="1D7B875D" w14:textId="77777777" w:rsidR="00115814" w:rsidRPr="00E57C6F" w:rsidRDefault="00115814" w:rsidP="00E57C6F">
      <w:pPr>
        <w:pStyle w:val="Heading1"/>
      </w:pPr>
      <w:r w:rsidRPr="00E57C6F">
        <w:t>3. Critical Evaluation</w:t>
      </w:r>
    </w:p>
    <w:p w14:paraId="2704ADBE" w14:textId="77777777" w:rsidR="00115814" w:rsidRPr="00E57C6F" w:rsidRDefault="00115814" w:rsidP="00A95820">
      <w:pPr>
        <w:pStyle w:val="Heading2"/>
        <w:contextualSpacing/>
        <w:rPr>
          <w:rFonts w:cs="Times New Roman"/>
          <w:sz w:val="22"/>
          <w:szCs w:val="22"/>
        </w:rPr>
      </w:pPr>
      <w:r w:rsidRPr="00E57C6F">
        <w:rPr>
          <w:rFonts w:cs="Times New Roman"/>
          <w:sz w:val="22"/>
          <w:szCs w:val="22"/>
        </w:rPr>
        <w:t>a) Workforce</w:t>
      </w:r>
    </w:p>
    <w:p w14:paraId="798A09EB" w14:textId="77777777" w:rsidR="00115814" w:rsidRPr="00E57C6F" w:rsidRDefault="00A95820" w:rsidP="00A95820">
      <w:pPr>
        <w:contextualSpacing/>
        <w:rPr>
          <w:rFonts w:cs="Times New Roman"/>
          <w:sz w:val="22"/>
        </w:rPr>
      </w:pPr>
      <w:r w:rsidRPr="00E57C6F">
        <w:rPr>
          <w:rFonts w:eastAsia="Times New Roman" w:cs="Times New Roman"/>
          <w:sz w:val="22"/>
        </w:rPr>
        <w:t>Since Virtual Wards were implemented, professions' responsibilities, skills, and relationships have changed.</w:t>
      </w:r>
    </w:p>
    <w:p w14:paraId="3FAB698B" w14:textId="77777777" w:rsidR="00115814" w:rsidRPr="00E57C6F" w:rsidRDefault="00115814" w:rsidP="00A95820">
      <w:pPr>
        <w:contextualSpacing/>
        <w:rPr>
          <w:rFonts w:cs="Times New Roman"/>
          <w:b/>
          <w:sz w:val="22"/>
        </w:rPr>
      </w:pPr>
      <w:r w:rsidRPr="00E57C6F">
        <w:rPr>
          <w:rFonts w:cs="Times New Roman"/>
          <w:b/>
          <w:sz w:val="22"/>
        </w:rPr>
        <w:t>Positive Outcomes:</w:t>
      </w:r>
    </w:p>
    <w:p w14:paraId="2DFCC600" w14:textId="29AC4BFD" w:rsidR="00A95820" w:rsidRPr="00E57C6F" w:rsidRDefault="00A95820" w:rsidP="00A95820">
      <w:pPr>
        <w:contextualSpacing/>
        <w:rPr>
          <w:rFonts w:cs="Times New Roman"/>
          <w:sz w:val="22"/>
        </w:rPr>
      </w:pPr>
      <w:r w:rsidRPr="00E57C6F">
        <w:rPr>
          <w:rFonts w:eastAsia="Times New Roman" w:cs="Times New Roman"/>
          <w:sz w:val="22"/>
        </w:rPr>
        <w:t xml:space="preserve">Virtual Wards </w:t>
      </w:r>
      <w:proofErr w:type="gramStart"/>
      <w:r w:rsidRPr="00E57C6F">
        <w:rPr>
          <w:rFonts w:eastAsia="Times New Roman" w:cs="Times New Roman"/>
          <w:sz w:val="22"/>
        </w:rPr>
        <w:t>has</w:t>
      </w:r>
      <w:proofErr w:type="gramEnd"/>
      <w:r w:rsidRPr="00E57C6F">
        <w:rPr>
          <w:rFonts w:eastAsia="Times New Roman" w:cs="Times New Roman"/>
          <w:sz w:val="22"/>
        </w:rPr>
        <w:t xml:space="preserve"> changed health and social care </w:t>
      </w:r>
      <w:r w:rsidR="009F2004" w:rsidRPr="00E57C6F">
        <w:rPr>
          <w:rFonts w:eastAsia="Times New Roman" w:cs="Times New Roman"/>
          <w:sz w:val="22"/>
        </w:rPr>
        <w:t>personnel’s</w:t>
      </w:r>
      <w:r w:rsidRPr="00E57C6F">
        <w:rPr>
          <w:rFonts w:eastAsia="Times New Roman" w:cs="Times New Roman"/>
          <w:sz w:val="22"/>
        </w:rPr>
        <w:t xml:space="preserve"> responsibilities, obligations, and collaboration for the better. Creating new specialist professions and improving current ones is </w:t>
      </w:r>
      <w:r w:rsidR="009F2004" w:rsidRPr="00E57C6F">
        <w:rPr>
          <w:rFonts w:eastAsia="Times New Roman" w:cs="Times New Roman"/>
          <w:sz w:val="22"/>
        </w:rPr>
        <w:t>beneficial</w:t>
      </w:r>
      <w:r w:rsidRPr="00E57C6F">
        <w:rPr>
          <w:rFonts w:eastAsia="Times New Roman" w:cs="Times New Roman"/>
          <w:sz w:val="22"/>
        </w:rPr>
        <w:t xml:space="preserve">. "Remote Monitoring Coordinators" and "Virtual Ward Clinicians" are two emerging jobs that need technology and clinical skills. The job in these areas requires digital triage abilities to prioritise patient requirements, therapeutic communication even whilst physically present, and physiological data understanding. More professional independence and job satisfaction are some benefits of this move </w:t>
      </w:r>
      <w:r w:rsidRPr="00E57C6F">
        <w:rPr>
          <w:rFonts w:cs="Times New Roman"/>
          <w:sz w:val="22"/>
        </w:rPr>
        <w:t>(Shi et al., 2024).</w:t>
      </w:r>
    </w:p>
    <w:p w14:paraId="5544B2EF" w14:textId="6A9D391F" w:rsidR="00115814" w:rsidRPr="00E57C6F" w:rsidRDefault="00A95820" w:rsidP="00A95820">
      <w:pPr>
        <w:contextualSpacing/>
        <w:rPr>
          <w:rFonts w:cs="Times New Roman"/>
          <w:sz w:val="22"/>
        </w:rPr>
      </w:pPr>
      <w:r w:rsidRPr="00E57C6F">
        <w:rPr>
          <w:rFonts w:eastAsia="Times New Roman" w:cs="Times New Roman"/>
          <w:sz w:val="22"/>
        </w:rPr>
        <w:t xml:space="preserve">Many in the field are happier when it can give preventative care. Instead of only treating situations in the emergency department or ward, it </w:t>
      </w:r>
      <w:r w:rsidR="009F2004" w:rsidRPr="00E57C6F">
        <w:rPr>
          <w:rFonts w:eastAsia="Times New Roman" w:cs="Times New Roman"/>
          <w:sz w:val="22"/>
        </w:rPr>
        <w:t>uses</w:t>
      </w:r>
      <w:r w:rsidRPr="00E57C6F">
        <w:rPr>
          <w:rFonts w:eastAsia="Times New Roman" w:cs="Times New Roman"/>
          <w:sz w:val="22"/>
        </w:rPr>
        <w:t xml:space="preserve"> data to prevent patients from deteriorating and hospitalisation. By giving them predictive analytics, it shows your respect for their knowledge and </w:t>
      </w:r>
      <w:proofErr w:type="gramStart"/>
      <w:r w:rsidRPr="00E57C6F">
        <w:rPr>
          <w:rFonts w:eastAsia="Times New Roman" w:cs="Times New Roman"/>
          <w:sz w:val="22"/>
        </w:rPr>
        <w:t>give</w:t>
      </w:r>
      <w:proofErr w:type="gramEnd"/>
      <w:r w:rsidRPr="00E57C6F">
        <w:rPr>
          <w:rFonts w:eastAsia="Times New Roman" w:cs="Times New Roman"/>
          <w:sz w:val="22"/>
        </w:rPr>
        <w:t xml:space="preserve"> them more control over their practice. Additionally, Virtual Ward's architecture encourages MDT teamwork. The integrated clinical dashboard gives social workers, physiotherapists, nurses, and doctors the latest, most accurate patient data. Thus, hierarchical silos are dissolved, improving communication and decision-making and patient care </w:t>
      </w:r>
      <w:r w:rsidRPr="00E57C6F">
        <w:rPr>
          <w:rFonts w:cs="Times New Roman"/>
          <w:sz w:val="22"/>
        </w:rPr>
        <w:t>(Vallée and Arutkin, 2024).</w:t>
      </w:r>
    </w:p>
    <w:p w14:paraId="479158DC" w14:textId="77777777" w:rsidR="00115814" w:rsidRPr="00E57C6F" w:rsidRDefault="00115814" w:rsidP="00A95820">
      <w:pPr>
        <w:contextualSpacing/>
        <w:rPr>
          <w:rFonts w:cs="Times New Roman"/>
          <w:b/>
          <w:sz w:val="22"/>
        </w:rPr>
      </w:pPr>
      <w:r w:rsidRPr="00E57C6F">
        <w:rPr>
          <w:rFonts w:cs="Times New Roman"/>
          <w:b/>
          <w:sz w:val="22"/>
        </w:rPr>
        <w:t>Negative Outcomes / Challenges:</w:t>
      </w:r>
    </w:p>
    <w:p w14:paraId="2E0AC830" w14:textId="77777777" w:rsidR="00A95820" w:rsidRPr="00E57C6F" w:rsidRDefault="00A95820" w:rsidP="00A95820">
      <w:pPr>
        <w:contextualSpacing/>
        <w:rPr>
          <w:rFonts w:cs="Times New Roman"/>
          <w:sz w:val="22"/>
        </w:rPr>
      </w:pPr>
      <w:r w:rsidRPr="00E57C6F">
        <w:rPr>
          <w:rFonts w:eastAsia="Times New Roman" w:cs="Times New Roman"/>
          <w:sz w:val="22"/>
        </w:rPr>
        <w:t xml:space="preserve">The move to Virtual Wards is complex and requires careful human management. Workers' skill development is a major issue. Clinicians require more than software platform and device training to conduct remote consultations, build rapport and empathy, and evaluate complex clinical circumstances without physical cues. It also requires developing complicated "soft skills." If staff aren't computer-savvy or fear it will dehumanise their work, this paradigm change will be difficult to implement </w:t>
      </w:r>
      <w:r w:rsidRPr="00E57C6F">
        <w:rPr>
          <w:rFonts w:cs="Times New Roman"/>
          <w:sz w:val="22"/>
        </w:rPr>
        <w:t>(Shah et al., 2021).</w:t>
      </w:r>
    </w:p>
    <w:p w14:paraId="6EAEB23A" w14:textId="77777777" w:rsidR="00115814" w:rsidRPr="00E57C6F" w:rsidRDefault="00A95820" w:rsidP="00A95820">
      <w:pPr>
        <w:contextualSpacing/>
        <w:rPr>
          <w:rFonts w:cs="Times New Roman"/>
          <w:sz w:val="22"/>
        </w:rPr>
      </w:pPr>
      <w:r w:rsidRPr="00E57C6F">
        <w:rPr>
          <w:rFonts w:eastAsia="Times New Roman" w:cs="Times New Roman"/>
          <w:sz w:val="22"/>
        </w:rPr>
        <w:t xml:space="preserve"> Another obstacle is increasing workload and alert weariness. Staff may ignore alerts without a comprehensive algorithm-driven system to scan the seemingly unending stream of patient data and eliminate outliers. Inundated with false positives, clinicians may overlook a medical emergency signal, endangering patients. Employees may have problems distinguishing work from personal life owing to continual remote surveillance. The assumption that employees should constantly be connected to the digital dashboard can lead to </w:t>
      </w:r>
      <w:proofErr w:type="gramStart"/>
      <w:r w:rsidRPr="00E57C6F">
        <w:rPr>
          <w:rFonts w:eastAsia="Times New Roman" w:cs="Times New Roman"/>
          <w:sz w:val="22"/>
        </w:rPr>
        <w:t>a</w:t>
      </w:r>
      <w:proofErr w:type="gramEnd"/>
      <w:r w:rsidRPr="00E57C6F">
        <w:rPr>
          <w:rFonts w:eastAsia="Times New Roman" w:cs="Times New Roman"/>
          <w:sz w:val="22"/>
        </w:rPr>
        <w:t xml:space="preserve"> "always-on" culture without clear operational standards, protected schedules, and </w:t>
      </w:r>
      <w:r w:rsidRPr="00E57C6F">
        <w:rPr>
          <w:rFonts w:eastAsia="Times New Roman" w:cs="Times New Roman"/>
          <w:sz w:val="22"/>
        </w:rPr>
        <w:lastRenderedPageBreak/>
        <w:t xml:space="preserve">strong organisational support for staff wellness. Thus, you're more prone to burn out and lose interest in your work </w:t>
      </w:r>
      <w:r w:rsidRPr="00E57C6F">
        <w:rPr>
          <w:rFonts w:cs="Times New Roman"/>
          <w:sz w:val="22"/>
        </w:rPr>
        <w:t>(Schultz et al., 2021).</w:t>
      </w:r>
    </w:p>
    <w:p w14:paraId="3EF83E47" w14:textId="77777777" w:rsidR="00115814" w:rsidRPr="00E57C6F" w:rsidRDefault="00115814" w:rsidP="00A95820">
      <w:pPr>
        <w:pStyle w:val="Heading2"/>
        <w:contextualSpacing/>
        <w:rPr>
          <w:rFonts w:cs="Times New Roman"/>
          <w:sz w:val="22"/>
          <w:szCs w:val="22"/>
        </w:rPr>
      </w:pPr>
      <w:r w:rsidRPr="00E57C6F">
        <w:rPr>
          <w:rFonts w:cs="Times New Roman"/>
          <w:sz w:val="22"/>
          <w:szCs w:val="22"/>
        </w:rPr>
        <w:t>b) Service Delivery</w:t>
      </w:r>
    </w:p>
    <w:p w14:paraId="5479F026" w14:textId="77777777" w:rsidR="00115814" w:rsidRPr="00E57C6F" w:rsidRDefault="00A95820" w:rsidP="00A95820">
      <w:pPr>
        <w:contextualSpacing/>
        <w:rPr>
          <w:rFonts w:cs="Times New Roman"/>
          <w:sz w:val="22"/>
        </w:rPr>
      </w:pPr>
      <w:r w:rsidRPr="00E57C6F">
        <w:rPr>
          <w:rFonts w:eastAsia="Times New Roman" w:cs="Times New Roman"/>
          <w:sz w:val="22"/>
        </w:rPr>
        <w:t xml:space="preserve">Reimagining care routes, virtual wards are changing healthcare. </w:t>
      </w:r>
    </w:p>
    <w:p w14:paraId="64FED125" w14:textId="77777777" w:rsidR="00115814" w:rsidRPr="00E57C6F" w:rsidRDefault="00115814" w:rsidP="00A95820">
      <w:pPr>
        <w:contextualSpacing/>
        <w:rPr>
          <w:rFonts w:cs="Times New Roman"/>
          <w:b/>
          <w:sz w:val="22"/>
        </w:rPr>
      </w:pPr>
      <w:r w:rsidRPr="00E57C6F">
        <w:rPr>
          <w:rFonts w:cs="Times New Roman"/>
          <w:b/>
          <w:sz w:val="22"/>
        </w:rPr>
        <w:t>Positive Outcomes:</w:t>
      </w:r>
    </w:p>
    <w:p w14:paraId="1EAA7580" w14:textId="189723C0" w:rsidR="00A95820" w:rsidRPr="00E57C6F" w:rsidRDefault="00A95820" w:rsidP="00A95820">
      <w:pPr>
        <w:contextualSpacing/>
        <w:rPr>
          <w:rFonts w:cs="Times New Roman"/>
          <w:sz w:val="22"/>
        </w:rPr>
      </w:pPr>
      <w:r w:rsidRPr="00E57C6F">
        <w:rPr>
          <w:rFonts w:eastAsia="Times New Roman" w:cs="Times New Roman"/>
          <w:sz w:val="22"/>
        </w:rPr>
        <w:t xml:space="preserve">Virtual Wards have revolutionised NHS care routes. Having extra hospital space to treat patients is great. Patients who would typically need an inpatient bed for observation can safely and successfully be shifted to a virtual ward, allowing for early discharge and eliminating avoidable hospitalisations. According to </w:t>
      </w:r>
      <w:r w:rsidR="009F2004" w:rsidRPr="00E57C6F">
        <w:rPr>
          <w:rFonts w:eastAsia="Times New Roman" w:cs="Times New Roman"/>
          <w:sz w:val="22"/>
        </w:rPr>
        <w:t>the NHS</w:t>
      </w:r>
      <w:r w:rsidRPr="00E57C6F">
        <w:rPr>
          <w:rFonts w:eastAsia="Times New Roman" w:cs="Times New Roman"/>
          <w:sz w:val="22"/>
        </w:rPr>
        <w:t xml:space="preserve"> England (2023), over 240,000 patients have been seen on virtual wards, freeing up physical infrastructure and human resources for the most critical patients. Crisis circumstances are quickly lightened. The strategy goes beyond capacity, shifting therapeutic thinking from reactive to proactive and preventative. Doctors may now monitor patients' vitals from home, saving costly and time-consuming emergency procedures </w:t>
      </w:r>
      <w:r w:rsidRPr="00E57C6F">
        <w:rPr>
          <w:rFonts w:cs="Times New Roman"/>
          <w:sz w:val="22"/>
        </w:rPr>
        <w:t>(Lyndon et al., 2025).</w:t>
      </w:r>
    </w:p>
    <w:p w14:paraId="0C6A690C" w14:textId="77777777" w:rsidR="00115814" w:rsidRPr="00E57C6F" w:rsidRDefault="00A95820" w:rsidP="00A95820">
      <w:pPr>
        <w:contextualSpacing/>
        <w:rPr>
          <w:rFonts w:cs="Times New Roman"/>
          <w:sz w:val="22"/>
        </w:rPr>
      </w:pPr>
      <w:r w:rsidRPr="00E57C6F">
        <w:rPr>
          <w:rFonts w:eastAsia="Times New Roman" w:cs="Times New Roman"/>
          <w:sz w:val="22"/>
        </w:rPr>
        <w:t xml:space="preserve"> In reaction to minor signs of worsening, such as a steady weight gain that implies fluid retention in heart failure, it can respond early with medication modifications or professional counsel. This data-driven, predictive method improves clinical outcomes and maximises precious healthcare resources. Fully integrated care typically uses virtual </w:t>
      </w:r>
      <w:proofErr w:type="gramStart"/>
      <w:r w:rsidRPr="00E57C6F">
        <w:rPr>
          <w:rFonts w:eastAsia="Times New Roman" w:cs="Times New Roman"/>
          <w:sz w:val="22"/>
        </w:rPr>
        <w:t>wards</w:t>
      </w:r>
      <w:proofErr w:type="gramEnd"/>
      <w:r w:rsidRPr="00E57C6F">
        <w:rPr>
          <w:rFonts w:eastAsia="Times New Roman" w:cs="Times New Roman"/>
          <w:sz w:val="22"/>
        </w:rPr>
        <w:t xml:space="preserve">. The interdisciplinary team monitoring the ward can address a patient's clinical, environmental, and social needs by involving social workers or connecting with community groups. This removes social-health care barriers </w:t>
      </w:r>
      <w:r w:rsidRPr="00E57C6F">
        <w:rPr>
          <w:rFonts w:cs="Times New Roman"/>
          <w:sz w:val="22"/>
        </w:rPr>
        <w:t>(Norman et al., 2023).</w:t>
      </w:r>
    </w:p>
    <w:p w14:paraId="694CB804" w14:textId="77777777" w:rsidR="00115814" w:rsidRPr="00E57C6F" w:rsidRDefault="00115814" w:rsidP="00A95820">
      <w:pPr>
        <w:contextualSpacing/>
        <w:rPr>
          <w:rFonts w:cs="Times New Roman"/>
          <w:b/>
          <w:sz w:val="22"/>
        </w:rPr>
      </w:pPr>
      <w:r w:rsidRPr="00E57C6F">
        <w:rPr>
          <w:rFonts w:cs="Times New Roman"/>
          <w:b/>
          <w:sz w:val="22"/>
        </w:rPr>
        <w:t>Negative Outcomes / Challenges:</w:t>
      </w:r>
    </w:p>
    <w:p w14:paraId="3F3C564F" w14:textId="686D4EF2" w:rsidR="00A95820" w:rsidRPr="00E57C6F" w:rsidRDefault="00A95820" w:rsidP="00A95820">
      <w:pPr>
        <w:contextualSpacing/>
        <w:rPr>
          <w:rFonts w:eastAsia="Times New Roman" w:cs="Times New Roman"/>
          <w:sz w:val="22"/>
        </w:rPr>
      </w:pPr>
      <w:r w:rsidRPr="00E57C6F">
        <w:rPr>
          <w:rFonts w:eastAsia="Times New Roman" w:cs="Times New Roman"/>
          <w:sz w:val="22"/>
        </w:rPr>
        <w:t xml:space="preserve">Virtual wards might </w:t>
      </w:r>
      <w:proofErr w:type="gramStart"/>
      <w:r w:rsidR="009F2004" w:rsidRPr="00E57C6F">
        <w:rPr>
          <w:rFonts w:eastAsia="Times New Roman" w:cs="Times New Roman"/>
          <w:sz w:val="22"/>
        </w:rPr>
        <w:t>revolutionized</w:t>
      </w:r>
      <w:proofErr w:type="gramEnd"/>
      <w:r w:rsidRPr="00E57C6F">
        <w:rPr>
          <w:rFonts w:eastAsia="Times New Roman" w:cs="Times New Roman"/>
          <w:sz w:val="22"/>
        </w:rPr>
        <w:t xml:space="preserve"> healthcare, but </w:t>
      </w:r>
      <w:r w:rsidR="009F2004" w:rsidRPr="00E57C6F">
        <w:rPr>
          <w:rFonts w:eastAsia="Times New Roman" w:cs="Times New Roman"/>
          <w:sz w:val="22"/>
        </w:rPr>
        <w:t>they</w:t>
      </w:r>
      <w:r w:rsidRPr="00E57C6F">
        <w:rPr>
          <w:rFonts w:eastAsia="Times New Roman" w:cs="Times New Roman"/>
          <w:sz w:val="22"/>
        </w:rPr>
        <w:t xml:space="preserve"> face several obstacles that make it tougher to offer equitable and quality care. A major obstacle is expensive upfront and recurring expenditures. Along with digital device kits and complex software platform licenses, funds must be set aside to train a multi-disciplinary team completely and regularly </w:t>
      </w:r>
      <w:r w:rsidRPr="00E57C6F">
        <w:rPr>
          <w:rFonts w:cs="Times New Roman"/>
          <w:sz w:val="22"/>
        </w:rPr>
        <w:t>(Lyndon et al., 2025).</w:t>
      </w:r>
      <w:r w:rsidRPr="00E57C6F">
        <w:rPr>
          <w:rFonts w:eastAsia="Times New Roman" w:cs="Times New Roman"/>
          <w:sz w:val="22"/>
        </w:rPr>
        <w:t xml:space="preserve"> With NHS revenues always restricted, where innovation funding sometimes conflicts with frontline emergency services, reducing hospital admissions will be difficult to achieve. Digital route disjointness is another issue. Several NHS Trusts use a hodgepodge of systems since there is no national IT platform. </w:t>
      </w:r>
    </w:p>
    <w:p w14:paraId="08C7DAE9" w14:textId="77777777" w:rsidR="00115814" w:rsidRPr="00E57C6F" w:rsidRDefault="00A95820" w:rsidP="00A95820">
      <w:pPr>
        <w:contextualSpacing/>
        <w:rPr>
          <w:rFonts w:cs="Times New Roman"/>
          <w:sz w:val="22"/>
        </w:rPr>
      </w:pPr>
      <w:r w:rsidRPr="00E57C6F">
        <w:rPr>
          <w:rFonts w:eastAsia="Times New Roman" w:cs="Times New Roman"/>
          <w:sz w:val="22"/>
        </w:rPr>
        <w:t xml:space="preserve">The lack of standards causes interoperability concerns and regional health inequities, creating a digital treatment "postcode lottery" </w:t>
      </w:r>
      <w:r w:rsidRPr="00E57C6F">
        <w:rPr>
          <w:rFonts w:cs="Times New Roman"/>
          <w:sz w:val="22"/>
        </w:rPr>
        <w:t xml:space="preserve">(Lindsay et al., 2025). </w:t>
      </w:r>
      <w:r w:rsidRPr="00E57C6F">
        <w:rPr>
          <w:rFonts w:eastAsia="Times New Roman" w:cs="Times New Roman"/>
          <w:sz w:val="22"/>
        </w:rPr>
        <w:t xml:space="preserve">A patient on the boundary of one Trust may have access to an elaborate Virtual Ward service, whilst their neighbour may not. Without sufficient assistance, "digital discharge" poses a major risk. This trial initiative admits patients to Virtual Wards without assessing their home life, computer literacy, or social support to minimise hospital overcrowding. If unprepared and unskilled family members were forced to care for patients owing to a lack of domestic infrastructure for remote monitoring, patient safety and ethics might be compromised </w:t>
      </w:r>
      <w:r w:rsidRPr="00E57C6F">
        <w:rPr>
          <w:rFonts w:cs="Times New Roman"/>
          <w:sz w:val="22"/>
        </w:rPr>
        <w:t>(Kunonga et al., 2021).</w:t>
      </w:r>
    </w:p>
    <w:p w14:paraId="7625D7AF" w14:textId="77777777" w:rsidR="00115814" w:rsidRPr="00E57C6F" w:rsidRDefault="00115814" w:rsidP="00A95820">
      <w:pPr>
        <w:pStyle w:val="Heading2"/>
        <w:contextualSpacing/>
        <w:rPr>
          <w:rFonts w:cs="Times New Roman"/>
          <w:sz w:val="22"/>
          <w:szCs w:val="22"/>
        </w:rPr>
      </w:pPr>
      <w:r w:rsidRPr="00E57C6F">
        <w:rPr>
          <w:rFonts w:cs="Times New Roman"/>
          <w:sz w:val="22"/>
          <w:szCs w:val="22"/>
        </w:rPr>
        <w:lastRenderedPageBreak/>
        <w:t>c) Patient/Service User</w:t>
      </w:r>
    </w:p>
    <w:p w14:paraId="24D059E0" w14:textId="6F8C7C9C" w:rsidR="00115814" w:rsidRPr="00E57C6F" w:rsidRDefault="00A95820" w:rsidP="00A95820">
      <w:pPr>
        <w:contextualSpacing/>
        <w:rPr>
          <w:rFonts w:cs="Times New Roman"/>
          <w:sz w:val="22"/>
        </w:rPr>
      </w:pPr>
      <w:r w:rsidRPr="00E57C6F">
        <w:rPr>
          <w:rFonts w:eastAsia="Times New Roman" w:cs="Times New Roman"/>
          <w:sz w:val="22"/>
        </w:rPr>
        <w:t xml:space="preserve">The patient's sense of agency and control over their treatment will change for </w:t>
      </w:r>
      <w:r w:rsidR="009F2004" w:rsidRPr="00E57C6F">
        <w:rPr>
          <w:rFonts w:eastAsia="Times New Roman" w:cs="Times New Roman"/>
          <w:sz w:val="22"/>
        </w:rPr>
        <w:t>the better</w:t>
      </w:r>
      <w:r w:rsidRPr="00E57C6F">
        <w:rPr>
          <w:rFonts w:eastAsia="Times New Roman" w:cs="Times New Roman"/>
          <w:sz w:val="22"/>
        </w:rPr>
        <w:t xml:space="preserve"> and worse.</w:t>
      </w:r>
    </w:p>
    <w:p w14:paraId="68149F3E" w14:textId="77777777" w:rsidR="00115814" w:rsidRPr="00E57C6F" w:rsidRDefault="00115814" w:rsidP="00A95820">
      <w:pPr>
        <w:contextualSpacing/>
        <w:rPr>
          <w:rFonts w:cs="Times New Roman"/>
          <w:b/>
          <w:sz w:val="22"/>
        </w:rPr>
      </w:pPr>
      <w:r w:rsidRPr="00E57C6F">
        <w:rPr>
          <w:rFonts w:cs="Times New Roman"/>
          <w:b/>
          <w:sz w:val="22"/>
        </w:rPr>
        <w:t>Positive Outcomes:</w:t>
      </w:r>
    </w:p>
    <w:p w14:paraId="7A2E088D" w14:textId="4F4FFCB3" w:rsidR="00A95820" w:rsidRPr="00E57C6F" w:rsidRDefault="00A95820" w:rsidP="00A95820">
      <w:pPr>
        <w:contextualSpacing/>
        <w:rPr>
          <w:rFonts w:cs="Times New Roman"/>
          <w:sz w:val="22"/>
        </w:rPr>
      </w:pPr>
      <w:r w:rsidRPr="00E57C6F">
        <w:rPr>
          <w:rFonts w:eastAsia="Times New Roman" w:cs="Times New Roman"/>
          <w:sz w:val="22"/>
        </w:rPr>
        <w:t xml:space="preserve">Virtual wards enable patients to participate in their treatment, improving the </w:t>
      </w:r>
      <w:r w:rsidR="009F2004" w:rsidRPr="00E57C6F">
        <w:rPr>
          <w:rFonts w:eastAsia="Times New Roman" w:cs="Times New Roman"/>
          <w:sz w:val="22"/>
        </w:rPr>
        <w:t>patient’s</w:t>
      </w:r>
      <w:r w:rsidRPr="00E57C6F">
        <w:rPr>
          <w:rFonts w:eastAsia="Times New Roman" w:cs="Times New Roman"/>
          <w:sz w:val="22"/>
        </w:rPr>
        <w:t xml:space="preserve"> experience. Independent living and quality of life are two of this paradigm's biggest benefits. Patients prefer home therapy over inpatient care because it may keep their regular routines, sleep in their own beds, and feel as comfortable and dignified as at home. Some vulnerable individuals are less likely to get sick or disoriented when treated at home. Technology-enabled patient empowerment improves engagement and self-management </w:t>
      </w:r>
      <w:r w:rsidRPr="00E57C6F">
        <w:rPr>
          <w:rFonts w:cs="Times New Roman"/>
          <w:sz w:val="22"/>
        </w:rPr>
        <w:t>(Kanyimo, 2022).</w:t>
      </w:r>
    </w:p>
    <w:p w14:paraId="530B132A" w14:textId="1534776B" w:rsidR="00115814" w:rsidRPr="00E57C6F" w:rsidRDefault="00A95820" w:rsidP="00A95820">
      <w:pPr>
        <w:contextualSpacing/>
        <w:rPr>
          <w:rFonts w:cs="Times New Roman"/>
          <w:sz w:val="22"/>
        </w:rPr>
      </w:pPr>
      <w:r w:rsidRPr="00E57C6F">
        <w:rPr>
          <w:rFonts w:eastAsia="Times New Roman" w:cs="Times New Roman"/>
          <w:sz w:val="22"/>
        </w:rPr>
        <w:t xml:space="preserve"> Tracking and analysing one's physiological data can help one understand their health. It </w:t>
      </w:r>
      <w:r w:rsidR="009F2004" w:rsidRPr="00E57C6F">
        <w:rPr>
          <w:rFonts w:eastAsia="Times New Roman" w:cs="Times New Roman"/>
          <w:sz w:val="22"/>
        </w:rPr>
        <w:t>learns</w:t>
      </w:r>
      <w:r w:rsidRPr="00E57C6F">
        <w:rPr>
          <w:rFonts w:eastAsia="Times New Roman" w:cs="Times New Roman"/>
          <w:sz w:val="22"/>
        </w:rPr>
        <w:t xml:space="preserve"> that nutrition and exercise affect weight, blood oxygen levels, and other indicators. By constantly using their health data, people feel empowered and in control. A strong sense of control is linked to safety. After discovering that a healthcare staff is continually watching their data and ready to respond, some patients and their loved ones report less worry. With this "digital safety net," it may be certain that aid is close, which is a big relief whilst dealing with a major illness at home </w:t>
      </w:r>
      <w:r w:rsidRPr="00E57C6F">
        <w:rPr>
          <w:rFonts w:cs="Times New Roman"/>
          <w:sz w:val="22"/>
        </w:rPr>
        <w:t>(Hutchings, 2020).</w:t>
      </w:r>
    </w:p>
    <w:p w14:paraId="6AEB1B88" w14:textId="77777777" w:rsidR="00115814" w:rsidRPr="00E57C6F" w:rsidRDefault="00115814" w:rsidP="00A95820">
      <w:pPr>
        <w:contextualSpacing/>
        <w:rPr>
          <w:rFonts w:cs="Times New Roman"/>
          <w:b/>
          <w:sz w:val="22"/>
        </w:rPr>
      </w:pPr>
      <w:r w:rsidRPr="00E57C6F">
        <w:rPr>
          <w:rFonts w:cs="Times New Roman"/>
          <w:b/>
          <w:sz w:val="22"/>
        </w:rPr>
        <w:t>Negative Outcomes / Challenges:</w:t>
      </w:r>
    </w:p>
    <w:p w14:paraId="588C121D" w14:textId="65BDC923" w:rsidR="00A95820" w:rsidRPr="00E57C6F" w:rsidRDefault="00A95820" w:rsidP="00A95820">
      <w:pPr>
        <w:contextualSpacing/>
        <w:rPr>
          <w:rFonts w:cs="Times New Roman"/>
          <w:sz w:val="22"/>
        </w:rPr>
      </w:pPr>
      <w:r w:rsidRPr="00E57C6F">
        <w:rPr>
          <w:rFonts w:eastAsia="Times New Roman" w:cs="Times New Roman"/>
          <w:sz w:val="22"/>
        </w:rPr>
        <w:t xml:space="preserve">Although the Virtual Ward model has numerous advantages, it may also introduce new kinds of inequity and harm the patient experience. The biggest challenges are digital exclusion and accessibility. Patients from poorer socioeconomic backgrounds, those with learning problems, or those older may lack the paradigm's mental acuity, physical capabilities, or computer literacy. If this unfairly excludes already-disadvantaged </w:t>
      </w:r>
      <w:r w:rsidR="009F2004" w:rsidRPr="00E57C6F">
        <w:rPr>
          <w:rFonts w:eastAsia="Times New Roman" w:cs="Times New Roman"/>
          <w:sz w:val="22"/>
        </w:rPr>
        <w:t>people</w:t>
      </w:r>
      <w:r w:rsidRPr="00E57C6F">
        <w:rPr>
          <w:rFonts w:eastAsia="Times New Roman" w:cs="Times New Roman"/>
          <w:sz w:val="22"/>
        </w:rPr>
        <w:t xml:space="preserve">, who often have the highest health care requirements, health inequalities may worsen </w:t>
      </w:r>
      <w:r w:rsidRPr="00E57C6F">
        <w:rPr>
          <w:rFonts w:cs="Times New Roman"/>
          <w:sz w:val="22"/>
        </w:rPr>
        <w:t>(Greenhalgh et al., 2021).</w:t>
      </w:r>
    </w:p>
    <w:p w14:paraId="109FB6FC" w14:textId="1AD04F29" w:rsidR="00115814" w:rsidRPr="00E57C6F" w:rsidRDefault="00A95820" w:rsidP="00A95820">
      <w:pPr>
        <w:contextualSpacing/>
        <w:rPr>
          <w:rFonts w:cs="Times New Roman"/>
          <w:sz w:val="22"/>
        </w:rPr>
      </w:pPr>
      <w:r w:rsidRPr="00E57C6F">
        <w:rPr>
          <w:rFonts w:eastAsia="Times New Roman" w:cs="Times New Roman"/>
          <w:sz w:val="22"/>
        </w:rPr>
        <w:t xml:space="preserve"> Technically proficient people may battle with anxiety and technology addiction. Some patients acquire "telemedicine anxiety," when </w:t>
      </w:r>
      <w:proofErr w:type="gramStart"/>
      <w:r w:rsidRPr="00E57C6F">
        <w:rPr>
          <w:rFonts w:eastAsia="Times New Roman" w:cs="Times New Roman"/>
          <w:sz w:val="22"/>
        </w:rPr>
        <w:t xml:space="preserve">it </w:t>
      </w:r>
      <w:r w:rsidR="009F2004" w:rsidRPr="00E57C6F">
        <w:rPr>
          <w:rFonts w:eastAsia="Times New Roman" w:cs="Times New Roman"/>
          <w:sz w:val="22"/>
        </w:rPr>
        <w:t>obsesses</w:t>
      </w:r>
      <w:r w:rsidRPr="00E57C6F">
        <w:rPr>
          <w:rFonts w:eastAsia="Times New Roman" w:cs="Times New Roman"/>
          <w:sz w:val="22"/>
        </w:rPr>
        <w:t xml:space="preserve"> over</w:t>
      </w:r>
      <w:proofErr w:type="gramEnd"/>
      <w:r w:rsidRPr="00E57C6F">
        <w:rPr>
          <w:rFonts w:eastAsia="Times New Roman" w:cs="Times New Roman"/>
          <w:sz w:val="22"/>
        </w:rPr>
        <w:t xml:space="preserve"> their readings and see even little changes as disasters. However, a dead battery or a gadget that won't send data can cause great anxiety and a sensation of being removed from expert care. Finally, whilst it's easy for professionals to have less face-to-face interaction with patients, patients may feel isolated and regard treatment as a transaction. Patients may feel like numbers without comforting human contact, brief talks with nurses, or extensive assessments from physicians, which might impair the therapeutic connection </w:t>
      </w:r>
      <w:r w:rsidRPr="00E57C6F">
        <w:rPr>
          <w:rFonts w:cs="Times New Roman"/>
          <w:sz w:val="22"/>
        </w:rPr>
        <w:t>(Cushen et al., 2022).</w:t>
      </w:r>
    </w:p>
    <w:p w14:paraId="5A3B89DB" w14:textId="77777777" w:rsidR="00115814" w:rsidRPr="00E57C6F" w:rsidRDefault="00115814" w:rsidP="00A95820">
      <w:pPr>
        <w:pStyle w:val="Heading2"/>
        <w:contextualSpacing/>
        <w:rPr>
          <w:rFonts w:cs="Times New Roman"/>
          <w:sz w:val="22"/>
          <w:szCs w:val="22"/>
        </w:rPr>
      </w:pPr>
      <w:r w:rsidRPr="00E57C6F">
        <w:rPr>
          <w:rFonts w:cs="Times New Roman"/>
          <w:sz w:val="22"/>
          <w:szCs w:val="22"/>
        </w:rPr>
        <w:t>d) Community</w:t>
      </w:r>
    </w:p>
    <w:p w14:paraId="39248C1F" w14:textId="77777777" w:rsidR="00115814" w:rsidRPr="00E57C6F" w:rsidRDefault="00A95820" w:rsidP="00A95820">
      <w:pPr>
        <w:contextualSpacing/>
        <w:rPr>
          <w:rFonts w:cs="Times New Roman"/>
          <w:sz w:val="22"/>
        </w:rPr>
      </w:pPr>
      <w:r w:rsidRPr="00E57C6F">
        <w:rPr>
          <w:rFonts w:eastAsia="Times New Roman" w:cs="Times New Roman"/>
          <w:sz w:val="22"/>
        </w:rPr>
        <w:t>Virtual Wards affect local communities and public health efforts.</w:t>
      </w:r>
    </w:p>
    <w:p w14:paraId="4A205AE0" w14:textId="77777777" w:rsidR="00115814" w:rsidRPr="00E57C6F" w:rsidRDefault="00115814" w:rsidP="00A95820">
      <w:pPr>
        <w:contextualSpacing/>
        <w:rPr>
          <w:rFonts w:cs="Times New Roman"/>
          <w:b/>
          <w:sz w:val="22"/>
        </w:rPr>
      </w:pPr>
      <w:r w:rsidRPr="00E57C6F">
        <w:rPr>
          <w:rFonts w:cs="Times New Roman"/>
          <w:b/>
          <w:sz w:val="22"/>
        </w:rPr>
        <w:t>Positive Outcomes:</w:t>
      </w:r>
    </w:p>
    <w:p w14:paraId="564B2681" w14:textId="6F8337DD" w:rsidR="00A95820" w:rsidRPr="00E57C6F" w:rsidRDefault="00A95820" w:rsidP="00A95820">
      <w:pPr>
        <w:contextualSpacing/>
        <w:rPr>
          <w:rFonts w:cs="Times New Roman"/>
          <w:sz w:val="22"/>
        </w:rPr>
      </w:pPr>
      <w:r w:rsidRPr="00E57C6F">
        <w:rPr>
          <w:rFonts w:eastAsia="Times New Roman" w:cs="Times New Roman"/>
          <w:sz w:val="22"/>
        </w:rPr>
        <w:t xml:space="preserve">Virtual Wards </w:t>
      </w:r>
      <w:r w:rsidR="009F2004" w:rsidRPr="00E57C6F">
        <w:rPr>
          <w:rFonts w:eastAsia="Times New Roman" w:cs="Times New Roman"/>
          <w:sz w:val="22"/>
        </w:rPr>
        <w:t>strengthens</w:t>
      </w:r>
      <w:r w:rsidRPr="00E57C6F">
        <w:rPr>
          <w:rFonts w:eastAsia="Times New Roman" w:cs="Times New Roman"/>
          <w:sz w:val="22"/>
        </w:rPr>
        <w:t xml:space="preserve"> our public health approach and </w:t>
      </w:r>
      <w:proofErr w:type="gramStart"/>
      <w:r w:rsidRPr="00E57C6F">
        <w:rPr>
          <w:rFonts w:eastAsia="Times New Roman" w:cs="Times New Roman"/>
          <w:sz w:val="22"/>
        </w:rPr>
        <w:t>impact</w:t>
      </w:r>
      <w:proofErr w:type="gramEnd"/>
      <w:r w:rsidRPr="00E57C6F">
        <w:rPr>
          <w:rFonts w:eastAsia="Times New Roman" w:cs="Times New Roman"/>
          <w:sz w:val="22"/>
        </w:rPr>
        <w:t xml:space="preserve"> local communities beyond patient care. The community gains immensely from unofficial family carers' stress reduction. Family members </w:t>
      </w:r>
      <w:r w:rsidRPr="00E57C6F">
        <w:rPr>
          <w:rFonts w:eastAsia="Times New Roman" w:cs="Times New Roman"/>
          <w:sz w:val="22"/>
        </w:rPr>
        <w:lastRenderedPageBreak/>
        <w:t xml:space="preserve">typically care for ailing or ageing relatives at home, which can cause stress, concern, and, in the worst case, job loss. Virtual Wards </w:t>
      </w:r>
      <w:r w:rsidR="009F2004" w:rsidRPr="00E57C6F">
        <w:rPr>
          <w:rFonts w:eastAsia="Times New Roman" w:cs="Times New Roman"/>
          <w:sz w:val="22"/>
        </w:rPr>
        <w:t>provides</w:t>
      </w:r>
      <w:r w:rsidRPr="00E57C6F">
        <w:rPr>
          <w:rFonts w:eastAsia="Times New Roman" w:cs="Times New Roman"/>
          <w:sz w:val="22"/>
        </w:rPr>
        <w:t xml:space="preserve"> a clinical safety net with expert oversight and constant monitoring to reduce this stress. Carers may relax knowing that medical professionals will be notified of any changes in their loved </w:t>
      </w:r>
      <w:r w:rsidR="009F2004" w:rsidRPr="00E57C6F">
        <w:rPr>
          <w:rFonts w:eastAsia="Times New Roman" w:cs="Times New Roman"/>
          <w:sz w:val="22"/>
        </w:rPr>
        <w:t>ones’</w:t>
      </w:r>
      <w:r w:rsidRPr="00E57C6F">
        <w:rPr>
          <w:rFonts w:eastAsia="Times New Roman" w:cs="Times New Roman"/>
          <w:sz w:val="22"/>
        </w:rPr>
        <w:t xml:space="preserve"> condition. Individuals can continue their normal activities and return to work </w:t>
      </w:r>
      <w:r w:rsidRPr="00E57C6F">
        <w:rPr>
          <w:rFonts w:cs="Times New Roman"/>
          <w:sz w:val="22"/>
        </w:rPr>
        <w:t>(De Luc and Todd, 2020).</w:t>
      </w:r>
    </w:p>
    <w:p w14:paraId="1C11089E" w14:textId="4840B5D0" w:rsidR="00115814" w:rsidRPr="00E57C6F" w:rsidRDefault="00A95820" w:rsidP="00A95820">
      <w:pPr>
        <w:contextualSpacing/>
        <w:rPr>
          <w:rFonts w:cs="Times New Roman"/>
          <w:sz w:val="22"/>
        </w:rPr>
      </w:pPr>
      <w:r w:rsidRPr="00E57C6F">
        <w:rPr>
          <w:rFonts w:eastAsia="Times New Roman" w:cs="Times New Roman"/>
          <w:sz w:val="22"/>
        </w:rPr>
        <w:t xml:space="preserve"> This innovation follows the NHS Long Term Plan's longstanding support for community-based care. By moving healthcare closer to individuals rather than large, impersonal institutions, this technique makes it more accessible, less bureaucratic, and more </w:t>
      </w:r>
      <w:r w:rsidR="009F2004" w:rsidRPr="00E57C6F">
        <w:rPr>
          <w:rFonts w:eastAsia="Times New Roman" w:cs="Times New Roman"/>
          <w:sz w:val="22"/>
        </w:rPr>
        <w:t>community based</w:t>
      </w:r>
      <w:r w:rsidRPr="00E57C6F">
        <w:rPr>
          <w:rFonts w:eastAsia="Times New Roman" w:cs="Times New Roman"/>
          <w:sz w:val="22"/>
        </w:rPr>
        <w:t xml:space="preserve">. Communities may better manage health care due to this transition. Aggregated and anonymised data from hundreds of patients in one area benefits public health efforts. Population-level assessments of illness exacerbations, treatment response, and socioeconomic determinants of health can help commissioners plan services and allocate resources to better serve the community </w:t>
      </w:r>
      <w:r w:rsidRPr="00E57C6F">
        <w:rPr>
          <w:rFonts w:cs="Times New Roman"/>
          <w:sz w:val="22"/>
        </w:rPr>
        <w:t>(Greenhalgh et al., 2021).</w:t>
      </w:r>
    </w:p>
    <w:p w14:paraId="54846280" w14:textId="77777777" w:rsidR="00115814" w:rsidRPr="00E57C6F" w:rsidRDefault="00115814" w:rsidP="00A95820">
      <w:pPr>
        <w:contextualSpacing/>
        <w:rPr>
          <w:rFonts w:cs="Times New Roman"/>
          <w:b/>
          <w:sz w:val="22"/>
        </w:rPr>
      </w:pPr>
      <w:r w:rsidRPr="00E57C6F">
        <w:rPr>
          <w:rFonts w:cs="Times New Roman"/>
          <w:b/>
          <w:sz w:val="22"/>
        </w:rPr>
        <w:t>Negative Outcomes / Challenges:</w:t>
      </w:r>
    </w:p>
    <w:p w14:paraId="75C39ED0" w14:textId="77777777" w:rsidR="00A95820" w:rsidRPr="00E57C6F" w:rsidRDefault="00A95820" w:rsidP="00A95820">
      <w:pPr>
        <w:contextualSpacing/>
        <w:rPr>
          <w:rFonts w:cs="Times New Roman"/>
          <w:sz w:val="22"/>
        </w:rPr>
      </w:pPr>
      <w:r w:rsidRPr="00E57C6F">
        <w:rPr>
          <w:rFonts w:eastAsia="Times New Roman" w:cs="Times New Roman"/>
          <w:sz w:val="22"/>
        </w:rPr>
        <w:t xml:space="preserve">With equality as its foundation, Virtual Wards may solve some community issues. The biggest fear is that these new technologies will worsen health disparities. Language difficulties, a lack of funding, and poor training make using digital services harder for low-income people, worsening chronic illness. Virtual Wards may worsen the digital gap without proactive measures like internet access and expert digital help. Because of this, tech-savvy patients would receive better preventative care, whilst others would have to use the already-stretched traditional service </w:t>
      </w:r>
      <w:r w:rsidRPr="00E57C6F">
        <w:rPr>
          <w:rFonts w:cs="Times New Roman"/>
          <w:sz w:val="22"/>
        </w:rPr>
        <w:t xml:space="preserve">(Cushen et al., 2022). </w:t>
      </w:r>
    </w:p>
    <w:p w14:paraId="6CB09B5A" w14:textId="77777777" w:rsidR="00115814" w:rsidRPr="00E57C6F" w:rsidRDefault="00A95820" w:rsidP="00A95820">
      <w:pPr>
        <w:contextualSpacing/>
        <w:rPr>
          <w:rFonts w:cs="Times New Roman"/>
          <w:sz w:val="22"/>
        </w:rPr>
      </w:pPr>
      <w:r w:rsidRPr="00E57C6F">
        <w:rPr>
          <w:rFonts w:eastAsia="Times New Roman" w:cs="Times New Roman"/>
          <w:sz w:val="22"/>
        </w:rPr>
        <w:t xml:space="preserve">Furthermore, the concept assumes that a patient's home is optimum for recuperation. This ignores the fact that those experiencing homelessness, fuel poverty, or domestic abuse may be at risk at home. Without a thorough social care evaluation, enrolling these at-risk patients in a Virtual Ward is dangerous. Finally, geographical inequalities in digital infrastructure might generate a "rural digital divide." This means underserved or rural populations may not have access to reliable, high-speed internet for data transmission. Thus, postcode-based restrictions may prevent these communities from obtaining this cutting-edge treatment </w:t>
      </w:r>
      <w:r w:rsidRPr="00E57C6F">
        <w:rPr>
          <w:rFonts w:cs="Times New Roman"/>
          <w:sz w:val="22"/>
        </w:rPr>
        <w:t>(Binci et al., 2022).</w:t>
      </w:r>
    </w:p>
    <w:p w14:paraId="4E44CD65" w14:textId="77777777" w:rsidR="00115814" w:rsidRPr="00E57C6F" w:rsidRDefault="00115814" w:rsidP="00E57C6F">
      <w:pPr>
        <w:pStyle w:val="Heading1"/>
      </w:pPr>
      <w:r w:rsidRPr="00E57C6F">
        <w:t>4. Conclusion</w:t>
      </w:r>
      <w:r w:rsidRPr="00E57C6F">
        <w:tab/>
      </w:r>
    </w:p>
    <w:p w14:paraId="408885B7" w14:textId="77777777" w:rsidR="00A95820" w:rsidRPr="00E57C6F" w:rsidRDefault="00A95820" w:rsidP="00A95820">
      <w:pPr>
        <w:contextualSpacing/>
        <w:rPr>
          <w:rFonts w:cs="Times New Roman"/>
          <w:sz w:val="22"/>
        </w:rPr>
      </w:pPr>
      <w:r w:rsidRPr="00E57C6F">
        <w:rPr>
          <w:rFonts w:cs="Times New Roman"/>
          <w:sz w:val="22"/>
        </w:rPr>
        <w:t xml:space="preserve">Heart failure and COPD therapy in the UK </w:t>
      </w:r>
      <w:proofErr w:type="gramStart"/>
      <w:r w:rsidRPr="00E57C6F">
        <w:rPr>
          <w:rFonts w:cs="Times New Roman"/>
          <w:sz w:val="22"/>
        </w:rPr>
        <w:t>is</w:t>
      </w:r>
      <w:proofErr w:type="gramEnd"/>
      <w:r w:rsidRPr="00E57C6F">
        <w:rPr>
          <w:rFonts w:cs="Times New Roman"/>
          <w:sz w:val="22"/>
        </w:rPr>
        <w:t xml:space="preserve"> being transformed by virtual </w:t>
      </w:r>
      <w:proofErr w:type="gramStart"/>
      <w:r w:rsidRPr="00E57C6F">
        <w:rPr>
          <w:rFonts w:cs="Times New Roman"/>
          <w:sz w:val="22"/>
        </w:rPr>
        <w:t>wards</w:t>
      </w:r>
      <w:proofErr w:type="gramEnd"/>
      <w:r w:rsidRPr="00E57C6F">
        <w:rPr>
          <w:rFonts w:cs="Times New Roman"/>
          <w:sz w:val="22"/>
        </w:rPr>
        <w:t xml:space="preserve"> for remote monitoring. It has created a proactive, patient-preferred care paradigm that prevents hospitalisations and facilitates early release, reducing hospital capacity needs. In the previous critical investigation, it found that its major benefits depend on overcoming difficult implementation difficulties. Restructuring and educating the workforce, locally applicable digital exclusion rules, and the ability to handle large upfront financial expenditures alongside other objectives are needed to adapt to the new situation. </w:t>
      </w:r>
    </w:p>
    <w:p w14:paraId="507E9825" w14:textId="0521AAC7" w:rsidR="00115814" w:rsidRPr="00E57C6F" w:rsidRDefault="00A95820" w:rsidP="00A95820">
      <w:pPr>
        <w:contextualSpacing/>
        <w:rPr>
          <w:rFonts w:cs="Times New Roman"/>
          <w:sz w:val="22"/>
        </w:rPr>
      </w:pPr>
      <w:r w:rsidRPr="00E57C6F">
        <w:rPr>
          <w:rFonts w:cs="Times New Roman"/>
          <w:sz w:val="22"/>
        </w:rPr>
        <w:lastRenderedPageBreak/>
        <w:t xml:space="preserve">Virtual Wards need a planned and comprehensive strategy to attain their full potential without worsening socioeconomic disparities. To ensure no one falls through the gaps whilst it </w:t>
      </w:r>
      <w:r w:rsidR="009F2004" w:rsidRPr="00E57C6F">
        <w:rPr>
          <w:rFonts w:cs="Times New Roman"/>
          <w:sz w:val="22"/>
        </w:rPr>
        <w:t>optimizes</w:t>
      </w:r>
      <w:r w:rsidRPr="00E57C6F">
        <w:rPr>
          <w:rFonts w:cs="Times New Roman"/>
          <w:sz w:val="22"/>
        </w:rPr>
        <w:t xml:space="preserve"> the digital pathway's efficiency and clinical efficacy, it must invest in non-digital protections, social care partnerships, and community support infrastructures. This digital transformation's success will be measured by its ability to provide high-quality, person-centred care to all people, reaffirming the NHS's guiding values. Fewer hospital admissions will be less important.</w:t>
      </w:r>
    </w:p>
    <w:p w14:paraId="239F950A" w14:textId="77777777" w:rsidR="00115814" w:rsidRPr="00E57C6F" w:rsidRDefault="00115814" w:rsidP="00A95820">
      <w:pPr>
        <w:contextualSpacing/>
        <w:rPr>
          <w:rFonts w:cs="Times New Roman"/>
          <w:sz w:val="22"/>
        </w:rPr>
      </w:pPr>
    </w:p>
    <w:p w14:paraId="3C25730E" w14:textId="77777777" w:rsidR="00115814" w:rsidRPr="00E57C6F" w:rsidRDefault="00115814" w:rsidP="00A95820">
      <w:pPr>
        <w:ind w:firstLine="0"/>
        <w:contextualSpacing/>
        <w:jc w:val="left"/>
        <w:rPr>
          <w:rFonts w:cs="Times New Roman"/>
          <w:sz w:val="22"/>
        </w:rPr>
      </w:pPr>
      <w:r w:rsidRPr="00E57C6F">
        <w:rPr>
          <w:rFonts w:cs="Times New Roman"/>
          <w:sz w:val="22"/>
        </w:rPr>
        <w:br w:type="page"/>
      </w:r>
    </w:p>
    <w:p w14:paraId="03BBB270" w14:textId="77777777" w:rsidR="00D35DE7" w:rsidRPr="00E57C6F" w:rsidRDefault="00115814" w:rsidP="00E57C6F">
      <w:pPr>
        <w:pStyle w:val="Heading1"/>
      </w:pPr>
      <w:r w:rsidRPr="00E57C6F">
        <w:lastRenderedPageBreak/>
        <w:t>5. References</w:t>
      </w:r>
    </w:p>
    <w:p w14:paraId="52B917B4" w14:textId="77777777"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Binci, D., Palozzi, G. and Scafarto, F., 2022. Toward digital transformation in healthcare: a framework for remote monitoring adoption. </w:t>
      </w:r>
      <w:r w:rsidRPr="00E57C6F">
        <w:rPr>
          <w:rFonts w:cs="Times New Roman"/>
          <w:i/>
          <w:iCs/>
          <w:color w:val="222222"/>
          <w:sz w:val="22"/>
          <w:shd w:val="clear" w:color="auto" w:fill="FFFFFF"/>
        </w:rPr>
        <w:t>The TQM Journal</w:t>
      </w:r>
      <w:r w:rsidRPr="00E57C6F">
        <w:rPr>
          <w:rFonts w:cs="Times New Roman"/>
          <w:color w:val="222222"/>
          <w:sz w:val="22"/>
          <w:shd w:val="clear" w:color="auto" w:fill="FFFFFF"/>
        </w:rPr>
        <w:t>, </w:t>
      </w:r>
      <w:r w:rsidRPr="00E57C6F">
        <w:rPr>
          <w:rFonts w:cs="Times New Roman"/>
          <w:i/>
          <w:iCs/>
          <w:color w:val="222222"/>
          <w:sz w:val="22"/>
          <w:shd w:val="clear" w:color="auto" w:fill="FFFFFF"/>
        </w:rPr>
        <w:t>34</w:t>
      </w:r>
      <w:r w:rsidRPr="00E57C6F">
        <w:rPr>
          <w:rFonts w:cs="Times New Roman"/>
          <w:color w:val="222222"/>
          <w:sz w:val="22"/>
          <w:shd w:val="clear" w:color="auto" w:fill="FFFFFF"/>
        </w:rPr>
        <w:t>(6), pp.1772-1799.</w:t>
      </w:r>
    </w:p>
    <w:p w14:paraId="21CF23E4" w14:textId="77777777"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Cushen, B., Madden, A., Long, D., Whelan, Y., O’Brien, M.E., Carroll, D., O’Flynn, D., Forde, M., Pye, V., Grogan, L. and Casey, M., 2022. Integrating hospital and community care: using a community virtual ward model to deliver combined specialist and generalist care to patients with severe chronic respiratory disease in their homes. </w:t>
      </w:r>
      <w:r w:rsidRPr="00E57C6F">
        <w:rPr>
          <w:rFonts w:cs="Times New Roman"/>
          <w:i/>
          <w:iCs/>
          <w:color w:val="222222"/>
          <w:sz w:val="22"/>
          <w:shd w:val="clear" w:color="auto" w:fill="FFFFFF"/>
        </w:rPr>
        <w:t>Irish Journal of Medical Science (1971-)</w:t>
      </w:r>
      <w:r w:rsidRPr="00E57C6F">
        <w:rPr>
          <w:rFonts w:cs="Times New Roman"/>
          <w:color w:val="222222"/>
          <w:sz w:val="22"/>
          <w:shd w:val="clear" w:color="auto" w:fill="FFFFFF"/>
        </w:rPr>
        <w:t>, </w:t>
      </w:r>
      <w:r w:rsidRPr="00E57C6F">
        <w:rPr>
          <w:rFonts w:cs="Times New Roman"/>
          <w:i/>
          <w:iCs/>
          <w:color w:val="222222"/>
          <w:sz w:val="22"/>
          <w:shd w:val="clear" w:color="auto" w:fill="FFFFFF"/>
        </w:rPr>
        <w:t>191</w:t>
      </w:r>
      <w:r w:rsidRPr="00E57C6F">
        <w:rPr>
          <w:rFonts w:cs="Times New Roman"/>
          <w:color w:val="222222"/>
          <w:sz w:val="22"/>
          <w:shd w:val="clear" w:color="auto" w:fill="FFFFFF"/>
        </w:rPr>
        <w:t>(2), pp.615-621.</w:t>
      </w:r>
    </w:p>
    <w:p w14:paraId="22A0B0F4" w14:textId="77777777" w:rsidR="00A95820" w:rsidRPr="00E57C6F" w:rsidRDefault="00A95820" w:rsidP="00A95820">
      <w:pPr>
        <w:ind w:left="720" w:hanging="720"/>
        <w:contextualSpacing/>
        <w:rPr>
          <w:rFonts w:cs="Times New Roman"/>
          <w:sz w:val="22"/>
        </w:rPr>
      </w:pPr>
      <w:r w:rsidRPr="00E57C6F">
        <w:rPr>
          <w:rFonts w:cs="Times New Roman"/>
          <w:color w:val="222222"/>
          <w:sz w:val="22"/>
          <w:shd w:val="clear" w:color="auto" w:fill="FFFFFF"/>
        </w:rPr>
        <w:t>De Luc, K. and Todd, J., 2020. </w:t>
      </w:r>
      <w:r w:rsidRPr="00E57C6F">
        <w:rPr>
          <w:rFonts w:cs="Times New Roman"/>
          <w:i/>
          <w:iCs/>
          <w:color w:val="222222"/>
          <w:sz w:val="22"/>
          <w:shd w:val="clear" w:color="auto" w:fill="FFFFFF"/>
        </w:rPr>
        <w:t>e-pathways: Computers and the patient's journey through care</w:t>
      </w:r>
      <w:r w:rsidRPr="00E57C6F">
        <w:rPr>
          <w:rFonts w:cs="Times New Roman"/>
          <w:color w:val="222222"/>
          <w:sz w:val="22"/>
          <w:shd w:val="clear" w:color="auto" w:fill="FFFFFF"/>
        </w:rPr>
        <w:t>. CRC Press.</w:t>
      </w:r>
    </w:p>
    <w:p w14:paraId="09B1534A" w14:textId="77777777"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Greenhalgh, T., Knight, M., Inada-Kim, M., Fulop, N.J., Leach, J. and Vindrola-Padros, C., 2021. Remote management of covid-19 using home pulse oximetry and virtual ward support. </w:t>
      </w:r>
      <w:r w:rsidRPr="00E57C6F">
        <w:rPr>
          <w:rFonts w:cs="Times New Roman"/>
          <w:i/>
          <w:iCs/>
          <w:color w:val="222222"/>
          <w:sz w:val="22"/>
          <w:shd w:val="clear" w:color="auto" w:fill="FFFFFF"/>
        </w:rPr>
        <w:t>bmj</w:t>
      </w:r>
      <w:r w:rsidRPr="00E57C6F">
        <w:rPr>
          <w:rFonts w:cs="Times New Roman"/>
          <w:color w:val="222222"/>
          <w:sz w:val="22"/>
          <w:shd w:val="clear" w:color="auto" w:fill="FFFFFF"/>
        </w:rPr>
        <w:t>, </w:t>
      </w:r>
      <w:r w:rsidRPr="00E57C6F">
        <w:rPr>
          <w:rFonts w:cs="Times New Roman"/>
          <w:i/>
          <w:iCs/>
          <w:color w:val="222222"/>
          <w:sz w:val="22"/>
          <w:shd w:val="clear" w:color="auto" w:fill="FFFFFF"/>
        </w:rPr>
        <w:t>372</w:t>
      </w:r>
      <w:r w:rsidRPr="00E57C6F">
        <w:rPr>
          <w:rFonts w:cs="Times New Roman"/>
          <w:color w:val="222222"/>
          <w:sz w:val="22"/>
          <w:shd w:val="clear" w:color="auto" w:fill="FFFFFF"/>
        </w:rPr>
        <w:t>.</w:t>
      </w:r>
    </w:p>
    <w:p w14:paraId="72D4FEC5" w14:textId="77777777"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Hutchings, R., 2020. The impact of Covid-19 on the use of digital technology in the NHS. </w:t>
      </w:r>
      <w:r w:rsidRPr="00E57C6F">
        <w:rPr>
          <w:rFonts w:cs="Times New Roman"/>
          <w:i/>
          <w:iCs/>
          <w:color w:val="222222"/>
          <w:sz w:val="22"/>
          <w:shd w:val="clear" w:color="auto" w:fill="FFFFFF"/>
        </w:rPr>
        <w:t>Nuffield Trust</w:t>
      </w:r>
      <w:r w:rsidRPr="00E57C6F">
        <w:rPr>
          <w:rFonts w:cs="Times New Roman"/>
          <w:color w:val="222222"/>
          <w:sz w:val="22"/>
          <w:shd w:val="clear" w:color="auto" w:fill="FFFFFF"/>
        </w:rPr>
        <w:t>, </w:t>
      </w:r>
      <w:r w:rsidRPr="00E57C6F">
        <w:rPr>
          <w:rFonts w:cs="Times New Roman"/>
          <w:i/>
          <w:iCs/>
          <w:color w:val="222222"/>
          <w:sz w:val="22"/>
          <w:shd w:val="clear" w:color="auto" w:fill="FFFFFF"/>
        </w:rPr>
        <w:t>27</w:t>
      </w:r>
      <w:r w:rsidRPr="00E57C6F">
        <w:rPr>
          <w:rFonts w:cs="Times New Roman"/>
          <w:color w:val="222222"/>
          <w:sz w:val="22"/>
          <w:shd w:val="clear" w:color="auto" w:fill="FFFFFF"/>
        </w:rPr>
        <w:t>, pp.2002-2008.</w:t>
      </w:r>
    </w:p>
    <w:p w14:paraId="703EB0F1" w14:textId="77777777"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 xml:space="preserve">Kanyimo, E., 2022. Using virtual </w:t>
      </w:r>
      <w:proofErr w:type="gramStart"/>
      <w:r w:rsidRPr="00E57C6F">
        <w:rPr>
          <w:rFonts w:cs="Times New Roman"/>
          <w:color w:val="222222"/>
          <w:sz w:val="22"/>
          <w:shd w:val="clear" w:color="auto" w:fill="FFFFFF"/>
        </w:rPr>
        <w:t>wards</w:t>
      </w:r>
      <w:proofErr w:type="gramEnd"/>
      <w:r w:rsidRPr="00E57C6F">
        <w:rPr>
          <w:rFonts w:cs="Times New Roman"/>
          <w:color w:val="222222"/>
          <w:sz w:val="22"/>
          <w:shd w:val="clear" w:color="auto" w:fill="FFFFFF"/>
        </w:rPr>
        <w:t xml:space="preserve"> and long-term conditions management network to improve practice and performance. </w:t>
      </w:r>
      <w:r w:rsidRPr="00E57C6F">
        <w:rPr>
          <w:rFonts w:cs="Times New Roman"/>
          <w:i/>
          <w:iCs/>
          <w:color w:val="222222"/>
          <w:sz w:val="22"/>
          <w:shd w:val="clear" w:color="auto" w:fill="FFFFFF"/>
        </w:rPr>
        <w:t>BMJ open quality</w:t>
      </w:r>
      <w:r w:rsidRPr="00E57C6F">
        <w:rPr>
          <w:rFonts w:cs="Times New Roman"/>
          <w:color w:val="222222"/>
          <w:sz w:val="22"/>
          <w:shd w:val="clear" w:color="auto" w:fill="FFFFFF"/>
        </w:rPr>
        <w:t>, </w:t>
      </w:r>
      <w:r w:rsidRPr="00E57C6F">
        <w:rPr>
          <w:rFonts w:cs="Times New Roman"/>
          <w:i/>
          <w:iCs/>
          <w:color w:val="222222"/>
          <w:sz w:val="22"/>
          <w:shd w:val="clear" w:color="auto" w:fill="FFFFFF"/>
        </w:rPr>
        <w:t>11</w:t>
      </w:r>
      <w:r w:rsidRPr="00E57C6F">
        <w:rPr>
          <w:rFonts w:cs="Times New Roman"/>
          <w:color w:val="222222"/>
          <w:sz w:val="22"/>
          <w:shd w:val="clear" w:color="auto" w:fill="FFFFFF"/>
        </w:rPr>
        <w:t>(4), p.e001952.</w:t>
      </w:r>
    </w:p>
    <w:p w14:paraId="3017049D" w14:textId="77777777"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Kunonga, T.P., Spiers, G.F., Beyer, F.R., Hanratty, B., Boulton, E., Hall, A., Bower, P., Todd, C. and Craig, D., 2021. Effects of digital technologies on older people’s access to health and social care: umbrella review. </w:t>
      </w:r>
      <w:r w:rsidRPr="00E57C6F">
        <w:rPr>
          <w:rFonts w:cs="Times New Roman"/>
          <w:i/>
          <w:iCs/>
          <w:color w:val="222222"/>
          <w:sz w:val="22"/>
          <w:shd w:val="clear" w:color="auto" w:fill="FFFFFF"/>
        </w:rPr>
        <w:t>Journal of medical Internet research</w:t>
      </w:r>
      <w:r w:rsidRPr="00E57C6F">
        <w:rPr>
          <w:rFonts w:cs="Times New Roman"/>
          <w:color w:val="222222"/>
          <w:sz w:val="22"/>
          <w:shd w:val="clear" w:color="auto" w:fill="FFFFFF"/>
        </w:rPr>
        <w:t>, </w:t>
      </w:r>
      <w:r w:rsidRPr="00E57C6F">
        <w:rPr>
          <w:rFonts w:cs="Times New Roman"/>
          <w:i/>
          <w:iCs/>
          <w:color w:val="222222"/>
          <w:sz w:val="22"/>
          <w:shd w:val="clear" w:color="auto" w:fill="FFFFFF"/>
        </w:rPr>
        <w:t>23</w:t>
      </w:r>
      <w:r w:rsidRPr="00E57C6F">
        <w:rPr>
          <w:rFonts w:cs="Times New Roman"/>
          <w:color w:val="222222"/>
          <w:sz w:val="22"/>
          <w:shd w:val="clear" w:color="auto" w:fill="FFFFFF"/>
        </w:rPr>
        <w:t>(11), p.e25887.</w:t>
      </w:r>
    </w:p>
    <w:p w14:paraId="7E18C6A2" w14:textId="77777777"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Lindsay, R.K., Cunnington, P. and Dixon-Woods, M., 2025. Why is implementing remote monitoring in virtual wards (Hospital at Home) for people living with frailty so hard? Qualitative interview study. </w:t>
      </w:r>
      <w:r w:rsidRPr="00E57C6F">
        <w:rPr>
          <w:rFonts w:cs="Times New Roman"/>
          <w:i/>
          <w:iCs/>
          <w:color w:val="222222"/>
          <w:sz w:val="22"/>
          <w:shd w:val="clear" w:color="auto" w:fill="FFFFFF"/>
        </w:rPr>
        <w:t>Age and Ageing</w:t>
      </w:r>
      <w:r w:rsidRPr="00E57C6F">
        <w:rPr>
          <w:rFonts w:cs="Times New Roman"/>
          <w:color w:val="222222"/>
          <w:sz w:val="22"/>
          <w:shd w:val="clear" w:color="auto" w:fill="FFFFFF"/>
        </w:rPr>
        <w:t>, </w:t>
      </w:r>
      <w:r w:rsidRPr="00E57C6F">
        <w:rPr>
          <w:rFonts w:cs="Times New Roman"/>
          <w:i/>
          <w:iCs/>
          <w:color w:val="222222"/>
          <w:sz w:val="22"/>
          <w:shd w:val="clear" w:color="auto" w:fill="FFFFFF"/>
        </w:rPr>
        <w:t>54</w:t>
      </w:r>
      <w:r w:rsidRPr="00E57C6F">
        <w:rPr>
          <w:rFonts w:cs="Times New Roman"/>
          <w:color w:val="222222"/>
          <w:sz w:val="22"/>
          <w:shd w:val="clear" w:color="auto" w:fill="FFFFFF"/>
        </w:rPr>
        <w:t xml:space="preserve">(1), </w:t>
      </w:r>
      <w:proofErr w:type="gramStart"/>
      <w:r w:rsidRPr="00E57C6F">
        <w:rPr>
          <w:rFonts w:cs="Times New Roman"/>
          <w:color w:val="222222"/>
          <w:sz w:val="22"/>
          <w:shd w:val="clear" w:color="auto" w:fill="FFFFFF"/>
        </w:rPr>
        <w:t>p.afaf</w:t>
      </w:r>
      <w:proofErr w:type="gramEnd"/>
      <w:r w:rsidRPr="00E57C6F">
        <w:rPr>
          <w:rFonts w:cs="Times New Roman"/>
          <w:color w:val="222222"/>
          <w:sz w:val="22"/>
          <w:shd w:val="clear" w:color="auto" w:fill="FFFFFF"/>
        </w:rPr>
        <w:t>003.</w:t>
      </w:r>
    </w:p>
    <w:p w14:paraId="17893F9F" w14:textId="3A094225"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 xml:space="preserve">Lyndon, H., Viney, T. and Slade, V., 2025. A service evaluation of virtual </w:t>
      </w:r>
      <w:proofErr w:type="gramStart"/>
      <w:r w:rsidRPr="00E57C6F">
        <w:rPr>
          <w:rFonts w:cs="Times New Roman"/>
          <w:color w:val="222222"/>
          <w:sz w:val="22"/>
          <w:shd w:val="clear" w:color="auto" w:fill="FFFFFF"/>
        </w:rPr>
        <w:t>wards</w:t>
      </w:r>
      <w:proofErr w:type="gramEnd"/>
      <w:r w:rsidRPr="00E57C6F">
        <w:rPr>
          <w:rFonts w:cs="Times New Roman"/>
          <w:color w:val="222222"/>
          <w:sz w:val="22"/>
          <w:shd w:val="clear" w:color="auto" w:fill="FFFFFF"/>
        </w:rPr>
        <w:t xml:space="preserve"> in Cornwall, UK. </w:t>
      </w:r>
      <w:r w:rsidRPr="00E57C6F">
        <w:rPr>
          <w:rFonts w:cs="Times New Roman"/>
          <w:i/>
          <w:iCs/>
          <w:color w:val="222222"/>
          <w:sz w:val="22"/>
          <w:shd w:val="clear" w:color="auto" w:fill="FFFFFF"/>
        </w:rPr>
        <w:t>Oxford Open Digital Health</w:t>
      </w:r>
      <w:r w:rsidRPr="00E57C6F">
        <w:rPr>
          <w:rFonts w:cs="Times New Roman"/>
          <w:color w:val="222222"/>
          <w:sz w:val="22"/>
          <w:shd w:val="clear" w:color="auto" w:fill="FFFFFF"/>
        </w:rPr>
        <w:t>, </w:t>
      </w:r>
      <w:r w:rsidRPr="00E57C6F">
        <w:rPr>
          <w:rFonts w:cs="Times New Roman"/>
          <w:i/>
          <w:iCs/>
          <w:color w:val="222222"/>
          <w:sz w:val="22"/>
          <w:shd w:val="clear" w:color="auto" w:fill="FFFFFF"/>
        </w:rPr>
        <w:t>3</w:t>
      </w:r>
      <w:r w:rsidRPr="00E57C6F">
        <w:rPr>
          <w:rFonts w:cs="Times New Roman"/>
          <w:color w:val="222222"/>
          <w:sz w:val="22"/>
          <w:shd w:val="clear" w:color="auto" w:fill="FFFFFF"/>
        </w:rPr>
        <w:t xml:space="preserve">, </w:t>
      </w:r>
      <w:r w:rsidR="009F2004" w:rsidRPr="00E57C6F">
        <w:rPr>
          <w:rFonts w:cs="Times New Roman"/>
          <w:color w:val="222222"/>
          <w:sz w:val="22"/>
          <w:shd w:val="clear" w:color="auto" w:fill="FFFFFF"/>
        </w:rPr>
        <w:t>p. oqaf</w:t>
      </w:r>
      <w:r w:rsidRPr="00E57C6F">
        <w:rPr>
          <w:rFonts w:cs="Times New Roman"/>
          <w:color w:val="222222"/>
          <w:sz w:val="22"/>
          <w:shd w:val="clear" w:color="auto" w:fill="FFFFFF"/>
        </w:rPr>
        <w:t>008.</w:t>
      </w:r>
    </w:p>
    <w:p w14:paraId="075A7987" w14:textId="7F7F36ED" w:rsidR="00A95820" w:rsidRPr="00E57C6F" w:rsidRDefault="00A95820" w:rsidP="00A95820">
      <w:pPr>
        <w:ind w:left="720" w:hanging="720"/>
        <w:contextualSpacing/>
        <w:rPr>
          <w:rFonts w:cs="Times New Roman"/>
          <w:sz w:val="22"/>
        </w:rPr>
      </w:pPr>
      <w:r w:rsidRPr="00E57C6F">
        <w:rPr>
          <w:rFonts w:cs="Times New Roman"/>
          <w:sz w:val="22"/>
        </w:rPr>
        <w:t>NHS England. (2023). </w:t>
      </w:r>
      <w:r w:rsidRPr="00E57C6F">
        <w:rPr>
          <w:rStyle w:val="Emphasis"/>
          <w:rFonts w:cs="Times New Roman"/>
          <w:color w:val="0F1115"/>
          <w:sz w:val="22"/>
        </w:rPr>
        <w:t xml:space="preserve">Virtual wards delivered 240,000 </w:t>
      </w:r>
      <w:r w:rsidR="009F2004" w:rsidRPr="00E57C6F">
        <w:rPr>
          <w:rStyle w:val="Emphasis"/>
          <w:rFonts w:cs="Times New Roman"/>
          <w:color w:val="0F1115"/>
          <w:sz w:val="22"/>
        </w:rPr>
        <w:t>care patients</w:t>
      </w:r>
      <w:r w:rsidRPr="00E57C6F">
        <w:rPr>
          <w:rStyle w:val="Emphasis"/>
          <w:rFonts w:cs="Times New Roman"/>
          <w:color w:val="0F1115"/>
          <w:sz w:val="22"/>
        </w:rPr>
        <w:t xml:space="preserve"> at home this winter</w:t>
      </w:r>
      <w:r w:rsidRPr="00E57C6F">
        <w:rPr>
          <w:rFonts w:cs="Times New Roman"/>
          <w:sz w:val="22"/>
        </w:rPr>
        <w:t>. [Online] Available at: NHS England website.</w:t>
      </w:r>
    </w:p>
    <w:p w14:paraId="34F4DD73" w14:textId="26ECAE68"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Norman, G., Bennett, P. and Vardy, E.R., 2023. Virtual wards: a rapid evidence synthesis and implications for the care of older people. </w:t>
      </w:r>
      <w:r w:rsidRPr="00E57C6F">
        <w:rPr>
          <w:rFonts w:cs="Times New Roman"/>
          <w:i/>
          <w:iCs/>
          <w:color w:val="222222"/>
          <w:sz w:val="22"/>
          <w:shd w:val="clear" w:color="auto" w:fill="FFFFFF"/>
        </w:rPr>
        <w:t>Age and Ageing</w:t>
      </w:r>
      <w:r w:rsidRPr="00E57C6F">
        <w:rPr>
          <w:rFonts w:cs="Times New Roman"/>
          <w:color w:val="222222"/>
          <w:sz w:val="22"/>
          <w:shd w:val="clear" w:color="auto" w:fill="FFFFFF"/>
        </w:rPr>
        <w:t>, </w:t>
      </w:r>
      <w:r w:rsidRPr="00E57C6F">
        <w:rPr>
          <w:rFonts w:cs="Times New Roman"/>
          <w:i/>
          <w:iCs/>
          <w:color w:val="222222"/>
          <w:sz w:val="22"/>
          <w:shd w:val="clear" w:color="auto" w:fill="FFFFFF"/>
        </w:rPr>
        <w:t>52</w:t>
      </w:r>
      <w:r w:rsidRPr="00E57C6F">
        <w:rPr>
          <w:rFonts w:cs="Times New Roman"/>
          <w:color w:val="222222"/>
          <w:sz w:val="22"/>
          <w:shd w:val="clear" w:color="auto" w:fill="FFFFFF"/>
        </w:rPr>
        <w:t xml:space="preserve">(1), </w:t>
      </w:r>
      <w:r w:rsidR="009F2004" w:rsidRPr="00E57C6F">
        <w:rPr>
          <w:rFonts w:cs="Times New Roman"/>
          <w:color w:val="222222"/>
          <w:sz w:val="22"/>
          <w:shd w:val="clear" w:color="auto" w:fill="FFFFFF"/>
        </w:rPr>
        <w:t>p. afac</w:t>
      </w:r>
      <w:r w:rsidRPr="00E57C6F">
        <w:rPr>
          <w:rFonts w:cs="Times New Roman"/>
          <w:color w:val="222222"/>
          <w:sz w:val="22"/>
          <w:shd w:val="clear" w:color="auto" w:fill="FFFFFF"/>
        </w:rPr>
        <w:t>319.</w:t>
      </w:r>
    </w:p>
    <w:p w14:paraId="30E06177" w14:textId="0E7D4D84"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Norman, G., Bennett, P. and Vardy, E.R., 2023. Virtual wards: a rapid evidence synthesis and implications for the care of older people. </w:t>
      </w:r>
      <w:r w:rsidRPr="00E57C6F">
        <w:rPr>
          <w:rFonts w:cs="Times New Roman"/>
          <w:i/>
          <w:iCs/>
          <w:color w:val="222222"/>
          <w:sz w:val="22"/>
          <w:shd w:val="clear" w:color="auto" w:fill="FFFFFF"/>
        </w:rPr>
        <w:t>Age and Ageing</w:t>
      </w:r>
      <w:r w:rsidRPr="00E57C6F">
        <w:rPr>
          <w:rFonts w:cs="Times New Roman"/>
          <w:color w:val="222222"/>
          <w:sz w:val="22"/>
          <w:shd w:val="clear" w:color="auto" w:fill="FFFFFF"/>
        </w:rPr>
        <w:t>, </w:t>
      </w:r>
      <w:r w:rsidRPr="00E57C6F">
        <w:rPr>
          <w:rFonts w:cs="Times New Roman"/>
          <w:i/>
          <w:iCs/>
          <w:color w:val="222222"/>
          <w:sz w:val="22"/>
          <w:shd w:val="clear" w:color="auto" w:fill="FFFFFF"/>
        </w:rPr>
        <w:t>52</w:t>
      </w:r>
      <w:r w:rsidRPr="00E57C6F">
        <w:rPr>
          <w:rFonts w:cs="Times New Roman"/>
          <w:color w:val="222222"/>
          <w:sz w:val="22"/>
          <w:shd w:val="clear" w:color="auto" w:fill="FFFFFF"/>
        </w:rPr>
        <w:t xml:space="preserve">(1), </w:t>
      </w:r>
      <w:r w:rsidR="009F2004" w:rsidRPr="00E57C6F">
        <w:rPr>
          <w:rFonts w:cs="Times New Roman"/>
          <w:color w:val="222222"/>
          <w:sz w:val="22"/>
          <w:shd w:val="clear" w:color="auto" w:fill="FFFFFF"/>
        </w:rPr>
        <w:t>p. afac</w:t>
      </w:r>
      <w:r w:rsidRPr="00E57C6F">
        <w:rPr>
          <w:rFonts w:cs="Times New Roman"/>
          <w:color w:val="222222"/>
          <w:sz w:val="22"/>
          <w:shd w:val="clear" w:color="auto" w:fill="FFFFFF"/>
        </w:rPr>
        <w:t>319.</w:t>
      </w:r>
    </w:p>
    <w:p w14:paraId="2B07E028" w14:textId="77777777"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 xml:space="preserve">Schultz, K., Vickery, H., Campbell, K., Wheeldon, M., Barrett-Beck, L. and Rushbrook, E., 2021. Implementation of a virtual </w:t>
      </w:r>
      <w:proofErr w:type="gramStart"/>
      <w:r w:rsidRPr="00E57C6F">
        <w:rPr>
          <w:rFonts w:cs="Times New Roman"/>
          <w:color w:val="222222"/>
          <w:sz w:val="22"/>
          <w:shd w:val="clear" w:color="auto" w:fill="FFFFFF"/>
        </w:rPr>
        <w:t>ward</w:t>
      </w:r>
      <w:proofErr w:type="gramEnd"/>
      <w:r w:rsidRPr="00E57C6F">
        <w:rPr>
          <w:rFonts w:cs="Times New Roman"/>
          <w:color w:val="222222"/>
          <w:sz w:val="22"/>
          <w:shd w:val="clear" w:color="auto" w:fill="FFFFFF"/>
        </w:rPr>
        <w:t xml:space="preserve"> as a response to the COVID-19 pandemic. </w:t>
      </w:r>
      <w:r w:rsidRPr="00E57C6F">
        <w:rPr>
          <w:rFonts w:cs="Times New Roman"/>
          <w:i/>
          <w:iCs/>
          <w:color w:val="222222"/>
          <w:sz w:val="22"/>
          <w:shd w:val="clear" w:color="auto" w:fill="FFFFFF"/>
        </w:rPr>
        <w:t>Australian Health Review</w:t>
      </w:r>
      <w:r w:rsidRPr="00E57C6F">
        <w:rPr>
          <w:rFonts w:cs="Times New Roman"/>
          <w:color w:val="222222"/>
          <w:sz w:val="22"/>
          <w:shd w:val="clear" w:color="auto" w:fill="FFFFFF"/>
        </w:rPr>
        <w:t>, </w:t>
      </w:r>
      <w:r w:rsidRPr="00E57C6F">
        <w:rPr>
          <w:rFonts w:cs="Times New Roman"/>
          <w:i/>
          <w:iCs/>
          <w:color w:val="222222"/>
          <w:sz w:val="22"/>
          <w:shd w:val="clear" w:color="auto" w:fill="FFFFFF"/>
        </w:rPr>
        <w:t>45</w:t>
      </w:r>
      <w:r w:rsidRPr="00E57C6F">
        <w:rPr>
          <w:rFonts w:cs="Times New Roman"/>
          <w:color w:val="222222"/>
          <w:sz w:val="22"/>
          <w:shd w:val="clear" w:color="auto" w:fill="FFFFFF"/>
        </w:rPr>
        <w:t>(4), pp.433-441.</w:t>
      </w:r>
    </w:p>
    <w:p w14:paraId="682F34C6" w14:textId="77777777"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Shah, S.S., Gvozdanovic, A., Knight, M. and Gagnon, J., 2021. Mobile app–based remote patient monitoring in acute medical conditions: prospective feasibility study exploring digital health solutions on clinical workload during the COVID crisis. </w:t>
      </w:r>
      <w:r w:rsidRPr="00E57C6F">
        <w:rPr>
          <w:rFonts w:cs="Times New Roman"/>
          <w:i/>
          <w:iCs/>
          <w:color w:val="222222"/>
          <w:sz w:val="22"/>
          <w:shd w:val="clear" w:color="auto" w:fill="FFFFFF"/>
        </w:rPr>
        <w:t>JMIR formative research</w:t>
      </w:r>
      <w:r w:rsidRPr="00E57C6F">
        <w:rPr>
          <w:rFonts w:cs="Times New Roman"/>
          <w:color w:val="222222"/>
          <w:sz w:val="22"/>
          <w:shd w:val="clear" w:color="auto" w:fill="FFFFFF"/>
        </w:rPr>
        <w:t>, </w:t>
      </w:r>
      <w:r w:rsidRPr="00E57C6F">
        <w:rPr>
          <w:rFonts w:cs="Times New Roman"/>
          <w:i/>
          <w:iCs/>
          <w:color w:val="222222"/>
          <w:sz w:val="22"/>
          <w:shd w:val="clear" w:color="auto" w:fill="FFFFFF"/>
        </w:rPr>
        <w:t>5</w:t>
      </w:r>
      <w:r w:rsidRPr="00E57C6F">
        <w:rPr>
          <w:rFonts w:cs="Times New Roman"/>
          <w:color w:val="222222"/>
          <w:sz w:val="22"/>
          <w:shd w:val="clear" w:color="auto" w:fill="FFFFFF"/>
        </w:rPr>
        <w:t>(1), p.e23190.</w:t>
      </w:r>
    </w:p>
    <w:p w14:paraId="76086C63" w14:textId="052C81E3"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lastRenderedPageBreak/>
        <w:t xml:space="preserve">Shi, C., Dumville, J., Rubinstein, F., Norman, G., Ullah, A., Bashir, S., Bower, P. and Vardy, E.R., 2024. Inpatient-level care at home delivered by virtual wards and </w:t>
      </w:r>
      <w:r w:rsidR="009F2004" w:rsidRPr="00E57C6F">
        <w:rPr>
          <w:rFonts w:cs="Times New Roman"/>
          <w:color w:val="222222"/>
          <w:sz w:val="22"/>
          <w:shd w:val="clear" w:color="auto" w:fill="FFFFFF"/>
        </w:rPr>
        <w:t>hospitals</w:t>
      </w:r>
      <w:r w:rsidRPr="00E57C6F">
        <w:rPr>
          <w:rFonts w:cs="Times New Roman"/>
          <w:color w:val="222222"/>
          <w:sz w:val="22"/>
          <w:shd w:val="clear" w:color="auto" w:fill="FFFFFF"/>
        </w:rPr>
        <w:t xml:space="preserve"> at home: a systematic review and meta-analysis of complex interventions and their components. </w:t>
      </w:r>
      <w:r w:rsidRPr="00E57C6F">
        <w:rPr>
          <w:rFonts w:cs="Times New Roman"/>
          <w:i/>
          <w:iCs/>
          <w:color w:val="222222"/>
          <w:sz w:val="22"/>
          <w:shd w:val="clear" w:color="auto" w:fill="FFFFFF"/>
        </w:rPr>
        <w:t>BMC medicine</w:t>
      </w:r>
      <w:r w:rsidRPr="00E57C6F">
        <w:rPr>
          <w:rFonts w:cs="Times New Roman"/>
          <w:color w:val="222222"/>
          <w:sz w:val="22"/>
          <w:shd w:val="clear" w:color="auto" w:fill="FFFFFF"/>
        </w:rPr>
        <w:t>, </w:t>
      </w:r>
      <w:r w:rsidRPr="00E57C6F">
        <w:rPr>
          <w:rFonts w:cs="Times New Roman"/>
          <w:i/>
          <w:iCs/>
          <w:color w:val="222222"/>
          <w:sz w:val="22"/>
          <w:shd w:val="clear" w:color="auto" w:fill="FFFFFF"/>
        </w:rPr>
        <w:t>22</w:t>
      </w:r>
      <w:r w:rsidRPr="00E57C6F">
        <w:rPr>
          <w:rFonts w:cs="Times New Roman"/>
          <w:color w:val="222222"/>
          <w:sz w:val="22"/>
          <w:shd w:val="clear" w:color="auto" w:fill="FFFFFF"/>
        </w:rPr>
        <w:t>(1), p.145.</w:t>
      </w:r>
    </w:p>
    <w:p w14:paraId="3C3317B6" w14:textId="77777777"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Vallée, A. and Arutkin, M., 2024. The transformative power of virtual hospitals for revolutionising healthcare delivery. </w:t>
      </w:r>
      <w:r w:rsidRPr="00E57C6F">
        <w:rPr>
          <w:rFonts w:cs="Times New Roman"/>
          <w:i/>
          <w:iCs/>
          <w:color w:val="222222"/>
          <w:sz w:val="22"/>
          <w:shd w:val="clear" w:color="auto" w:fill="FFFFFF"/>
        </w:rPr>
        <w:t>Public health reviews</w:t>
      </w:r>
      <w:r w:rsidRPr="00E57C6F">
        <w:rPr>
          <w:rFonts w:cs="Times New Roman"/>
          <w:color w:val="222222"/>
          <w:sz w:val="22"/>
          <w:shd w:val="clear" w:color="auto" w:fill="FFFFFF"/>
        </w:rPr>
        <w:t>, </w:t>
      </w:r>
      <w:r w:rsidRPr="00E57C6F">
        <w:rPr>
          <w:rFonts w:cs="Times New Roman"/>
          <w:i/>
          <w:iCs/>
          <w:color w:val="222222"/>
          <w:sz w:val="22"/>
          <w:shd w:val="clear" w:color="auto" w:fill="FFFFFF"/>
        </w:rPr>
        <w:t>45</w:t>
      </w:r>
      <w:r w:rsidRPr="00E57C6F">
        <w:rPr>
          <w:rFonts w:cs="Times New Roman"/>
          <w:color w:val="222222"/>
          <w:sz w:val="22"/>
          <w:shd w:val="clear" w:color="auto" w:fill="FFFFFF"/>
        </w:rPr>
        <w:t>, p.1606371.</w:t>
      </w:r>
    </w:p>
    <w:p w14:paraId="0F2183CD" w14:textId="77777777"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Vindrola-Padros, C., Sidhu, M.S., Georghiou, T., Sherlaw-Johnson, C., Singh, K.E., Tomini, S.M., Ellins, J., Morris, S. and Fulop, N.J., 2021. The implementation of remote home monitoring models during the COVID-19 pandemic in England. </w:t>
      </w:r>
      <w:r w:rsidRPr="00E57C6F">
        <w:rPr>
          <w:rFonts w:cs="Times New Roman"/>
          <w:i/>
          <w:iCs/>
          <w:color w:val="222222"/>
          <w:sz w:val="22"/>
          <w:shd w:val="clear" w:color="auto" w:fill="FFFFFF"/>
        </w:rPr>
        <w:t>EClinicalMedicine</w:t>
      </w:r>
      <w:r w:rsidRPr="00E57C6F">
        <w:rPr>
          <w:rFonts w:cs="Times New Roman"/>
          <w:color w:val="222222"/>
          <w:sz w:val="22"/>
          <w:shd w:val="clear" w:color="auto" w:fill="FFFFFF"/>
        </w:rPr>
        <w:t>, </w:t>
      </w:r>
      <w:r w:rsidRPr="00E57C6F">
        <w:rPr>
          <w:rFonts w:cs="Times New Roman"/>
          <w:i/>
          <w:iCs/>
          <w:color w:val="222222"/>
          <w:sz w:val="22"/>
          <w:shd w:val="clear" w:color="auto" w:fill="FFFFFF"/>
        </w:rPr>
        <w:t>34</w:t>
      </w:r>
      <w:r w:rsidRPr="00E57C6F">
        <w:rPr>
          <w:rFonts w:cs="Times New Roman"/>
          <w:color w:val="222222"/>
          <w:sz w:val="22"/>
          <w:shd w:val="clear" w:color="auto" w:fill="FFFFFF"/>
        </w:rPr>
        <w:t>.</w:t>
      </w:r>
    </w:p>
    <w:p w14:paraId="13CA0B6B" w14:textId="4910BEE8" w:rsidR="00A95820" w:rsidRPr="00E57C6F" w:rsidRDefault="00A95820" w:rsidP="00A95820">
      <w:pPr>
        <w:ind w:left="720" w:hanging="720"/>
        <w:contextualSpacing/>
        <w:rPr>
          <w:rFonts w:cs="Times New Roman"/>
          <w:color w:val="222222"/>
          <w:sz w:val="22"/>
          <w:shd w:val="clear" w:color="auto" w:fill="FFFFFF"/>
        </w:rPr>
      </w:pPr>
      <w:r w:rsidRPr="00E57C6F">
        <w:rPr>
          <w:rFonts w:cs="Times New Roman"/>
          <w:color w:val="222222"/>
          <w:sz w:val="22"/>
          <w:shd w:val="clear" w:color="auto" w:fill="FFFFFF"/>
        </w:rPr>
        <w:t xml:space="preserve">Westby, M., Ijaz, S., Savović, J., McLeod, H., Dawson, S., Welsh, T., Le Roux, H., Walsh, N. and Bradley, N., 2024. Virtual </w:t>
      </w:r>
      <w:proofErr w:type="gramStart"/>
      <w:r w:rsidRPr="00E57C6F">
        <w:rPr>
          <w:rFonts w:cs="Times New Roman"/>
          <w:color w:val="222222"/>
          <w:sz w:val="22"/>
          <w:shd w:val="clear" w:color="auto" w:fill="FFFFFF"/>
        </w:rPr>
        <w:t>wards</w:t>
      </w:r>
      <w:proofErr w:type="gramEnd"/>
      <w:r w:rsidRPr="00E57C6F">
        <w:rPr>
          <w:rFonts w:cs="Times New Roman"/>
          <w:color w:val="222222"/>
          <w:sz w:val="22"/>
          <w:shd w:val="clear" w:color="auto" w:fill="FFFFFF"/>
        </w:rPr>
        <w:t xml:space="preserve"> for people with frailty: what works, for whom, how and why—a rapid realist review. </w:t>
      </w:r>
      <w:r w:rsidRPr="00E57C6F">
        <w:rPr>
          <w:rFonts w:cs="Times New Roman"/>
          <w:i/>
          <w:iCs/>
          <w:color w:val="222222"/>
          <w:sz w:val="22"/>
          <w:shd w:val="clear" w:color="auto" w:fill="FFFFFF"/>
        </w:rPr>
        <w:t>Age and Ageing</w:t>
      </w:r>
      <w:r w:rsidRPr="00E57C6F">
        <w:rPr>
          <w:rFonts w:cs="Times New Roman"/>
          <w:color w:val="222222"/>
          <w:sz w:val="22"/>
          <w:shd w:val="clear" w:color="auto" w:fill="FFFFFF"/>
        </w:rPr>
        <w:t>, </w:t>
      </w:r>
      <w:r w:rsidRPr="00E57C6F">
        <w:rPr>
          <w:rFonts w:cs="Times New Roman"/>
          <w:i/>
          <w:iCs/>
          <w:color w:val="222222"/>
          <w:sz w:val="22"/>
          <w:shd w:val="clear" w:color="auto" w:fill="FFFFFF"/>
        </w:rPr>
        <w:t>53</w:t>
      </w:r>
      <w:r w:rsidRPr="00E57C6F">
        <w:rPr>
          <w:rFonts w:cs="Times New Roman"/>
          <w:color w:val="222222"/>
          <w:sz w:val="22"/>
          <w:shd w:val="clear" w:color="auto" w:fill="FFFFFF"/>
        </w:rPr>
        <w:t xml:space="preserve">(3), </w:t>
      </w:r>
      <w:r w:rsidR="009F2004" w:rsidRPr="00E57C6F">
        <w:rPr>
          <w:rFonts w:cs="Times New Roman"/>
          <w:color w:val="222222"/>
          <w:sz w:val="22"/>
          <w:shd w:val="clear" w:color="auto" w:fill="FFFFFF"/>
        </w:rPr>
        <w:t>p. afae</w:t>
      </w:r>
      <w:r w:rsidRPr="00E57C6F">
        <w:rPr>
          <w:rFonts w:cs="Times New Roman"/>
          <w:color w:val="222222"/>
          <w:sz w:val="22"/>
          <w:shd w:val="clear" w:color="auto" w:fill="FFFFFF"/>
        </w:rPr>
        <w:t>039.</w:t>
      </w:r>
    </w:p>
    <w:p w14:paraId="4924C756" w14:textId="77777777" w:rsidR="00A95820" w:rsidRPr="00E57C6F" w:rsidRDefault="00A95820" w:rsidP="00A95820">
      <w:pPr>
        <w:ind w:left="720" w:hanging="720"/>
        <w:contextualSpacing/>
        <w:rPr>
          <w:rFonts w:cs="Times New Roman"/>
          <w:sz w:val="22"/>
        </w:rPr>
      </w:pPr>
    </w:p>
    <w:p w14:paraId="23000250" w14:textId="77777777" w:rsidR="00115814" w:rsidRPr="00E57C6F" w:rsidRDefault="00115814" w:rsidP="00A95820">
      <w:pPr>
        <w:contextualSpacing/>
        <w:rPr>
          <w:rFonts w:cs="Times New Roman"/>
          <w:sz w:val="22"/>
        </w:rPr>
      </w:pPr>
    </w:p>
    <w:p w14:paraId="52658942" w14:textId="77777777" w:rsidR="008F1CC4" w:rsidRPr="00E57C6F" w:rsidRDefault="008F1CC4" w:rsidP="00A95820">
      <w:pPr>
        <w:contextualSpacing/>
        <w:rPr>
          <w:rFonts w:cs="Times New Roman"/>
          <w:sz w:val="22"/>
        </w:rPr>
      </w:pPr>
    </w:p>
    <w:sectPr w:rsidR="008F1CC4" w:rsidRPr="00E57C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BF36F9"/>
    <w:multiLevelType w:val="multilevel"/>
    <w:tmpl w:val="7FC2D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4B232A"/>
    <w:multiLevelType w:val="multilevel"/>
    <w:tmpl w:val="6FD0F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5293921">
    <w:abstractNumId w:val="1"/>
  </w:num>
  <w:num w:numId="2" w16cid:durableId="1416245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AED"/>
    <w:rsid w:val="00093BA7"/>
    <w:rsid w:val="000B4293"/>
    <w:rsid w:val="00115814"/>
    <w:rsid w:val="00274D18"/>
    <w:rsid w:val="00277802"/>
    <w:rsid w:val="003E77FC"/>
    <w:rsid w:val="004641A3"/>
    <w:rsid w:val="006772B1"/>
    <w:rsid w:val="007E3F40"/>
    <w:rsid w:val="008F1CC4"/>
    <w:rsid w:val="009013CA"/>
    <w:rsid w:val="009F2004"/>
    <w:rsid w:val="00A742D2"/>
    <w:rsid w:val="00A95820"/>
    <w:rsid w:val="00AC4AED"/>
    <w:rsid w:val="00C51595"/>
    <w:rsid w:val="00CB3673"/>
    <w:rsid w:val="00CD1E75"/>
    <w:rsid w:val="00D35DE7"/>
    <w:rsid w:val="00E57C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6BCA6"/>
  <w15:chartTrackingRefBased/>
  <w15:docId w15:val="{C97E818D-4D2F-4430-BB79-3291A29A0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4293"/>
    <w:pPr>
      <w:spacing w:after="0" w:line="360" w:lineRule="auto"/>
      <w:ind w:firstLine="720"/>
      <w:jc w:val="both"/>
    </w:pPr>
    <w:rPr>
      <w:rFonts w:ascii="Times New Roman" w:hAnsi="Times New Roman"/>
      <w:sz w:val="24"/>
    </w:rPr>
  </w:style>
  <w:style w:type="paragraph" w:styleId="Heading1">
    <w:name w:val="heading 1"/>
    <w:basedOn w:val="Normal"/>
    <w:next w:val="Normal"/>
    <w:link w:val="Heading1Char"/>
    <w:autoRedefine/>
    <w:uiPriority w:val="9"/>
    <w:qFormat/>
    <w:rsid w:val="00E57C6F"/>
    <w:pPr>
      <w:keepNext/>
      <w:keepLines/>
      <w:ind w:firstLine="0"/>
      <w:contextualSpacing/>
      <w:outlineLvl w:val="0"/>
    </w:pPr>
    <w:rPr>
      <w:rFonts w:eastAsiaTheme="majorEastAsia" w:cs="Times New Roman"/>
      <w:b/>
      <w:i/>
      <w:sz w:val="22"/>
    </w:rPr>
  </w:style>
  <w:style w:type="paragraph" w:styleId="Heading2">
    <w:name w:val="heading 2"/>
    <w:basedOn w:val="Normal"/>
    <w:next w:val="Normal"/>
    <w:link w:val="Heading2Char"/>
    <w:autoRedefine/>
    <w:uiPriority w:val="9"/>
    <w:unhideWhenUsed/>
    <w:qFormat/>
    <w:rsid w:val="000B4293"/>
    <w:pPr>
      <w:keepNext/>
      <w:keepLines/>
      <w:ind w:firstLine="0"/>
      <w:outlineLvl w:val="1"/>
    </w:pPr>
    <w:rPr>
      <w:rFonts w:eastAsiaTheme="majorEastAsia" w:cstheme="majorBidi"/>
      <w:i/>
      <w:color w:val="000000" w:themeColor="text1"/>
      <w:szCs w:val="26"/>
    </w:rPr>
  </w:style>
  <w:style w:type="paragraph" w:styleId="Heading3">
    <w:name w:val="heading 3"/>
    <w:basedOn w:val="Normal"/>
    <w:next w:val="Normal"/>
    <w:link w:val="Heading3Char"/>
    <w:autoRedefine/>
    <w:uiPriority w:val="9"/>
    <w:unhideWhenUsed/>
    <w:qFormat/>
    <w:rsid w:val="00A742D2"/>
    <w:pPr>
      <w:keepNext/>
      <w:keepLines/>
      <w:spacing w:before="160" w:after="80"/>
      <w:outlineLvl w:val="2"/>
    </w:pPr>
    <w:rPr>
      <w:rFonts w:eastAsiaTheme="majorEastAsia" w:cstheme="majorBidi"/>
      <w:b/>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C6F"/>
    <w:rPr>
      <w:rFonts w:ascii="Times New Roman" w:eastAsiaTheme="majorEastAsia" w:hAnsi="Times New Roman" w:cs="Times New Roman"/>
      <w:b/>
      <w:i/>
    </w:rPr>
  </w:style>
  <w:style w:type="character" w:customStyle="1" w:styleId="Heading2Char">
    <w:name w:val="Heading 2 Char"/>
    <w:basedOn w:val="DefaultParagraphFont"/>
    <w:link w:val="Heading2"/>
    <w:uiPriority w:val="9"/>
    <w:rsid w:val="000B4293"/>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rsid w:val="00A742D2"/>
    <w:rPr>
      <w:rFonts w:ascii="Times New Roman" w:eastAsiaTheme="majorEastAsia" w:hAnsi="Times New Roman" w:cstheme="majorBidi"/>
      <w:b/>
      <w:color w:val="000000" w:themeColor="text1"/>
      <w:sz w:val="24"/>
      <w:szCs w:val="28"/>
    </w:rPr>
  </w:style>
  <w:style w:type="character" w:styleId="Strong">
    <w:name w:val="Strong"/>
    <w:basedOn w:val="DefaultParagraphFont"/>
    <w:uiPriority w:val="22"/>
    <w:qFormat/>
    <w:rsid w:val="00AC4AED"/>
    <w:rPr>
      <w:b/>
      <w:bCs/>
    </w:rPr>
  </w:style>
  <w:style w:type="paragraph" w:styleId="NormalWeb">
    <w:name w:val="Normal (Web)"/>
    <w:basedOn w:val="Normal"/>
    <w:uiPriority w:val="99"/>
    <w:semiHidden/>
    <w:unhideWhenUsed/>
    <w:rsid w:val="00AC4AED"/>
    <w:pPr>
      <w:spacing w:before="100" w:beforeAutospacing="1" w:after="100" w:afterAutospacing="1" w:line="240" w:lineRule="auto"/>
      <w:ind w:firstLine="0"/>
      <w:jc w:val="left"/>
    </w:pPr>
    <w:rPr>
      <w:rFonts w:eastAsia="Times New Roman" w:cs="Times New Roman"/>
      <w:kern w:val="0"/>
      <w:szCs w:val="24"/>
      <w14:ligatures w14:val="none"/>
    </w:rPr>
  </w:style>
  <w:style w:type="character" w:styleId="Emphasis">
    <w:name w:val="Emphasis"/>
    <w:basedOn w:val="DefaultParagraphFont"/>
    <w:uiPriority w:val="20"/>
    <w:qFormat/>
    <w:rsid w:val="00AC4AED"/>
    <w:rPr>
      <w:i/>
      <w:iCs/>
    </w:rPr>
  </w:style>
  <w:style w:type="character" w:styleId="Hyperlink">
    <w:name w:val="Hyperlink"/>
    <w:basedOn w:val="DefaultParagraphFont"/>
    <w:uiPriority w:val="99"/>
    <w:semiHidden/>
    <w:unhideWhenUsed/>
    <w:rsid w:val="00AC4AED"/>
    <w:rPr>
      <w:color w:val="0000FF"/>
      <w:u w:val="single"/>
    </w:rPr>
  </w:style>
  <w:style w:type="paragraph" w:customStyle="1" w:styleId="ds-markdown-paragraph">
    <w:name w:val="ds-markdown-paragraph"/>
    <w:basedOn w:val="Normal"/>
    <w:rsid w:val="00115814"/>
    <w:pPr>
      <w:spacing w:before="100" w:beforeAutospacing="1" w:after="100" w:afterAutospacing="1" w:line="240" w:lineRule="auto"/>
      <w:ind w:firstLine="0"/>
      <w:jc w:val="left"/>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811229">
      <w:bodyDiv w:val="1"/>
      <w:marLeft w:val="0"/>
      <w:marRight w:val="0"/>
      <w:marTop w:val="0"/>
      <w:marBottom w:val="0"/>
      <w:divBdr>
        <w:top w:val="none" w:sz="0" w:space="0" w:color="auto"/>
        <w:left w:val="none" w:sz="0" w:space="0" w:color="auto"/>
        <w:bottom w:val="none" w:sz="0" w:space="0" w:color="auto"/>
        <w:right w:val="none" w:sz="0" w:space="0" w:color="auto"/>
      </w:divBdr>
    </w:div>
    <w:div w:id="1482884725">
      <w:bodyDiv w:val="1"/>
      <w:marLeft w:val="0"/>
      <w:marRight w:val="0"/>
      <w:marTop w:val="0"/>
      <w:marBottom w:val="0"/>
      <w:divBdr>
        <w:top w:val="none" w:sz="0" w:space="0" w:color="auto"/>
        <w:left w:val="none" w:sz="0" w:space="0" w:color="auto"/>
        <w:bottom w:val="none" w:sz="0" w:space="0" w:color="auto"/>
        <w:right w:val="none" w:sz="0" w:space="0" w:color="auto"/>
      </w:divBdr>
      <w:divsChild>
        <w:div w:id="85200419">
          <w:marLeft w:val="0"/>
          <w:marRight w:val="0"/>
          <w:marTop w:val="0"/>
          <w:marBottom w:val="0"/>
          <w:divBdr>
            <w:top w:val="none" w:sz="0" w:space="0" w:color="auto"/>
            <w:left w:val="none" w:sz="0" w:space="0" w:color="auto"/>
            <w:bottom w:val="none" w:sz="0" w:space="0" w:color="auto"/>
            <w:right w:val="none" w:sz="0" w:space="0" w:color="auto"/>
          </w:divBdr>
          <w:divsChild>
            <w:div w:id="649288263">
              <w:marLeft w:val="0"/>
              <w:marRight w:val="0"/>
              <w:marTop w:val="0"/>
              <w:marBottom w:val="0"/>
              <w:divBdr>
                <w:top w:val="none" w:sz="0" w:space="0" w:color="auto"/>
                <w:left w:val="none" w:sz="0" w:space="0" w:color="auto"/>
                <w:bottom w:val="none" w:sz="0" w:space="0" w:color="auto"/>
                <w:right w:val="none" w:sz="0" w:space="0" w:color="auto"/>
              </w:divBdr>
              <w:divsChild>
                <w:div w:id="306321390">
                  <w:marLeft w:val="0"/>
                  <w:marRight w:val="0"/>
                  <w:marTop w:val="0"/>
                  <w:marBottom w:val="0"/>
                  <w:divBdr>
                    <w:top w:val="none" w:sz="0" w:space="0" w:color="auto"/>
                    <w:left w:val="none" w:sz="0" w:space="0" w:color="auto"/>
                    <w:bottom w:val="none" w:sz="0" w:space="0" w:color="auto"/>
                    <w:right w:val="none" w:sz="0" w:space="0" w:color="auto"/>
                  </w:divBdr>
                  <w:divsChild>
                    <w:div w:id="2142529727">
                      <w:marLeft w:val="0"/>
                      <w:marRight w:val="0"/>
                      <w:marTop w:val="0"/>
                      <w:marBottom w:val="0"/>
                      <w:divBdr>
                        <w:top w:val="none" w:sz="0" w:space="0" w:color="auto"/>
                        <w:left w:val="none" w:sz="0" w:space="0" w:color="auto"/>
                        <w:bottom w:val="none" w:sz="0" w:space="0" w:color="auto"/>
                        <w:right w:val="none" w:sz="0" w:space="0" w:color="auto"/>
                      </w:divBdr>
                      <w:divsChild>
                        <w:div w:id="801926392">
                          <w:marLeft w:val="0"/>
                          <w:marRight w:val="0"/>
                          <w:marTop w:val="0"/>
                          <w:marBottom w:val="0"/>
                          <w:divBdr>
                            <w:top w:val="none" w:sz="0" w:space="0" w:color="auto"/>
                            <w:left w:val="none" w:sz="0" w:space="0" w:color="auto"/>
                            <w:bottom w:val="none" w:sz="0" w:space="0" w:color="auto"/>
                            <w:right w:val="none" w:sz="0" w:space="0" w:color="auto"/>
                          </w:divBdr>
                          <w:divsChild>
                            <w:div w:id="39532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9208036">
      <w:bodyDiv w:val="1"/>
      <w:marLeft w:val="0"/>
      <w:marRight w:val="0"/>
      <w:marTop w:val="0"/>
      <w:marBottom w:val="0"/>
      <w:divBdr>
        <w:top w:val="none" w:sz="0" w:space="0" w:color="auto"/>
        <w:left w:val="none" w:sz="0" w:space="0" w:color="auto"/>
        <w:bottom w:val="none" w:sz="0" w:space="0" w:color="auto"/>
        <w:right w:val="none" w:sz="0" w:space="0" w:color="auto"/>
      </w:divBdr>
    </w:div>
    <w:div w:id="1686705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2907</Words>
  <Characters>16573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Lucien Mbala (1809077)</cp:lastModifiedBy>
  <cp:revision>2</cp:revision>
  <dcterms:created xsi:type="dcterms:W3CDTF">2025-10-24T23:33:00Z</dcterms:created>
  <dcterms:modified xsi:type="dcterms:W3CDTF">2025-10-24T23:33:00Z</dcterms:modified>
</cp:coreProperties>
</file>