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56786" w14:textId="77777777" w:rsidR="00FF01B2" w:rsidRPr="00DB74A4" w:rsidRDefault="00CC1BD1" w:rsidP="0033236F">
      <w:pPr>
        <w:spacing w:line="360" w:lineRule="auto"/>
        <w:rPr>
          <w:rFonts w:ascii="Arial" w:eastAsia="Arial" w:hAnsi="Arial" w:cs="Arial"/>
        </w:rPr>
      </w:pPr>
      <w:bookmarkStart w:id="0" w:name="_Hlk174548917"/>
      <w:r w:rsidRPr="2633F10F">
        <w:rPr>
          <w:rFonts w:ascii="Arial" w:eastAsia="Arial" w:hAnsi="Arial" w:cs="Arial"/>
          <w:b/>
          <w:bCs/>
        </w:rPr>
        <w:t>Critically evaluate a range of methodological approaches, research designs and research methods appropriate to gather data from complex work-based settings. Apply due consideration to research ethics and issues of insider research.</w:t>
      </w:r>
    </w:p>
    <w:p w14:paraId="0417C46C" w14:textId="0B796ACB" w:rsidR="0059485A" w:rsidRPr="0059485A" w:rsidRDefault="00CC1BD1" w:rsidP="0033236F">
      <w:pPr>
        <w:spacing w:line="360" w:lineRule="auto"/>
        <w:rPr>
          <w:rFonts w:ascii="Arial" w:eastAsia="Arial" w:hAnsi="Arial" w:cs="Arial"/>
          <w:b/>
          <w:bCs/>
        </w:rPr>
      </w:pPr>
      <w:r w:rsidRPr="2633F10F">
        <w:rPr>
          <w:rFonts w:ascii="Arial" w:eastAsia="Arial" w:hAnsi="Arial" w:cs="Arial"/>
          <w:b/>
          <w:bCs/>
        </w:rPr>
        <w:t>Introduction</w:t>
      </w:r>
    </w:p>
    <w:p w14:paraId="0F49B0E8" w14:textId="1A2CED6A" w:rsidR="006E502B" w:rsidRPr="004B7BDC" w:rsidRDefault="006554FE" w:rsidP="0033236F">
      <w:pPr>
        <w:spacing w:before="100" w:beforeAutospacing="1" w:after="100" w:afterAutospacing="1" w:line="360" w:lineRule="auto"/>
        <w:rPr>
          <w:rFonts w:ascii="Arial" w:eastAsia="Arial" w:hAnsi="Arial" w:cs="Arial"/>
          <w:kern w:val="0"/>
          <w:lang w:eastAsia="en-GB"/>
          <w14:ligatures w14:val="none"/>
        </w:rPr>
      </w:pPr>
      <w:r w:rsidRPr="006554FE">
        <w:rPr>
          <w:rFonts w:ascii="Arial" w:eastAsia="Arial" w:hAnsi="Arial" w:cs="Arial"/>
          <w:kern w:val="0"/>
          <w:lang w:eastAsia="en-GB"/>
          <w14:ligatures w14:val="none"/>
        </w:rPr>
        <w:t>This paper seeks to deepen the comprehension of research design, methodology, and ethics within insider research, with a particular emphasis on teaching practices for trans and transitioning voices.</w:t>
      </w:r>
      <w:r>
        <w:rPr>
          <w:rFonts w:ascii="Arial" w:eastAsia="Arial" w:hAnsi="Arial" w:cs="Arial"/>
          <w:kern w:val="0"/>
          <w:lang w:eastAsia="en-GB"/>
          <w14:ligatures w14:val="none"/>
        </w:rPr>
        <w:t xml:space="preserve"> </w:t>
      </w:r>
      <w:r w:rsidR="00CC1BD1" w:rsidRPr="2633F10F">
        <w:rPr>
          <w:rFonts w:ascii="Arial" w:eastAsia="Arial" w:hAnsi="Arial" w:cs="Arial"/>
          <w:kern w:val="0"/>
          <w:lang w:eastAsia="en-GB"/>
          <w14:ligatures w14:val="none"/>
        </w:rPr>
        <w:t>These vocalists face various challenges, including identity, intersectionality, depersonalization, and a reduced sense of accomplishment (Stryker, 2000; Crenshaw, 2013; Verret et al., 2021; Maslach &amp; Leiter, 2004). While previous research has focused on general professional settings, this study contextualizes trans pedagogy within vocal teaching, particularly for trans and transitioning voices.</w:t>
      </w:r>
    </w:p>
    <w:p w14:paraId="19147612" w14:textId="77777777" w:rsidR="006E502B"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Trans and transitioning voices involve complex, tailored vocal training and therapy to align vocal presentation with gender identity, addressing unique physiological and psychological needs (Davies, Papp &amp; Antoni, 2015).</w:t>
      </w:r>
    </w:p>
    <w:p w14:paraId="41025673" w14:textId="5E80EC6F" w:rsidR="006E502B" w:rsidRPr="004B7BDC" w:rsidRDefault="00111833" w:rsidP="0033236F">
      <w:pPr>
        <w:spacing w:before="100" w:beforeAutospacing="1" w:after="100" w:afterAutospacing="1" w:line="360" w:lineRule="auto"/>
        <w:rPr>
          <w:rFonts w:ascii="Arial" w:eastAsia="Arial" w:hAnsi="Arial" w:cs="Arial"/>
          <w:kern w:val="0"/>
          <w:lang w:eastAsia="en-GB"/>
          <w14:ligatures w14:val="none"/>
        </w:rPr>
      </w:pPr>
      <w:r w:rsidRPr="00111833">
        <w:rPr>
          <w:rFonts w:ascii="Arial" w:eastAsia="Arial" w:hAnsi="Arial" w:cs="Arial"/>
          <w:kern w:val="0"/>
          <w:lang w:eastAsia="en-GB"/>
          <w14:ligatures w14:val="none"/>
        </w:rPr>
        <w:t xml:space="preserve">The review intends to develop a research design that will result in the </w:t>
      </w:r>
      <w:r>
        <w:rPr>
          <w:rFonts w:ascii="Arial" w:eastAsia="Arial" w:hAnsi="Arial" w:cs="Arial"/>
          <w:kern w:val="0"/>
          <w:lang w:eastAsia="en-GB"/>
          <w14:ligatures w14:val="none"/>
        </w:rPr>
        <w:t>development</w:t>
      </w:r>
      <w:r w:rsidRPr="00111833">
        <w:rPr>
          <w:rFonts w:ascii="Arial" w:eastAsia="Arial" w:hAnsi="Arial" w:cs="Arial"/>
          <w:kern w:val="0"/>
          <w:lang w:eastAsia="en-GB"/>
          <w14:ligatures w14:val="none"/>
        </w:rPr>
        <w:t xml:space="preserve"> of a comprehensive framework to support adult transitioning voices in musical theatre, with a particular focus on enhancing their belt voice.</w:t>
      </w:r>
      <w:r>
        <w:rPr>
          <w:rFonts w:ascii="Arial" w:eastAsia="Arial" w:hAnsi="Arial" w:cs="Arial"/>
          <w:kern w:val="0"/>
          <w:lang w:eastAsia="en-GB"/>
          <w14:ligatures w14:val="none"/>
        </w:rPr>
        <w:t xml:space="preserve"> </w:t>
      </w:r>
      <w:r w:rsidR="00CC1BD1" w:rsidRPr="2633F10F">
        <w:rPr>
          <w:rFonts w:ascii="Arial" w:eastAsia="Arial" w:hAnsi="Arial" w:cs="Arial"/>
          <w:lang w:eastAsia="en-GB"/>
        </w:rPr>
        <w:t xml:space="preserve">This framework </w:t>
      </w:r>
      <w:r w:rsidR="4CED203F" w:rsidRPr="2633F10F">
        <w:rPr>
          <w:rFonts w:ascii="Arial" w:eastAsia="Arial" w:hAnsi="Arial" w:cs="Arial"/>
          <w:lang w:eastAsia="en-GB"/>
        </w:rPr>
        <w:t>hopes</w:t>
      </w:r>
      <w:r w:rsidR="00426CAF">
        <w:rPr>
          <w:rFonts w:ascii="Arial" w:eastAsia="Arial" w:hAnsi="Arial" w:cs="Arial"/>
          <w:lang w:eastAsia="en-GB"/>
        </w:rPr>
        <w:t xml:space="preserve"> to</w:t>
      </w:r>
      <w:r w:rsidR="4CED203F" w:rsidRPr="2633F10F">
        <w:rPr>
          <w:rFonts w:ascii="Arial" w:eastAsia="Arial" w:hAnsi="Arial" w:cs="Arial"/>
          <w:lang w:eastAsia="en-GB"/>
        </w:rPr>
        <w:t xml:space="preserve"> </w:t>
      </w:r>
      <w:r w:rsidR="00CC1BD1" w:rsidRPr="2633F10F">
        <w:rPr>
          <w:rFonts w:ascii="Arial" w:eastAsia="Arial" w:hAnsi="Arial" w:cs="Arial"/>
          <w:lang w:eastAsia="en-GB"/>
        </w:rPr>
        <w:t xml:space="preserve">refine belting techniques by examining the interplay between physiological and chemical changes, mindset, and voice production, offering a holistic </w:t>
      </w:r>
      <w:r w:rsidR="009A0689" w:rsidRPr="2633F10F">
        <w:rPr>
          <w:rFonts w:ascii="Arial" w:eastAsia="Arial" w:hAnsi="Arial" w:cs="Arial"/>
          <w:lang w:eastAsia="en-GB"/>
        </w:rPr>
        <w:t>approach.</w:t>
      </w:r>
    </w:p>
    <w:p w14:paraId="593A881D" w14:textId="6D95BDAE" w:rsidR="006E502B"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kern w:val="0"/>
          <w:lang w:eastAsia="en-GB"/>
          <w14:ligatures w14:val="none"/>
        </w:rPr>
        <w:t>Understanding vocal health and techniques in adult transitioning voices is crucial. Titze (2008) highlights physiological changes, Sundberg (2013) discusses chemical alterations, and Kayes (2015) explores the role of mindset in effective voice training.</w:t>
      </w:r>
    </w:p>
    <w:p w14:paraId="368E3F1B" w14:textId="0EC9CB31" w:rsidR="006E502B"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lang w:eastAsia="en-GB"/>
        </w:rPr>
        <w:t xml:space="preserve">This paper is structured as follows: the first section </w:t>
      </w:r>
      <w:r w:rsidR="6CD7091A" w:rsidRPr="2633F10F">
        <w:rPr>
          <w:rFonts w:ascii="Arial" w:eastAsia="Arial" w:hAnsi="Arial" w:cs="Arial"/>
          <w:lang w:eastAsia="en-GB"/>
        </w:rPr>
        <w:t xml:space="preserve">explores Epistemology and Ontology as abstract </w:t>
      </w:r>
      <w:r w:rsidR="17975358" w:rsidRPr="2633F10F">
        <w:rPr>
          <w:rFonts w:ascii="Arial" w:eastAsia="Arial" w:hAnsi="Arial" w:cs="Arial"/>
          <w:lang w:eastAsia="en-GB"/>
        </w:rPr>
        <w:t>concepts</w:t>
      </w:r>
      <w:r w:rsidR="6CD7091A" w:rsidRPr="2633F10F">
        <w:rPr>
          <w:rFonts w:ascii="Arial" w:eastAsia="Arial" w:hAnsi="Arial" w:cs="Arial"/>
          <w:lang w:eastAsia="en-GB"/>
        </w:rPr>
        <w:t xml:space="preserve"> before applying these concepts to the </w:t>
      </w:r>
      <w:r w:rsidRPr="2633F10F">
        <w:rPr>
          <w:rFonts w:ascii="Arial" w:eastAsia="Arial" w:hAnsi="Arial" w:cs="Arial"/>
          <w:lang w:eastAsia="en-GB"/>
        </w:rPr>
        <w:t>critical evaluat</w:t>
      </w:r>
      <w:r w:rsidR="2EC84E99" w:rsidRPr="2633F10F">
        <w:rPr>
          <w:rFonts w:ascii="Arial" w:eastAsia="Arial" w:hAnsi="Arial" w:cs="Arial"/>
          <w:lang w:eastAsia="en-GB"/>
        </w:rPr>
        <w:t>ion of</w:t>
      </w:r>
      <w:r w:rsidRPr="2633F10F">
        <w:rPr>
          <w:rFonts w:ascii="Arial" w:eastAsia="Arial" w:hAnsi="Arial" w:cs="Arial"/>
          <w:lang w:eastAsia="en-GB"/>
        </w:rPr>
        <w:t xml:space="preserve"> qualitative, quantitative, and </w:t>
      </w:r>
      <w:r w:rsidR="009A0689" w:rsidRPr="2633F10F">
        <w:rPr>
          <w:rFonts w:ascii="Arial" w:eastAsia="Arial" w:hAnsi="Arial" w:cs="Arial"/>
          <w:lang w:eastAsia="en-GB"/>
        </w:rPr>
        <w:t>mixed methods</w:t>
      </w:r>
      <w:r w:rsidRPr="2633F10F">
        <w:rPr>
          <w:rFonts w:ascii="Arial" w:eastAsia="Arial" w:hAnsi="Arial" w:cs="Arial"/>
          <w:lang w:eastAsia="en-GB"/>
        </w:rPr>
        <w:t xml:space="preserve"> approaches. The second section explores research designs, including experimental, quasi-experimental, longitudinal, and action research. The third section discusses specific methods like surveys, interviews, and observations. The fourth section addresses research ethics, focusing on informed consent, confidentiality, and ethical approval, connecting with axiology.</w:t>
      </w:r>
    </w:p>
    <w:p w14:paraId="5CB71D39" w14:textId="77777777" w:rsidR="007F26B3" w:rsidRDefault="007F26B3" w:rsidP="0033236F">
      <w:pPr>
        <w:spacing w:before="100" w:beforeAutospacing="1" w:after="100" w:afterAutospacing="1" w:line="360" w:lineRule="auto"/>
        <w:rPr>
          <w:rFonts w:ascii="Arial" w:eastAsia="Arial" w:hAnsi="Arial" w:cs="Arial"/>
          <w:b/>
          <w:bCs/>
          <w:kern w:val="0"/>
          <w:lang w:eastAsia="en-GB"/>
          <w14:ligatures w14:val="none"/>
        </w:rPr>
      </w:pPr>
    </w:p>
    <w:p w14:paraId="063B63B6" w14:textId="249AABA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lastRenderedPageBreak/>
        <w:t xml:space="preserve">Epistemological </w:t>
      </w:r>
      <w:r w:rsidR="37B0569F" w:rsidRPr="2633F10F">
        <w:rPr>
          <w:rFonts w:ascii="Arial" w:eastAsia="Arial" w:hAnsi="Arial" w:cs="Arial"/>
          <w:b/>
          <w:bCs/>
          <w:kern w:val="0"/>
          <w:lang w:eastAsia="en-GB"/>
          <w14:ligatures w14:val="none"/>
        </w:rPr>
        <w:t xml:space="preserve">and Ontological </w:t>
      </w:r>
      <w:r w:rsidRPr="2633F10F">
        <w:rPr>
          <w:rFonts w:ascii="Arial" w:eastAsia="Arial" w:hAnsi="Arial" w:cs="Arial"/>
          <w:b/>
          <w:bCs/>
          <w:kern w:val="0"/>
          <w:lang w:eastAsia="en-GB"/>
          <w14:ligatures w14:val="none"/>
        </w:rPr>
        <w:t>Foundations</w:t>
      </w:r>
    </w:p>
    <w:p w14:paraId="55EB955B" w14:textId="28516089" w:rsidR="07768D26" w:rsidRDefault="00CC1BD1" w:rsidP="0033236F">
      <w:pPr>
        <w:spacing w:beforeAutospacing="1" w:afterAutospacing="1" w:line="360" w:lineRule="auto"/>
        <w:rPr>
          <w:rFonts w:ascii="Arial" w:eastAsia="Arial" w:hAnsi="Arial" w:cs="Arial"/>
          <w:b/>
          <w:bCs/>
          <w:u w:val="single"/>
          <w:lang w:eastAsia="en-GB"/>
        </w:rPr>
      </w:pPr>
      <w:r w:rsidRPr="2633F10F">
        <w:rPr>
          <w:rFonts w:ascii="Arial" w:eastAsia="Arial" w:hAnsi="Arial" w:cs="Arial"/>
          <w:b/>
          <w:bCs/>
          <w:u w:val="single"/>
          <w:lang w:eastAsia="en-GB"/>
        </w:rPr>
        <w:t>Epistemology</w:t>
      </w:r>
    </w:p>
    <w:p w14:paraId="23FED863" w14:textId="77777777" w:rsidR="00E95000" w:rsidRPr="004B7BDC" w:rsidRDefault="00CC1BD1" w:rsidP="0033236F">
      <w:pPr>
        <w:spacing w:after="0" w:line="360" w:lineRule="auto"/>
        <w:rPr>
          <w:rFonts w:ascii="Arial" w:eastAsia="Arial" w:hAnsi="Arial" w:cs="Arial"/>
        </w:rPr>
      </w:pPr>
      <w:r w:rsidRPr="2633F10F">
        <w:rPr>
          <w:rFonts w:ascii="Arial" w:eastAsia="Arial" w:hAnsi="Arial" w:cs="Arial"/>
          <w:kern w:val="0"/>
          <w:lang w:eastAsia="en-GB"/>
          <w14:ligatures w14:val="none"/>
        </w:rPr>
        <w:t>Epistemology explores the nature and acquisition of knowledge with an interpretivist stance focusing on understanding subjective experiences (Creswell &amp; Poth, 2018).</w:t>
      </w:r>
    </w:p>
    <w:p w14:paraId="0B3E00A9" w14:textId="77E5451A" w:rsidR="00E95000" w:rsidRPr="004B7BDC" w:rsidRDefault="005D0389" w:rsidP="0033236F">
      <w:pPr>
        <w:spacing w:before="240" w:after="240" w:line="360" w:lineRule="auto"/>
        <w:rPr>
          <w:rFonts w:ascii="Arial" w:eastAsia="Arial" w:hAnsi="Arial" w:cs="Arial"/>
        </w:rPr>
      </w:pPr>
      <w:r w:rsidRPr="005D0389">
        <w:rPr>
          <w:rFonts w:ascii="Arial" w:eastAsia="Arial" w:hAnsi="Arial" w:cs="Arial"/>
        </w:rPr>
        <w:t>The interpretivist perspective is a philosophical approach to social research that focuses on comprehending the subjective meanings and experiences of individuals. It is based on the belief that reality is socially constructed, meaning that to truly understand social phenomena, researchers must investigate the meanings that individuals or groups attribute to their experiences</w:t>
      </w:r>
      <w:r w:rsidRPr="005D0389">
        <w:rPr>
          <w:rFonts w:ascii="Arial" w:eastAsia="Arial" w:hAnsi="Arial" w:cs="Arial"/>
        </w:rPr>
        <w:t xml:space="preserve"> </w:t>
      </w:r>
      <w:r w:rsidR="00CC1BD1" w:rsidRPr="2633F10F">
        <w:rPr>
          <w:rFonts w:ascii="Arial" w:eastAsia="Arial" w:hAnsi="Arial" w:cs="Arial"/>
        </w:rPr>
        <w:t>(Schwandt, T. A. (1994)</w:t>
      </w:r>
      <w:r w:rsidR="004E6648">
        <w:rPr>
          <w:rFonts w:ascii="Arial" w:eastAsia="Arial" w:hAnsi="Arial" w:cs="Arial"/>
        </w:rPr>
        <w:t>.</w:t>
      </w:r>
    </w:p>
    <w:p w14:paraId="41CAF117" w14:textId="5394A230" w:rsidR="00E95000" w:rsidRPr="004B7BDC" w:rsidRDefault="00CC1BD1" w:rsidP="0033236F">
      <w:pPr>
        <w:spacing w:before="100" w:beforeAutospacing="1" w:after="100" w:afterAutospacing="1" w:line="360" w:lineRule="auto"/>
        <w:rPr>
          <w:rFonts w:ascii="Arial" w:eastAsia="Arial" w:hAnsi="Arial" w:cs="Arial"/>
          <w:b/>
          <w:bCs/>
          <w:kern w:val="0"/>
          <w:u w:val="single"/>
          <w:lang w:eastAsia="en-GB"/>
          <w14:ligatures w14:val="none"/>
        </w:rPr>
      </w:pPr>
      <w:r w:rsidRPr="2633F10F">
        <w:rPr>
          <w:rFonts w:ascii="Arial" w:eastAsia="Arial" w:hAnsi="Arial" w:cs="Arial"/>
          <w:b/>
          <w:bCs/>
          <w:u w:val="single"/>
          <w:lang w:eastAsia="en-GB"/>
        </w:rPr>
        <w:t>Ontology</w:t>
      </w:r>
    </w:p>
    <w:p w14:paraId="49ED19F3" w14:textId="1DE5291A" w:rsidR="00E95000"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Ontology examines the nature of reality and knowledge</w:t>
      </w:r>
      <w:r w:rsidR="27EB4A70" w:rsidRPr="2633F10F">
        <w:rPr>
          <w:rFonts w:ascii="Arial" w:eastAsia="Arial" w:hAnsi="Arial" w:cs="Arial"/>
          <w:kern w:val="0"/>
          <w:lang w:eastAsia="en-GB"/>
          <w14:ligatures w14:val="none"/>
        </w:rPr>
        <w:t xml:space="preserve"> (Munn, 2008)</w:t>
      </w:r>
      <w:r w:rsidRPr="2633F10F">
        <w:rPr>
          <w:rFonts w:ascii="Arial" w:eastAsia="Arial" w:hAnsi="Arial" w:cs="Arial"/>
          <w:kern w:val="0"/>
          <w:lang w:eastAsia="en-GB"/>
          <w14:ligatures w14:val="none"/>
        </w:rPr>
        <w:t>. This research adopts an interpretivist ontological perspective, acknowledging the complex, constructed realities of trans and transitioning individuals in vocal pedagogy shaped by personal experiences, social interactions, and cultural contexts (Bryman, 2016). This is especially relevant in understanding the unique vocal journeys of trans and transitioning singers.</w:t>
      </w:r>
    </w:p>
    <w:p w14:paraId="78D40104" w14:textId="77777777" w:rsidR="008235A6" w:rsidRPr="008235A6" w:rsidRDefault="008235A6" w:rsidP="008235A6">
      <w:pPr>
        <w:spacing w:before="100" w:beforeAutospacing="1" w:after="100" w:afterAutospacing="1" w:line="360" w:lineRule="auto"/>
        <w:rPr>
          <w:rFonts w:ascii="Arial" w:eastAsia="Arial" w:hAnsi="Arial" w:cs="Arial"/>
          <w:kern w:val="0"/>
          <w:lang w:eastAsia="en-GB"/>
          <w14:ligatures w14:val="none"/>
        </w:rPr>
      </w:pPr>
      <w:r w:rsidRPr="008235A6">
        <w:rPr>
          <w:rFonts w:ascii="Arial" w:eastAsia="Arial" w:hAnsi="Arial" w:cs="Arial"/>
          <w:kern w:val="0"/>
          <w:lang w:eastAsia="en-GB"/>
          <w14:ligatures w14:val="none"/>
        </w:rPr>
        <w:t>The final section examines insider research, discussing both its benefits and potential biases. The essay concludes by summarizing the key points, considering the implications for practice, and offering suggestions for future research.</w:t>
      </w:r>
    </w:p>
    <w:p w14:paraId="7837EB1D" w14:textId="77777777" w:rsidR="008235A6" w:rsidRPr="008235A6" w:rsidRDefault="008235A6" w:rsidP="008235A6">
      <w:pPr>
        <w:spacing w:before="100" w:beforeAutospacing="1" w:after="100" w:afterAutospacing="1" w:line="360" w:lineRule="auto"/>
        <w:rPr>
          <w:rFonts w:ascii="Arial" w:eastAsia="Arial" w:hAnsi="Arial" w:cs="Arial"/>
          <w:vanish/>
          <w:kern w:val="0"/>
          <w:lang w:eastAsia="en-GB"/>
          <w14:ligatures w14:val="none"/>
        </w:rPr>
      </w:pPr>
      <w:r w:rsidRPr="008235A6">
        <w:rPr>
          <w:rFonts w:ascii="Arial" w:eastAsia="Arial" w:hAnsi="Arial" w:cs="Arial"/>
          <w:vanish/>
          <w:kern w:val="0"/>
          <w:lang w:eastAsia="en-GB"/>
          <w14:ligatures w14:val="none"/>
        </w:rPr>
        <w:t>Top of Form</w:t>
      </w:r>
    </w:p>
    <w:p w14:paraId="1443B0B2" w14:textId="77777777" w:rsidR="008235A6" w:rsidRPr="008235A6" w:rsidRDefault="008235A6" w:rsidP="008235A6">
      <w:pPr>
        <w:spacing w:before="100" w:beforeAutospacing="1" w:after="100" w:afterAutospacing="1" w:line="360" w:lineRule="auto"/>
        <w:rPr>
          <w:rFonts w:ascii="Arial" w:eastAsia="Arial" w:hAnsi="Arial" w:cs="Arial"/>
          <w:vanish/>
          <w:kern w:val="0"/>
          <w:lang w:eastAsia="en-GB"/>
          <w14:ligatures w14:val="none"/>
        </w:rPr>
      </w:pPr>
      <w:r w:rsidRPr="008235A6">
        <w:rPr>
          <w:rFonts w:ascii="Arial" w:eastAsia="Arial" w:hAnsi="Arial" w:cs="Arial"/>
          <w:vanish/>
          <w:kern w:val="0"/>
          <w:lang w:eastAsia="en-GB"/>
          <w14:ligatures w14:val="none"/>
        </w:rPr>
        <w:t>Bottom of Form</w:t>
      </w:r>
    </w:p>
    <w:p w14:paraId="785478C3"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Methodological Approaches</w:t>
      </w:r>
    </w:p>
    <w:p w14:paraId="5BA9D72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Qualitative vs. Quantitative Methods</w:t>
      </w:r>
    </w:p>
    <w:p w14:paraId="534437D4" w14:textId="59AE4414" w:rsidR="00885A96" w:rsidRPr="00885A96" w:rsidRDefault="003C08F6" w:rsidP="00885A96">
      <w:pPr>
        <w:spacing w:line="360" w:lineRule="auto"/>
        <w:rPr>
          <w:rFonts w:ascii="Arial" w:eastAsia="Arial" w:hAnsi="Arial" w:cs="Arial"/>
        </w:rPr>
      </w:pPr>
      <w:r w:rsidRPr="003C08F6">
        <w:rPr>
          <w:rFonts w:ascii="Arial" w:eastAsia="Arial" w:hAnsi="Arial" w:cs="Arial"/>
          <w:kern w:val="0"/>
          <w:lang w:eastAsia="en-GB"/>
          <w14:ligatures w14:val="none"/>
        </w:rPr>
        <w:t>According to Creswell and Creswell (2018), qualitative and quantitative methods are fundamental in research, each bringing distinct advantages and limitations, especially in complex work-based environments. Qualitative methods, including interviews, focus groups, and ethnography (Adams &amp; Bochner, 2011), are particularly valuable for delving into in-depth perspectives and experiences (Denzin &amp; Lincoln, 2011).</w:t>
      </w:r>
      <w:r>
        <w:rPr>
          <w:rFonts w:ascii="Arial" w:eastAsia="Arial" w:hAnsi="Arial" w:cs="Arial"/>
          <w:kern w:val="0"/>
          <w:lang w:eastAsia="en-GB"/>
          <w14:ligatures w14:val="none"/>
        </w:rPr>
        <w:t xml:space="preserve"> </w:t>
      </w:r>
      <w:r w:rsidR="00885A96" w:rsidRPr="00885A96">
        <w:rPr>
          <w:rFonts w:ascii="Arial" w:eastAsia="Arial" w:hAnsi="Arial" w:cs="Arial"/>
        </w:rPr>
        <w:t xml:space="preserve">In this context, ethnography is a qualitative research method centered on the systematic study of people and cultures. It involves the researcher immersing themselves in a community or group to observe, interact, and gather data on their daily lives, rituals, and social interactions. The objective is to </w:t>
      </w:r>
      <w:r w:rsidR="00885A96" w:rsidRPr="00885A96">
        <w:rPr>
          <w:rFonts w:ascii="Arial" w:eastAsia="Arial" w:hAnsi="Arial" w:cs="Arial"/>
        </w:rPr>
        <w:lastRenderedPageBreak/>
        <w:t xml:space="preserve">understand the culture, beliefs, </w:t>
      </w:r>
      <w:r w:rsidR="00885A96" w:rsidRPr="00885A96">
        <w:rPr>
          <w:rFonts w:ascii="Arial" w:eastAsia="Arial" w:hAnsi="Arial" w:cs="Arial"/>
        </w:rPr>
        <w:t>behaviours</w:t>
      </w:r>
      <w:r w:rsidR="00885A96" w:rsidRPr="00885A96">
        <w:rPr>
          <w:rFonts w:ascii="Arial" w:eastAsia="Arial" w:hAnsi="Arial" w:cs="Arial"/>
        </w:rPr>
        <w:t>, and social dynamics of the group from an insider's perspective (Hammersley &amp; Atkinson, 2007).</w:t>
      </w:r>
    </w:p>
    <w:p w14:paraId="6D89AE18" w14:textId="7B1E9D26" w:rsidR="003D041A"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They provide rich, detailed </w:t>
      </w:r>
      <w:r w:rsidR="3111A862" w:rsidRPr="2633F10F">
        <w:rPr>
          <w:rFonts w:ascii="Arial" w:eastAsia="Arial" w:hAnsi="Arial" w:cs="Arial"/>
          <w:kern w:val="0"/>
          <w:lang w:eastAsia="en-GB"/>
          <w14:ligatures w14:val="none"/>
        </w:rPr>
        <w:t xml:space="preserve">qualitative </w:t>
      </w:r>
      <w:r w:rsidRPr="2633F10F">
        <w:rPr>
          <w:rFonts w:ascii="Arial" w:eastAsia="Arial" w:hAnsi="Arial" w:cs="Arial"/>
          <w:kern w:val="0"/>
          <w:lang w:eastAsia="en-GB"/>
          <w14:ligatures w14:val="none"/>
        </w:rPr>
        <w:t xml:space="preserve">data that can uncover underlying motivations, attitudes, and </w:t>
      </w:r>
      <w:r w:rsidR="006D5887"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often overlooked by quantitative methods (Patton, 2015). For instance, in vocal teaching practices involving trans and transitioning voices, qualitative methods can reveal students' and instructors' nuanced challenges and emotional experiences. Through in-depth interviews and ethnographic observations, researchers can gain insights into the unique needs of trans vocalists, the pedagogical adjustments required, and the personal journeys of transitioning individuals within the learning environment.</w:t>
      </w:r>
    </w:p>
    <w:p w14:paraId="1F61106F" w14:textId="79520C20" w:rsidR="00383385" w:rsidRPr="004B7BDC" w:rsidRDefault="7AA840FB"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kern w:val="0"/>
          <w:lang w:eastAsia="en-GB"/>
          <w14:ligatures w14:val="none"/>
        </w:rPr>
        <w:t>According to Creswell and Creswell (2018</w:t>
      </w:r>
      <w:r w:rsidR="223B3B85" w:rsidRPr="2633F10F">
        <w:rPr>
          <w:rFonts w:ascii="Arial" w:eastAsia="Arial" w:hAnsi="Arial" w:cs="Arial"/>
          <w:kern w:val="0"/>
          <w:lang w:eastAsia="en-GB"/>
          <w14:ligatures w14:val="none"/>
        </w:rPr>
        <w:t xml:space="preserve"> p46-48</w:t>
      </w:r>
      <w:r w:rsidRPr="2633F10F">
        <w:rPr>
          <w:rFonts w:ascii="Arial" w:eastAsia="Arial" w:hAnsi="Arial" w:cs="Arial"/>
          <w:kern w:val="0"/>
          <w:lang w:eastAsia="en-GB"/>
          <w14:ligatures w14:val="none"/>
        </w:rPr>
        <w:t>)</w:t>
      </w:r>
      <w:r w:rsidR="00CC1BD1" w:rsidRPr="2633F10F">
        <w:rPr>
          <w:rFonts w:ascii="Arial" w:eastAsia="Arial" w:hAnsi="Arial" w:cs="Arial"/>
          <w:kern w:val="0"/>
          <w:lang w:eastAsia="en-GB"/>
          <w14:ligatures w14:val="none"/>
        </w:rPr>
        <w:t xml:space="preserve">, qualitative methods are often criticized. Despite this, they are invaluable for providing deep insights into complex phenomena, allowing detailed exploration of participants' perspectives, emotions, and experiences. </w:t>
      </w:r>
    </w:p>
    <w:p w14:paraId="2DCA5098" w14:textId="4582B375" w:rsidR="000855C7" w:rsidRDefault="000039C7" w:rsidP="0033236F">
      <w:pPr>
        <w:spacing w:before="100" w:beforeAutospacing="1" w:after="100" w:afterAutospacing="1" w:line="360" w:lineRule="auto"/>
        <w:rPr>
          <w:rFonts w:ascii="Arial" w:eastAsia="Arial" w:hAnsi="Arial" w:cs="Arial"/>
        </w:rPr>
      </w:pPr>
      <w:r w:rsidRPr="000039C7">
        <w:rPr>
          <w:rFonts w:ascii="Arial" w:eastAsia="Arial" w:hAnsi="Arial" w:cs="Arial"/>
        </w:rPr>
        <w:t xml:space="preserve">Surveys and experiments gather numerical data that can be statistically </w:t>
      </w:r>
      <w:r w:rsidRPr="000039C7">
        <w:rPr>
          <w:rFonts w:ascii="Arial" w:eastAsia="Arial" w:hAnsi="Arial" w:cs="Arial"/>
        </w:rPr>
        <w:t>analysed</w:t>
      </w:r>
      <w:r w:rsidRPr="000039C7">
        <w:rPr>
          <w:rFonts w:ascii="Arial" w:eastAsia="Arial" w:hAnsi="Arial" w:cs="Arial"/>
        </w:rPr>
        <w:t xml:space="preserve"> to uncover patterns and relationships (Babbie, 2016)</w:t>
      </w:r>
      <w:r>
        <w:rPr>
          <w:rFonts w:ascii="Arial" w:eastAsia="Arial" w:hAnsi="Arial" w:cs="Arial"/>
        </w:rPr>
        <w:t xml:space="preserve">. </w:t>
      </w:r>
      <w:r w:rsidR="536B8BCC" w:rsidRPr="2633F10F">
        <w:rPr>
          <w:rFonts w:ascii="Arial" w:eastAsia="Arial" w:hAnsi="Arial" w:cs="Arial"/>
        </w:rPr>
        <w:t xml:space="preserve">These methods are ideal for testing hypotheses and providing generalizable results. For example, Hendry’s 2001 survey on burnout syndrome among vocal instructors working with trans students provided quantifiable data that identified trends, such as the overuse of demonstration leading to vocal fatigue, especially compared to instructors working with cisgender students. </w:t>
      </w:r>
      <w:r w:rsidR="000855C7" w:rsidRPr="000855C7">
        <w:rPr>
          <w:rFonts w:ascii="Arial" w:eastAsia="Arial" w:hAnsi="Arial" w:cs="Arial"/>
        </w:rPr>
        <w:t>Quantitative analysis can also identify statistically significant differences in stress levels between these groups, providing broader insights into occupational health in vocal pedagogy (Morgan et al., 2014).</w:t>
      </w:r>
    </w:p>
    <w:p w14:paraId="09B58E25" w14:textId="4F91F755" w:rsidR="00383385"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rPr>
        <w:t>Integrating qualitative and quantitative methodologies through a mixed methods approach provides a comprehensive understanding of study phenomena, combining the strengths of both methods for deeper insights and robust conclusions (Harvard Catalyst, 2024). For example, an initial qualitative phase exploring trans vocalists' experiences can inform a quantitative survey to assess the frequency and impact of challenges on a larger scale, ensuring qualitative depth complements quantitative breadth (Creswell &amp; Plano Clark, 2018). This approach is beneficial in complex settings, offering a holistic view that enhances both breadth and depth. For instance, a study on employee engagement might start with a quantitative survey to capture trends, followed by qualitative interviews to explore underlying factors, as demonstrated by Kular et al.'s 2008 meta-analysis.</w:t>
      </w:r>
      <w:r w:rsidR="5A9C1B3A" w:rsidRPr="2633F10F">
        <w:rPr>
          <w:rFonts w:ascii="Arial" w:eastAsia="Arial" w:hAnsi="Arial" w:cs="Arial"/>
          <w:lang w:eastAsia="en-GB"/>
        </w:rPr>
        <w:t xml:space="preserve"> </w:t>
      </w:r>
    </w:p>
    <w:p w14:paraId="5CADF2AD" w14:textId="1BFE97C9" w:rsidR="00383385" w:rsidRPr="004B7BDC" w:rsidRDefault="00383385" w:rsidP="0033236F">
      <w:pPr>
        <w:spacing w:before="100" w:beforeAutospacing="1" w:after="100" w:afterAutospacing="1" w:line="360" w:lineRule="auto"/>
        <w:rPr>
          <w:rFonts w:ascii="Arial" w:eastAsia="Arial" w:hAnsi="Arial" w:cs="Arial"/>
          <w:lang w:eastAsia="en-GB"/>
        </w:rPr>
      </w:pPr>
    </w:p>
    <w:p w14:paraId="06F2D5E4" w14:textId="2CD2F3B5" w:rsidR="00383385" w:rsidRPr="004B7BDC" w:rsidRDefault="00CC1BD1" w:rsidP="0033236F">
      <w:pPr>
        <w:spacing w:before="100" w:beforeAutospacing="1" w:after="100" w:afterAutospacing="1" w:line="360" w:lineRule="auto"/>
        <w:rPr>
          <w:rFonts w:ascii="Arial" w:eastAsia="Arial" w:hAnsi="Arial" w:cs="Arial"/>
          <w:kern w:val="0"/>
          <w14:ligatures w14:val="none"/>
        </w:rPr>
      </w:pPr>
      <w:r w:rsidRPr="2633F10F">
        <w:rPr>
          <w:rFonts w:ascii="Arial" w:eastAsia="Arial" w:hAnsi="Arial" w:cs="Arial"/>
        </w:rPr>
        <w:lastRenderedPageBreak/>
        <w:t xml:space="preserve">While mixed methods research has many strengths, it also presents challenges, such as the complexity involved in designing and analysing studies and the significant resources needed to integrate different data types (Creswell &amp; Plano Clark, 2017). </w:t>
      </w:r>
      <w:r w:rsidR="001C7438" w:rsidRPr="001C7438">
        <w:rPr>
          <w:rFonts w:ascii="Arial" w:eastAsia="Arial" w:hAnsi="Arial" w:cs="Arial"/>
        </w:rPr>
        <w:t>Researchers must have expertise in both qualitative and quantitative methodologies and meticulously plan the data integration process to produce meaningful results (Creswell &amp; Plano Clark, 2017).</w:t>
      </w:r>
      <w:r w:rsidR="001C7438">
        <w:rPr>
          <w:rFonts w:ascii="Arial" w:eastAsia="Arial" w:hAnsi="Arial" w:cs="Arial"/>
        </w:rPr>
        <w:t xml:space="preserve"> </w:t>
      </w:r>
      <w:r w:rsidR="0043702E" w:rsidRPr="0043702E">
        <w:rPr>
          <w:rFonts w:ascii="Arial" w:eastAsia="Arial" w:hAnsi="Arial" w:cs="Arial"/>
        </w:rPr>
        <w:t>Furthermore, this approach can be both time-intensive and expensive, requiring significant resource investment. In practical, work-based environments, mixed methods are especially useful for evaluating interventions and policies by combining measurable outcomes with contextual insights. For example, employee training programs can be evaluated using both quantitative data and qualitative feedback to offer a comprehensive assessment (Flick, 2018).</w:t>
      </w:r>
    </w:p>
    <w:p w14:paraId="2D0431E5" w14:textId="7501636D"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Experimental Research Design</w:t>
      </w:r>
    </w:p>
    <w:p w14:paraId="5B82182F" w14:textId="77777777" w:rsidR="00975750" w:rsidRDefault="00975750" w:rsidP="0033236F">
      <w:pPr>
        <w:spacing w:before="100" w:beforeAutospacing="1" w:after="100" w:afterAutospacing="1" w:line="360" w:lineRule="auto"/>
        <w:rPr>
          <w:rFonts w:ascii="Arial" w:eastAsia="Arial" w:hAnsi="Arial" w:cs="Arial"/>
          <w:kern w:val="0"/>
          <w:lang w:eastAsia="en-GB"/>
          <w14:ligatures w14:val="none"/>
        </w:rPr>
      </w:pPr>
      <w:r w:rsidRPr="00975750">
        <w:rPr>
          <w:rFonts w:ascii="Arial" w:eastAsia="Arial" w:hAnsi="Arial" w:cs="Arial"/>
          <w:kern w:val="0"/>
          <w:lang w:eastAsia="en-GB"/>
          <w14:ligatures w14:val="none"/>
        </w:rPr>
        <w:t>Experimental research design involves manipulating one or more independent variables to observe their impact on a dependent variable, usually within a controlled setting (Moring, 2014). This method is highly regarded for its capacity to establish cause-and-effect relationships and is frequently employed in both natural and social sciences (Campbell &amp; Stanley, 1963).</w:t>
      </w:r>
    </w:p>
    <w:p w14:paraId="76DCCCAF" w14:textId="0A2F815A"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Advantages of Experimental Research Design</w:t>
      </w:r>
    </w:p>
    <w:p w14:paraId="0FA553D5" w14:textId="4D64A658" w:rsidR="0059485A" w:rsidRPr="004B7BDC" w:rsidRDefault="0021514D" w:rsidP="0033236F">
      <w:pPr>
        <w:spacing w:before="100" w:beforeAutospacing="1" w:after="100" w:afterAutospacing="1" w:line="360" w:lineRule="auto"/>
        <w:rPr>
          <w:rFonts w:ascii="Arial" w:eastAsia="Arial" w:hAnsi="Arial" w:cs="Arial"/>
          <w:kern w:val="0"/>
          <w:lang w:eastAsia="en-GB"/>
          <w14:ligatures w14:val="none"/>
        </w:rPr>
      </w:pPr>
      <w:r w:rsidRPr="0021514D">
        <w:rPr>
          <w:rFonts w:ascii="Arial" w:eastAsia="Arial" w:hAnsi="Arial" w:cs="Arial"/>
          <w:kern w:val="0"/>
          <w:lang w:eastAsia="en-GB"/>
          <w14:ligatures w14:val="none"/>
        </w:rPr>
        <w:t>Experimental research design offers robust evidence of causality due to its controlled conditions and variable manipulation. This approach enables researchers to isolate and test specific hypotheses, ensuring that any changes in the dependent variable are directly linked to the manipulation of the independent variable (Shadish, Cook, &amp; Campbell, 2002). For instance, investigating the effectiveness of a new vocal training method for trans students could compare outcomes to determine the method's efficacy, as explored by Olszewski et al. in 2019.</w:t>
      </w:r>
      <w:r>
        <w:rPr>
          <w:rFonts w:ascii="Arial" w:eastAsia="Arial" w:hAnsi="Arial" w:cs="Arial"/>
          <w:kern w:val="0"/>
          <w:lang w:eastAsia="en-GB"/>
          <w14:ligatures w14:val="none"/>
        </w:rPr>
        <w:t xml:space="preserve"> </w:t>
      </w:r>
      <w:r w:rsidR="34764696" w:rsidRPr="2633F10F">
        <w:rPr>
          <w:rFonts w:ascii="Arial" w:eastAsia="Arial" w:hAnsi="Arial" w:cs="Arial"/>
          <w:kern w:val="0"/>
          <w:lang w:eastAsia="en-GB"/>
          <w14:ligatures w14:val="none"/>
        </w:rPr>
        <w:t xml:space="preserve">This is similar to the approach Hendry took in their 2001 survey. </w:t>
      </w:r>
      <w:r w:rsidR="00CC1BD1" w:rsidRPr="2633F10F">
        <w:rPr>
          <w:rFonts w:ascii="Arial" w:eastAsia="Arial" w:hAnsi="Arial" w:cs="Arial"/>
          <w:kern w:val="0"/>
          <w:lang w:eastAsia="en-GB"/>
          <w14:ligatures w14:val="none"/>
        </w:rPr>
        <w:t>The controlled environment minimizes confounding variables, increasing the reliability and validity of the findings. Additionally, experimental designs often use random assignment, which enhances the generalizability of results by reducing selection bias</w:t>
      </w:r>
      <w:r w:rsidR="3D9493C3" w:rsidRPr="2633F10F">
        <w:rPr>
          <w:rFonts w:ascii="Arial" w:eastAsia="Arial" w:hAnsi="Arial" w:cs="Arial"/>
          <w:kern w:val="0"/>
          <w:lang w:eastAsia="en-GB"/>
          <w14:ligatures w14:val="none"/>
        </w:rPr>
        <w:t xml:space="preserve"> (Hendry, 2001)</w:t>
      </w:r>
      <w:r w:rsidR="00CC1BD1" w:rsidRPr="2633F10F">
        <w:rPr>
          <w:rFonts w:ascii="Arial" w:eastAsia="Arial" w:hAnsi="Arial" w:cs="Arial"/>
          <w:kern w:val="0"/>
          <w:lang w:eastAsia="en-GB"/>
          <w14:ligatures w14:val="none"/>
        </w:rPr>
        <w:t>.</w:t>
      </w:r>
    </w:p>
    <w:p w14:paraId="43F2C5ED" w14:textId="77777777" w:rsidR="003D041A" w:rsidRDefault="003D041A" w:rsidP="0033236F">
      <w:pPr>
        <w:spacing w:before="100" w:beforeAutospacing="1" w:after="100" w:afterAutospacing="1" w:line="360" w:lineRule="auto"/>
        <w:rPr>
          <w:rFonts w:ascii="Arial" w:eastAsia="Arial" w:hAnsi="Arial" w:cs="Arial"/>
          <w:kern w:val="0"/>
          <w:lang w:eastAsia="en-GB"/>
          <w14:ligatures w14:val="none"/>
        </w:rPr>
      </w:pPr>
    </w:p>
    <w:p w14:paraId="39EEBB3D" w14:textId="77777777" w:rsidR="003D041A" w:rsidRDefault="003D041A" w:rsidP="0033236F">
      <w:pPr>
        <w:spacing w:before="100" w:beforeAutospacing="1" w:after="100" w:afterAutospacing="1" w:line="360" w:lineRule="auto"/>
        <w:rPr>
          <w:rFonts w:ascii="Arial" w:eastAsia="Arial" w:hAnsi="Arial" w:cs="Arial"/>
          <w:kern w:val="0"/>
          <w:lang w:eastAsia="en-GB"/>
          <w14:ligatures w14:val="none"/>
        </w:rPr>
      </w:pPr>
    </w:p>
    <w:p w14:paraId="548DC867" w14:textId="539FF109"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lastRenderedPageBreak/>
        <w:t>Limitations of Experimental Research Design</w:t>
      </w:r>
    </w:p>
    <w:p w14:paraId="4EA06F8E" w14:textId="77777777" w:rsidR="00B13953"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Despite its strengths, experimental research design has limitations. The controlled conditions may lack ecological validity, as they only sometimes accurately reflect real-world settings. This can make it challenging to generalize findings to broader contexts (Shadish, Cook, &amp; Campbell, 2002). For instance, a laboratory-based vocal training experiment may not capture the complexities and dynamics of actual classroom environments</w:t>
      </w:r>
      <w:r w:rsidR="00B13953">
        <w:rPr>
          <w:rFonts w:ascii="Arial" w:eastAsia="Arial" w:hAnsi="Arial" w:cs="Arial"/>
          <w:kern w:val="0"/>
          <w:lang w:eastAsia="en-GB"/>
          <w14:ligatures w14:val="none"/>
        </w:rPr>
        <w:t xml:space="preserve">. </w:t>
      </w:r>
      <w:r w:rsidR="00B13953" w:rsidRPr="00B13953">
        <w:rPr>
          <w:rFonts w:ascii="Arial" w:eastAsia="Arial" w:hAnsi="Arial" w:cs="Arial"/>
          <w:kern w:val="0"/>
          <w:lang w:eastAsia="en-GB"/>
          <w14:ligatures w14:val="none"/>
        </w:rPr>
        <w:t>Experimental studies can also be resource-demanding, requiring considerable time, funding, and logistical coordination. Ethical concerns may restrict the feasibility of manipulating certain variables, particularly in sensitive areas such as trans and transitioning voices (Campbell &amp; Stanley, 1963).</w:t>
      </w:r>
    </w:p>
    <w:p w14:paraId="6EF6A51A" w14:textId="6B9F056F"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Application of Experimental Research Design in Work-Based Settings</w:t>
      </w:r>
    </w:p>
    <w:p w14:paraId="0728D7C6" w14:textId="0D2D8E4F"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Experimental research design is valuable for testing interventions, policies, and practices in work-based settings. For instance, an experiment could evaluate the impact of a new employee training program on productivity and job satisfaction. This approach can provide clear evidence of the program's effectiveness, guiding decision-making and policy implementation. Experimental designs are also helpful for studying organizational </w:t>
      </w:r>
      <w:r w:rsidR="00DB74A4"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and processes. Researchers can identify key factors influencing employee performance and organizational outcomes by systematically manipulating variables such as leadership styles or team dynamics. In the context of vocal teaching, experimental research can assess the effectiveness of different pedagogical techniques for trans students, providing evidence-based recommendations for inclusive and effective teaching practices (Shadish, Cook, &amp; Campbell, 2002).</w:t>
      </w:r>
    </w:p>
    <w:p w14:paraId="44EA8E3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Action Research Design</w:t>
      </w:r>
    </w:p>
    <w:p w14:paraId="5C9A9198" w14:textId="1691EC41" w:rsidR="2633F10F" w:rsidRPr="003D041A" w:rsidRDefault="00CC1BD1" w:rsidP="003D041A">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Action research design is a participatory approach that involves a cyclic process of planning, acting, observing, and reflecting. This method aims to solve practical problems while simultaneously contributing to scientific knowledge, making it particularly suitable for work-based settings where practitioners are directly involved in the research process (Kemmis &amp; McTaggart, 2000).</w:t>
      </w:r>
    </w:p>
    <w:p w14:paraId="2282A3A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Advantages of Action Research Design</w:t>
      </w:r>
    </w:p>
    <w:p w14:paraId="0B65EAF7" w14:textId="2CF48D30" w:rsidR="5B2737AA" w:rsidRDefault="00CC1BD1" w:rsidP="0033236F">
      <w:pPr>
        <w:spacing w:beforeAutospacing="1" w:afterAutospacing="1" w:line="360" w:lineRule="auto"/>
        <w:rPr>
          <w:rFonts w:ascii="Arial" w:eastAsia="Arial" w:hAnsi="Arial" w:cs="Arial"/>
        </w:rPr>
      </w:pPr>
      <w:r w:rsidRPr="2633F10F">
        <w:rPr>
          <w:rFonts w:ascii="Arial" w:eastAsia="Arial" w:hAnsi="Arial" w:cs="Arial"/>
        </w:rPr>
        <w:lastRenderedPageBreak/>
        <w:t>Action research design offers practical solutions and immediate benefits to participants, with flexibility that allows for continuous improvement and real-time problem-solving (Reason &amp; Bradbury, 2008). For instance, a vocal training program for trans students can use action research to refine teaching practices based on feedback iteratively (Davies et al., 2015). This method promotes collaboration, ensuring the research addresses real-world issues relevant to stakeholders and empowers participants, fostering ownership and engagement. Coghlan and Brannick (2014) further discuss identifying problems, developing research questions, and planning action research to ensure practical and outcome-focused relevance.</w:t>
      </w:r>
    </w:p>
    <w:p w14:paraId="54FD9701" w14:textId="32363277" w:rsidR="2633F10F" w:rsidRDefault="2633F10F" w:rsidP="0033236F">
      <w:pPr>
        <w:spacing w:beforeAutospacing="1" w:afterAutospacing="1" w:line="360" w:lineRule="auto"/>
        <w:rPr>
          <w:rFonts w:ascii="Arial" w:eastAsia="Arial" w:hAnsi="Arial" w:cs="Arial"/>
          <w:lang w:eastAsia="en-GB"/>
        </w:rPr>
      </w:pPr>
    </w:p>
    <w:p w14:paraId="51E30EE4" w14:textId="4F4D93C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Limitations of Action Research Design</w:t>
      </w:r>
    </w:p>
    <w:p w14:paraId="70012E1B" w14:textId="77212BF6" w:rsidR="2633F10F" w:rsidRPr="003D041A" w:rsidRDefault="00CC1BD1" w:rsidP="003D041A">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Despite its strengths, action research design has limitations. The involvement of participants can introduce bias, as their perspectives and interests may influence the outcomes (Kemmis &amp; McTaggart, 2000). The cyclical nature of action research can be time-consuming and requires sustained commitment from participants and researchers. This method often relies on qualitative data, which can be challenging to generalize beyond the study's specific context. In the context of trans and transitioning voices, the findings from an action research project may not apply to other educational settings without similar levels of support and resources.</w:t>
      </w:r>
    </w:p>
    <w:p w14:paraId="52E7F561"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Application of Action Research Design in Work-Based Settings</w:t>
      </w:r>
    </w:p>
    <w:p w14:paraId="2114CDDF" w14:textId="00E3DE39" w:rsidR="0017149B"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work-based settings, action research design is valuable for addressing complex organizational issues and facilitating change</w:t>
      </w:r>
      <w:r w:rsidR="3437A976" w:rsidRPr="2633F10F">
        <w:rPr>
          <w:rFonts w:ascii="Arial" w:eastAsia="Arial" w:hAnsi="Arial" w:cs="Arial"/>
          <w:kern w:val="0"/>
          <w:lang w:eastAsia="en-GB"/>
          <w14:ligatures w14:val="none"/>
        </w:rPr>
        <w:t xml:space="preserve"> (</w:t>
      </w:r>
      <w:r w:rsidR="39226AB6" w:rsidRPr="2633F10F">
        <w:rPr>
          <w:rFonts w:ascii="Arial" w:eastAsia="Arial" w:hAnsi="Arial" w:cs="Arial"/>
        </w:rPr>
        <w:t>Coghlan &amp; Brannick, 2014).</w:t>
      </w:r>
      <w:r w:rsidRPr="2633F10F">
        <w:rPr>
          <w:rFonts w:ascii="Arial" w:eastAsia="Arial" w:hAnsi="Arial" w:cs="Arial"/>
          <w:kern w:val="0"/>
          <w:lang w:eastAsia="en-GB"/>
          <w14:ligatures w14:val="none"/>
        </w:rPr>
        <w:t xml:space="preserve"> For instance, an action research project could focus on improving a vocal training program's inclusivity and effectiveness for transitioning students. Through planning, acting, observing, and reflecting cycles, researchers and practitioners can collaboratively identify challenges and develop strategies to address them. </w:t>
      </w:r>
      <w:r w:rsidR="0017149B" w:rsidRPr="0017149B">
        <w:rPr>
          <w:rFonts w:ascii="Arial" w:eastAsia="Arial" w:hAnsi="Arial" w:cs="Arial"/>
          <w:kern w:val="0"/>
          <w:lang w:eastAsia="en-GB"/>
          <w14:ligatures w14:val="none"/>
        </w:rPr>
        <w:t xml:space="preserve">This approach can result in practical improvements and produce insights that influence broader educational practices and policies (Reason &amp; Bradbury, 2008). Action research is also effective for examining organizational culture and employee </w:t>
      </w:r>
      <w:r w:rsidR="0017149B" w:rsidRPr="0017149B">
        <w:rPr>
          <w:rFonts w:ascii="Arial" w:eastAsia="Arial" w:hAnsi="Arial" w:cs="Arial"/>
          <w:kern w:val="0"/>
          <w:lang w:eastAsia="en-GB"/>
          <w14:ligatures w14:val="none"/>
        </w:rPr>
        <w:t>behaviour</w:t>
      </w:r>
      <w:r w:rsidR="0017149B" w:rsidRPr="0017149B">
        <w:rPr>
          <w:rFonts w:ascii="Arial" w:eastAsia="Arial" w:hAnsi="Arial" w:cs="Arial"/>
          <w:kern w:val="0"/>
          <w:lang w:eastAsia="en-GB"/>
          <w14:ligatures w14:val="none"/>
        </w:rPr>
        <w:t>, as it engages participants in identifying problems and implementing solutions, leading to more sustainable and contextually relevant outcomes.</w:t>
      </w:r>
    </w:p>
    <w:p w14:paraId="26A9A973" w14:textId="77777777" w:rsidR="0017149B" w:rsidRDefault="0017149B" w:rsidP="0033236F">
      <w:pPr>
        <w:spacing w:before="100" w:beforeAutospacing="1" w:after="100" w:afterAutospacing="1" w:line="360" w:lineRule="auto"/>
        <w:rPr>
          <w:rFonts w:ascii="Arial" w:eastAsia="Arial" w:hAnsi="Arial" w:cs="Arial"/>
          <w:b/>
          <w:bCs/>
          <w:kern w:val="0"/>
          <w:lang w:eastAsia="en-GB"/>
          <w14:ligatures w14:val="none"/>
        </w:rPr>
      </w:pPr>
    </w:p>
    <w:p w14:paraId="2B24BD5E" w14:textId="40D0D5DF"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lastRenderedPageBreak/>
        <w:t>Methodological Triangulation</w:t>
      </w:r>
    </w:p>
    <w:p w14:paraId="2BD8A525" w14:textId="77777777" w:rsidR="00FE6F1E" w:rsidRDefault="00FE6F1E" w:rsidP="0033236F">
      <w:pPr>
        <w:spacing w:before="100" w:beforeAutospacing="1" w:after="100" w:afterAutospacing="1" w:line="360" w:lineRule="auto"/>
        <w:rPr>
          <w:rFonts w:ascii="Arial" w:eastAsia="Arial" w:hAnsi="Arial" w:cs="Arial"/>
          <w:kern w:val="0"/>
          <w:lang w:eastAsia="en-GB"/>
          <w14:ligatures w14:val="none"/>
        </w:rPr>
      </w:pPr>
      <w:r w:rsidRPr="00FE6F1E">
        <w:rPr>
          <w:rFonts w:ascii="Arial" w:eastAsia="Arial" w:hAnsi="Arial" w:cs="Arial"/>
          <w:kern w:val="0"/>
          <w:lang w:eastAsia="en-GB"/>
          <w14:ligatures w14:val="none"/>
        </w:rPr>
        <w:t>Methodological triangulation involves employing multiple research methods to explore the same research question. For example, to evaluate the effectiveness of inclusive teaching strategies for trans and transitioning students, one might integrate surveys to collect quantitative data on student satisfaction and performance with interviews to gain qualitative insights into personal experiences (Patton, 2015). This approach provides a deeper understanding of how these teaching methods influence the students.</w:t>
      </w:r>
    </w:p>
    <w:p w14:paraId="70C3AE09" w14:textId="3D5CCAB0"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Data Triangulation</w:t>
      </w:r>
    </w:p>
    <w:p w14:paraId="1DF87DF1" w14:textId="65852B4C" w:rsidR="0059485A" w:rsidRPr="004B7BDC" w:rsidRDefault="00A071C6" w:rsidP="0033236F">
      <w:pPr>
        <w:spacing w:before="100" w:beforeAutospacing="1" w:after="100" w:afterAutospacing="1" w:line="360" w:lineRule="auto"/>
        <w:rPr>
          <w:rFonts w:ascii="Arial" w:eastAsia="Arial" w:hAnsi="Arial" w:cs="Arial"/>
          <w:kern w:val="0"/>
          <w:lang w:eastAsia="en-GB"/>
          <w14:ligatures w14:val="none"/>
        </w:rPr>
      </w:pPr>
      <w:r w:rsidRPr="00A071C6">
        <w:rPr>
          <w:rFonts w:ascii="Arial" w:eastAsia="Arial" w:hAnsi="Arial" w:cs="Arial"/>
          <w:kern w:val="0"/>
          <w:lang w:eastAsia="en-GB"/>
          <w14:ligatures w14:val="none"/>
        </w:rPr>
        <w:t>Data triangulation involves using multiple data sources to validate findings. When researching the experiences of trans and transitioning students, combining student surveys, focus groups, and classroom observations provides a more comprehensive perspective</w:t>
      </w:r>
      <w:r w:rsidR="00CC1BD1" w:rsidRPr="2633F10F">
        <w:rPr>
          <w:rFonts w:ascii="Arial" w:eastAsia="Arial" w:hAnsi="Arial" w:cs="Arial"/>
          <w:kern w:val="0"/>
          <w:lang w:eastAsia="en-GB"/>
          <w14:ligatures w14:val="none"/>
        </w:rPr>
        <w:t>. This might involve comparing students' self-reported experiences with teacher feedback and classroom interaction analysis (Denzin, 2017). This multi-source approach strengthens the credibility of the findings by integrating diverse perspectives.</w:t>
      </w:r>
    </w:p>
    <w:p w14:paraId="610444F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Investigator Triangulation</w:t>
      </w:r>
    </w:p>
    <w:p w14:paraId="7BD69D54" w14:textId="254679E4"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Investigator Triangulation involves multiple researchers collecting and </w:t>
      </w:r>
      <w:r w:rsidR="00DB74A4" w:rsidRPr="2633F10F">
        <w:rPr>
          <w:rFonts w:ascii="Arial" w:eastAsia="Arial" w:hAnsi="Arial" w:cs="Arial"/>
          <w:kern w:val="0"/>
          <w:lang w:eastAsia="en-GB"/>
          <w14:ligatures w14:val="none"/>
        </w:rPr>
        <w:t>analysing</w:t>
      </w:r>
      <w:r w:rsidRPr="2633F10F">
        <w:rPr>
          <w:rFonts w:ascii="Arial" w:eastAsia="Arial" w:hAnsi="Arial" w:cs="Arial"/>
          <w:kern w:val="0"/>
          <w:lang w:eastAsia="en-GB"/>
          <w14:ligatures w14:val="none"/>
        </w:rPr>
        <w:t xml:space="preserve"> data to mitigate bias and increase reliability</w:t>
      </w:r>
      <w:r w:rsidR="1D48C39D" w:rsidRPr="2633F10F">
        <w:rPr>
          <w:rFonts w:ascii="Arial" w:eastAsia="Arial" w:hAnsi="Arial" w:cs="Arial"/>
          <w:kern w:val="0"/>
          <w:lang w:eastAsia="en-GB"/>
          <w14:ligatures w14:val="none"/>
        </w:rPr>
        <w:t xml:space="preserve"> (Denzin, 2017)</w:t>
      </w:r>
      <w:r w:rsidRPr="2633F10F">
        <w:rPr>
          <w:rFonts w:ascii="Arial" w:eastAsia="Arial" w:hAnsi="Arial" w:cs="Arial"/>
          <w:kern w:val="0"/>
          <w:lang w:eastAsia="en-GB"/>
          <w14:ligatures w14:val="none"/>
        </w:rPr>
        <w:t>. For instance, in a study on inclusive teaching practices, researchers might independently code interview transcripts and compare their analyses to ensure consistency and accuracy (Creswell &amp; Plano Clark, 2018). This collaborative effort provides a more balanced and reliable interpretation of the data.</w:t>
      </w:r>
    </w:p>
    <w:p w14:paraId="735EAB6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By employing these forms of Triangulation, researchers and educators can gain a more nuanced understanding of how to effectively support trans and transitioning students in educational settings, thus enhancing both teaching practices and policy development (Budge, Adelson, &amp; Howard, 2013).</w:t>
      </w:r>
    </w:p>
    <w:p w14:paraId="11E2936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Designs</w:t>
      </w:r>
    </w:p>
    <w:p w14:paraId="3C3E333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Experimental and Quasi-Experimental Designs</w:t>
      </w:r>
    </w:p>
    <w:p w14:paraId="2BBC7F70" w14:textId="77777777" w:rsidR="00CD5AB3" w:rsidRPr="00CD5AB3" w:rsidRDefault="00CD5AB3" w:rsidP="00CD5AB3">
      <w:pPr>
        <w:spacing w:before="100" w:beforeAutospacing="1" w:after="100" w:afterAutospacing="1" w:line="360" w:lineRule="auto"/>
        <w:rPr>
          <w:rFonts w:ascii="Arial" w:eastAsia="Arial" w:hAnsi="Arial" w:cs="Arial"/>
          <w:kern w:val="0"/>
          <w:lang w:eastAsia="en-GB"/>
          <w14:ligatures w14:val="none"/>
        </w:rPr>
      </w:pPr>
      <w:r w:rsidRPr="00CD5AB3">
        <w:rPr>
          <w:rFonts w:ascii="Arial" w:eastAsia="Arial" w:hAnsi="Arial" w:cs="Arial"/>
          <w:kern w:val="0"/>
          <w:lang w:eastAsia="en-GB"/>
          <w14:ligatures w14:val="none"/>
        </w:rPr>
        <w:t xml:space="preserve">Experimental designs involve manipulating one or more variables to observe their effects on other variables, usually within a controlled environment. This approach is widely regarded as the gold standard for establishing causal relationships (Shadish, Cook, &amp; Campbell, 2002). </w:t>
      </w:r>
      <w:r w:rsidRPr="00CD5AB3">
        <w:rPr>
          <w:rFonts w:ascii="Arial" w:eastAsia="Arial" w:hAnsi="Arial" w:cs="Arial"/>
          <w:kern w:val="0"/>
          <w:lang w:eastAsia="en-GB"/>
          <w14:ligatures w14:val="none"/>
        </w:rPr>
        <w:lastRenderedPageBreak/>
        <w:t>In work-based settings, experimental designs can be used to test interventions, such as evaluating the impact of a new training program on employee performance. However, achieving the controlled conditions necessary for true experiments can be challenging in real-world work environments, where numerous uncontrollable factors may influence the results.</w:t>
      </w:r>
    </w:p>
    <w:p w14:paraId="716DB39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While similar to experimental designs, quasi-experimental designs do not involve random assignment to treatment and control groups (Campbell &amp; Stanley, 2015). This makes them more feasible in work-based settings where randomization is impractical or unethical. For example, a quasi-experimental study might compare the outcomes of two organizational departments, one of which has implemented a new policy while the other has not. While quasi-experimental designs are more adaptable to real-world settings, they are more susceptible to confounding variables, which can threaten the internal validity of the findings.</w:t>
      </w:r>
    </w:p>
    <w:p w14:paraId="188EDF5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Longitudinal Studies</w:t>
      </w:r>
    </w:p>
    <w:p w14:paraId="3C1A5396" w14:textId="7AAD98FC" w:rsidR="0059485A" w:rsidRPr="004B7BDC" w:rsidRDefault="00E72D4A" w:rsidP="0033236F">
      <w:pPr>
        <w:spacing w:before="100" w:beforeAutospacing="1" w:after="100" w:afterAutospacing="1" w:line="360" w:lineRule="auto"/>
        <w:rPr>
          <w:rFonts w:ascii="Arial" w:eastAsia="Arial" w:hAnsi="Arial" w:cs="Arial"/>
          <w:kern w:val="0"/>
          <w:lang w:eastAsia="en-GB"/>
          <w14:ligatures w14:val="none"/>
        </w:rPr>
      </w:pPr>
      <w:r w:rsidRPr="00E72D4A">
        <w:rPr>
          <w:rFonts w:ascii="Arial" w:eastAsia="Arial" w:hAnsi="Arial" w:cs="Arial"/>
          <w:kern w:val="0"/>
          <w:lang w:eastAsia="en-GB"/>
          <w14:ligatures w14:val="none"/>
        </w:rPr>
        <w:t>Longitudinal studies involve making repeated observations of the same variables over an extended period. This design is particularly useful for examining changes and developments over time, such as the long-term impact of a leadership development program on employee career progression (Singer &amp; Willett, 2003).</w:t>
      </w:r>
      <w:r>
        <w:rPr>
          <w:rFonts w:ascii="Arial" w:eastAsia="Arial" w:hAnsi="Arial" w:cs="Arial"/>
          <w:kern w:val="0"/>
          <w:lang w:eastAsia="en-GB"/>
          <w14:ligatures w14:val="none"/>
        </w:rPr>
        <w:t xml:space="preserve"> </w:t>
      </w:r>
      <w:r w:rsidR="00CC1BD1" w:rsidRPr="2633F10F">
        <w:rPr>
          <w:rFonts w:ascii="Arial" w:eastAsia="Arial" w:hAnsi="Arial" w:cs="Arial"/>
          <w:kern w:val="0"/>
          <w:lang w:eastAsia="en-GB"/>
          <w14:ligatures w14:val="none"/>
        </w:rPr>
        <w:t>Longitudinal research provides valuable insights into temporal dynamics and causal relationships, which cross-sectional studies cannot capture.</w:t>
      </w:r>
    </w:p>
    <w:p w14:paraId="5905729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However, longitudinal studies are resource-intensive, requiring significant time and financial investment. Attrition is a common issue, as participants may drop out of the study over time, potentially biasing the results. Despite these challenges, the ability to observe changes over time makes longitudinal studies a powerful tool for work-based research (Entropik, 2024).</w:t>
      </w:r>
    </w:p>
    <w:p w14:paraId="4108ECA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Action Research</w:t>
      </w:r>
    </w:p>
    <w:p w14:paraId="0E6CBE6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Action research is an iterative process that combines action and reflection to solve practical problems and generate knowledge. It is highly participatory, involving researchers and participants collaboratively in the research process (Coghlan &amp; Brannick, 2014). This approach is particularly well-suited to work-based settings, where the goal is often to implement and evaluate real-time changes. For instance, action research might be used to develop and test a new workflow process within a team, with continuous feedback and adjustments based on the findings.</w:t>
      </w:r>
    </w:p>
    <w:p w14:paraId="7CD16489"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lastRenderedPageBreak/>
        <w:t>The participatory nature of action research enhances its relevance and applicability to practice, as stakeholders are directly involved in the research process (Warren &amp; Marciano, 2018). However, maintaining objectivity can be challenging, as researchers are often closely involved with the participants. Additionally, the iterative nature of action research can make it challenging to plan and predict the course of the research, requiring flexibility and adaptability from the researchers.</w:t>
      </w:r>
    </w:p>
    <w:p w14:paraId="080AC3EC"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Methods</w:t>
      </w:r>
    </w:p>
    <w:p w14:paraId="200AFAC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Case Studies</w:t>
      </w:r>
    </w:p>
    <w:p w14:paraId="6044113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Case studies offer an in-depth exploration of a single case or a small number of cases within their real-life context. This methodological approach is particularly suited to complex work-based settings where the context plays a critical role in shaping the phenomena under study (Yin, 2018). In the context of vocal teaching practices involving trans and transitioning voices, case studies enable researchers to delve deeply into specific teaching environments and experiences, providing detailed insights that can inform practice and policy.</w:t>
      </w:r>
    </w:p>
    <w:p w14:paraId="2E55522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Advantages of Case Studies</w:t>
      </w:r>
    </w:p>
    <w:p w14:paraId="1A3DA6F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One of the primary advantages of case studies is their ability to provide a deep understanding of the case within its specific context. This depth of analysis allows for exploring complex issues and identifying subtle factors that may not be evident through other research methods. For example, a case study of a vocal instructor successfully teaching transitioning students can reveal the strategies, techniques, and support mechanisms that contribute to effective teaching and learning outcomes, offering valuable lessons for similar educational settings. This detailed exploration can uncover the nuances of gender identity, vocal changes, and pedagogical adaptations that influence the success of vocal training for trans individuals.</w:t>
      </w:r>
    </w:p>
    <w:p w14:paraId="719CF552" w14:textId="7ED98462" w:rsidR="003D041A" w:rsidRPr="00CE6CE9" w:rsidRDefault="00886AC1" w:rsidP="0033236F">
      <w:pPr>
        <w:spacing w:before="100" w:beforeAutospacing="1" w:after="100" w:afterAutospacing="1" w:line="360" w:lineRule="auto"/>
        <w:rPr>
          <w:rFonts w:ascii="Arial" w:eastAsia="Arial" w:hAnsi="Arial" w:cs="Arial"/>
          <w:kern w:val="0"/>
          <w:lang w:eastAsia="en-GB"/>
          <w14:ligatures w14:val="none"/>
        </w:rPr>
      </w:pPr>
      <w:r w:rsidRPr="00886AC1">
        <w:rPr>
          <w:rFonts w:ascii="Arial" w:eastAsia="Arial" w:hAnsi="Arial" w:cs="Arial"/>
          <w:kern w:val="0"/>
          <w:lang w:eastAsia="en-GB"/>
          <w14:ligatures w14:val="none"/>
        </w:rPr>
        <w:t>Case studies also allow for the use of multiple data sources, which can strengthen the validity of the findings through triangulation. Researchers can employ interviews, observations, documents, and other data sources to create a comprehensive understanding of the case</w:t>
      </w:r>
      <w:r w:rsidR="00CC1BD1" w:rsidRPr="2633F10F">
        <w:rPr>
          <w:rFonts w:ascii="Arial" w:eastAsia="Arial" w:hAnsi="Arial" w:cs="Arial"/>
          <w:kern w:val="0"/>
          <w:lang w:eastAsia="en-GB"/>
          <w14:ligatures w14:val="none"/>
        </w:rPr>
        <w:t xml:space="preserve">. This multi-faceted approach allows for the cross-verification of data, which can strengthen the credibility of the research findings (Stake, 1995). In studying trans and transitioning voices, incorporating diverse data sources such as personal narratives, vocal </w:t>
      </w:r>
      <w:r w:rsidR="00CC1BD1" w:rsidRPr="2633F10F">
        <w:rPr>
          <w:rFonts w:ascii="Arial" w:eastAsia="Arial" w:hAnsi="Arial" w:cs="Arial"/>
          <w:kern w:val="0"/>
          <w:lang w:eastAsia="en-GB"/>
          <w14:ligatures w14:val="none"/>
        </w:rPr>
        <w:lastRenderedPageBreak/>
        <w:t>recordings, and classroom observations can provide a holistic view of the challenges and successes encountered in this specialized teaching practice (Denzin, 2017).</w:t>
      </w:r>
    </w:p>
    <w:p w14:paraId="37C167CC" w14:textId="68D294A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Limitations of Case Studies</w:t>
      </w:r>
    </w:p>
    <w:p w14:paraId="11B7BBD4" w14:textId="578E63FA"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Despite their advantages, case studies also have limitations, primarily related to generalizability and time constraints. The specificity and depth of case studies often limit their generalizability. </w:t>
      </w:r>
      <w:r w:rsidR="00216D3B" w:rsidRPr="00216D3B">
        <w:rPr>
          <w:rFonts w:ascii="Arial" w:eastAsia="Arial" w:hAnsi="Arial" w:cs="Arial"/>
          <w:kern w:val="0"/>
          <w:lang w:eastAsia="en-GB"/>
          <w14:ligatures w14:val="none"/>
        </w:rPr>
        <w:t>Although they offer valuable contextual insights, the findings from a single case may not be generalizable to other settings.</w:t>
      </w:r>
      <w:r w:rsidR="00216D3B">
        <w:rPr>
          <w:rFonts w:ascii="Arial" w:eastAsia="Arial" w:hAnsi="Arial" w:cs="Arial"/>
          <w:kern w:val="0"/>
          <w:lang w:eastAsia="en-GB"/>
          <w14:ligatures w14:val="none"/>
        </w:rPr>
        <w:t xml:space="preserve"> </w:t>
      </w:r>
      <w:r w:rsidRPr="2633F10F">
        <w:rPr>
          <w:rFonts w:ascii="Arial" w:eastAsia="Arial" w:hAnsi="Arial" w:cs="Arial"/>
          <w:kern w:val="0"/>
          <w:lang w:eastAsia="en-GB"/>
          <w14:ligatures w14:val="none"/>
        </w:rPr>
        <w:t>This limitation can be particularly pronounced in highly unique or atypical cases, where the context and circumstances do not represent broader populations or situations (Flyvbjerg, 2006). For instance, a case study focusing on a particularly progressive or well-resourced vocal training program for trans students may not reflect the experiences in less supportive or resource-constrained environments.</w:t>
      </w:r>
    </w:p>
    <w:p w14:paraId="50AD68C4" w14:textId="207815C5" w:rsidR="0059485A" w:rsidRPr="004B7BDC" w:rsidRDefault="00540B8F" w:rsidP="0033236F">
      <w:pPr>
        <w:spacing w:before="100" w:beforeAutospacing="1" w:after="100" w:afterAutospacing="1" w:line="360" w:lineRule="auto"/>
        <w:rPr>
          <w:rFonts w:ascii="Arial" w:eastAsia="Arial" w:hAnsi="Arial" w:cs="Arial"/>
          <w:kern w:val="0"/>
          <w:lang w:eastAsia="en-GB"/>
          <w14:ligatures w14:val="none"/>
        </w:rPr>
      </w:pPr>
      <w:r w:rsidRPr="00540B8F">
        <w:rPr>
          <w:rFonts w:ascii="Arial" w:eastAsia="Arial" w:hAnsi="Arial" w:cs="Arial"/>
          <w:kern w:val="0"/>
          <w:lang w:eastAsia="en-GB"/>
          <w14:ligatures w14:val="none"/>
        </w:rPr>
        <w:t>Additionally, case studies can be time-intensive and require access to detailed information, which may not always be feasible. The extensive data collection and analysis involved in case studies demand substantial research time and resources</w:t>
      </w:r>
      <w:r w:rsidR="00CC1BD1" w:rsidRPr="2633F10F">
        <w:rPr>
          <w:rFonts w:ascii="Arial" w:eastAsia="Arial" w:hAnsi="Arial" w:cs="Arial"/>
          <w:kern w:val="0"/>
          <w:lang w:eastAsia="en-GB"/>
          <w14:ligatures w14:val="none"/>
        </w:rPr>
        <w:t>. Moreover, gaining access to organizations and securing the participation of individuals involved in the case can be challenging, especially when dealing with sensitive or proprietary information. In the context of trans and transitioning voices, securing participants' trust and willingness to share their experiences openly may require additional ethical considerations and relationship-building efforts.</w:t>
      </w:r>
    </w:p>
    <w:p w14:paraId="2798FC4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Application of Case Studies in Work-Based Settings</w:t>
      </w:r>
    </w:p>
    <w:p w14:paraId="3311DCF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work-based settings, case studies are particularly valuable for exploring organizational processes, decision-making, and change initiatives (Yin, 2018). For instance, a case study of a vocal training program's adaptation to accommodate transitioning voices can provide insights into the process's challenges and successes, highlighting the key factors contributing to its effectiveness and integration. This type of research can inform best practices and guide other educational institutions facing similar challenges.</w:t>
      </w:r>
    </w:p>
    <w:p w14:paraId="4B57AA82" w14:textId="0691DA81" w:rsidR="000F1E2C" w:rsidRPr="000F1E2C" w:rsidRDefault="00CC1BD1" w:rsidP="000F1E2C">
      <w:pPr>
        <w:spacing w:line="360" w:lineRule="auto"/>
        <w:rPr>
          <w:rFonts w:ascii="Arial" w:eastAsia="Arial" w:hAnsi="Arial" w:cs="Arial"/>
        </w:rPr>
      </w:pPr>
      <w:r w:rsidRPr="2633F10F">
        <w:rPr>
          <w:rFonts w:ascii="Arial" w:eastAsia="Arial" w:hAnsi="Arial" w:cs="Arial"/>
          <w:kern w:val="0"/>
          <w:lang w:eastAsia="en-GB"/>
          <w14:ligatures w14:val="none"/>
        </w:rPr>
        <w:t xml:space="preserve">Case studies are also practical for investigating organizational culture and employee </w:t>
      </w:r>
      <w:r w:rsidR="00DB74A4"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issues. </w:t>
      </w:r>
      <w:r w:rsidR="000F1E2C" w:rsidRPr="000F1E2C">
        <w:rPr>
          <w:rFonts w:ascii="Arial" w:eastAsia="Arial" w:hAnsi="Arial" w:cs="Arial"/>
        </w:rPr>
        <w:t xml:space="preserve">By investigating specific instances of organizational </w:t>
      </w:r>
      <w:r w:rsidR="000F1E2C" w:rsidRPr="000F1E2C">
        <w:rPr>
          <w:rFonts w:ascii="Arial" w:eastAsia="Arial" w:hAnsi="Arial" w:cs="Arial"/>
        </w:rPr>
        <w:t>behaviour</w:t>
      </w:r>
      <w:r w:rsidR="000F1E2C" w:rsidRPr="000F1E2C">
        <w:rPr>
          <w:rFonts w:ascii="Arial" w:eastAsia="Arial" w:hAnsi="Arial" w:cs="Arial"/>
        </w:rPr>
        <w:t xml:space="preserve">, such as leadership practices or team dynamics, researchers can gain a deeper understanding of the factors that drive these </w:t>
      </w:r>
      <w:r w:rsidR="000F1E2C" w:rsidRPr="000F1E2C">
        <w:rPr>
          <w:rFonts w:ascii="Arial" w:eastAsia="Arial" w:hAnsi="Arial" w:cs="Arial"/>
        </w:rPr>
        <w:t>behaviours</w:t>
      </w:r>
      <w:r w:rsidR="000F1E2C" w:rsidRPr="000F1E2C">
        <w:rPr>
          <w:rFonts w:ascii="Arial" w:eastAsia="Arial" w:hAnsi="Arial" w:cs="Arial"/>
        </w:rPr>
        <w:t xml:space="preserve">. This insight can be leveraged to create targeted </w:t>
      </w:r>
      <w:r w:rsidR="000F1E2C" w:rsidRPr="000F1E2C">
        <w:rPr>
          <w:rFonts w:ascii="Arial" w:eastAsia="Arial" w:hAnsi="Arial" w:cs="Arial"/>
        </w:rPr>
        <w:lastRenderedPageBreak/>
        <w:t>interventions and strategies aimed at enhancing organizational performance and employee satisfaction.</w:t>
      </w:r>
    </w:p>
    <w:p w14:paraId="4F560482" w14:textId="7D350E1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 In the context of vocal teaching, examining how vocal instructors collaborate and share knowledge about working with trans students can reveal critical insights into fostering inclusive and supportive learning environments.</w:t>
      </w:r>
    </w:p>
    <w:p w14:paraId="31F7CBD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Surveys and Questionnaires</w:t>
      </w:r>
    </w:p>
    <w:p w14:paraId="0A53BE11" w14:textId="059CB254"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Surveys and questionnaires are widely used methods for quickly and efficiently collecting data from large groups of people. They are beneficial for gathering quantitative data on attitudes, opinions, and </w:t>
      </w:r>
      <w:r w:rsidR="00DB74A4"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xml:space="preserve"> (Fowler, 2014). In work-based settings, surveys can be used to assess employee satisfaction, organizational culture, and other relevant metrics. For instance, a survey might be administered to all employees in an organization to measure job satisfaction and identify factors contributing to high turnover rates.</w:t>
      </w:r>
    </w:p>
    <w:p w14:paraId="49AF462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However, surveys and questionnaires have several limitations. Response rates can be low, and there is always a risk of response bias, where respondents may provide socially desirable answers rather than truthful ones (Bryman, 2016). Additionally, designing effective surveys requires careful consideration of question-wording, order, and format to avoid introducing biases.</w:t>
      </w:r>
    </w:p>
    <w:p w14:paraId="6424086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Interviews</w:t>
      </w:r>
    </w:p>
    <w:p w14:paraId="3CD5A7CC"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t>Interviews are a versatile method for gathering qualitative data, crucial for understanding the experiences of trans and transitioning students (Brantlinger et al., 2005). Each type—structured, semi-structured, and unstructured—offers distinct advantages.</w:t>
      </w:r>
    </w:p>
    <w:p w14:paraId="6B93196B"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t>Structured interviews adhere to a predetermined set of questions, ensuring consistency and facilitating the comparison of factors like awareness of support services (Kvale, 2007).</w:t>
      </w:r>
    </w:p>
    <w:p w14:paraId="054315AF"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t>Semi-structured interviews blend structure with flexibility, allowing for deeper exploration of personal experiences, such as interactions with faculty (Rubin &amp; Rubin, 2012).</w:t>
      </w:r>
    </w:p>
    <w:p w14:paraId="79A39F21"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t>Unstructured interviews are highly adaptable, enabling open-ended conversations that reveal personal narratives and unexpected issues (Kvale, 2007).</w:t>
      </w:r>
    </w:p>
    <w:p w14:paraId="151CBCE9"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lastRenderedPageBreak/>
        <w:t>While interviews provide valuable insights, they are time-consuming and require skilled interviewers. Analyzing the data is also complex and resource-intensive (Rubin &amp; Rubin, 2012).</w:t>
      </w:r>
    </w:p>
    <w:p w14:paraId="0A87FD4E" w14:textId="77777777" w:rsidR="00C53CD9" w:rsidRPr="00C53CD9" w:rsidRDefault="00C53CD9" w:rsidP="00C53CD9">
      <w:pPr>
        <w:spacing w:before="100" w:beforeAutospacing="1" w:after="100" w:afterAutospacing="1" w:line="360" w:lineRule="auto"/>
        <w:rPr>
          <w:rFonts w:ascii="Arial" w:eastAsia="Arial" w:hAnsi="Arial" w:cs="Arial"/>
        </w:rPr>
      </w:pPr>
      <w:r w:rsidRPr="00C53CD9">
        <w:rPr>
          <w:rFonts w:ascii="Arial" w:eastAsia="Arial" w:hAnsi="Arial" w:cs="Arial"/>
        </w:rPr>
        <w:t>These forms of interviews assist educators and researchers in better understanding the needs of trans and transitioning students, leading to more inclusive teaching practices (Brantlinger et al., 2005).</w:t>
      </w:r>
    </w:p>
    <w:p w14:paraId="42A3C309" w14:textId="6771EB13"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Observations</w:t>
      </w:r>
    </w:p>
    <w:p w14:paraId="5E4B8A50" w14:textId="77777777" w:rsidR="00D2589E" w:rsidRPr="004B7BDC" w:rsidRDefault="00D2589E" w:rsidP="00D2589E">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Observational methods involve systematically watching and recording behaviours and interactions within their natural context. This method is particularly useful for studying workplace dynamics, team interactions, and other phenomena that may not be fully captured through self-report methods (Creswell &amp; Poth, 2017). For instance, observing team meetings in a corporate setting can provide insights into communication patterns, decision-making processes, and power dynamics that might be overlooked in surveys or interviews (Flick, 2018).</w:t>
      </w:r>
    </w:p>
    <w:p w14:paraId="4333D060" w14:textId="4ADD8DE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However, observational methods can be intrusive and may alter the </w:t>
      </w:r>
      <w:r w:rsidR="006D5887"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of those being observed, a phenomenon known as the Hawthorne effect (McCambridge, Witton, &amp; Elbourne, 2014). To mitigate this, researchers can adopt unobtrusive observation techniques (McCambridge, Witton, &amp; Elbourne, 2014) or ensure their presence becomes less noticeable over time.</w:t>
      </w:r>
    </w:p>
    <w:p w14:paraId="35CDD2B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Ethics</w:t>
      </w:r>
    </w:p>
    <w:p w14:paraId="13B7F2C6" w14:textId="709A34EC" w:rsidR="3C1CF47D" w:rsidRDefault="00CC1BD1" w:rsidP="0033236F">
      <w:pPr>
        <w:spacing w:beforeAutospacing="1" w:afterAutospacing="1" w:line="360" w:lineRule="auto"/>
        <w:rPr>
          <w:rFonts w:ascii="Arial" w:eastAsia="Arial" w:hAnsi="Arial" w:cs="Arial"/>
          <w:lang w:eastAsia="en-GB"/>
        </w:rPr>
      </w:pPr>
      <w:r w:rsidRPr="2633F10F">
        <w:rPr>
          <w:rFonts w:ascii="Arial" w:eastAsia="Arial" w:hAnsi="Arial" w:cs="Arial"/>
          <w:lang w:eastAsia="en-GB"/>
        </w:rPr>
        <w:t>As Walliman (2021) points out, t</w:t>
      </w:r>
      <w:r w:rsidR="7344BDCE" w:rsidRPr="2633F10F">
        <w:rPr>
          <w:rFonts w:ascii="Arial" w:eastAsia="Arial" w:hAnsi="Arial" w:cs="Arial"/>
          <w:lang w:eastAsia="en-GB"/>
        </w:rPr>
        <w:t>he idea of ethics in research is underpinned by the concept of Axiology. Axiology studies values, including ethics and aesthetics. Critical components of axiology are:</w:t>
      </w:r>
    </w:p>
    <w:p w14:paraId="0472AF09"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Ethics:</w:t>
      </w:r>
      <w:r w:rsidRPr="2633F10F">
        <w:rPr>
          <w:rFonts w:ascii="Arial" w:eastAsia="Arial" w:hAnsi="Arial" w:cs="Arial"/>
          <w:lang w:eastAsia="en-GB"/>
        </w:rPr>
        <w:t xml:space="preserve"> Explores moral values, principles, and rules of conduct. It addresses questions of right and wrong actions and the nature of justice (Frankena, 1973).</w:t>
      </w:r>
    </w:p>
    <w:p w14:paraId="3A98BE42"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Aesthetics:</w:t>
      </w:r>
      <w:r w:rsidRPr="2633F10F">
        <w:rPr>
          <w:rFonts w:ascii="Arial" w:eastAsia="Arial" w:hAnsi="Arial" w:cs="Arial"/>
          <w:lang w:eastAsia="en-GB"/>
        </w:rPr>
        <w:t xml:space="preserve"> Examines the nature of beauty, art, and taste and how aesthetic judgments are formed (Cahn &amp; Meskin, 2008).</w:t>
      </w:r>
    </w:p>
    <w:p w14:paraId="04558E6D"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Value Theory:</w:t>
      </w:r>
      <w:r w:rsidRPr="2633F10F">
        <w:rPr>
          <w:rFonts w:ascii="Arial" w:eastAsia="Arial" w:hAnsi="Arial" w:cs="Arial"/>
          <w:lang w:eastAsia="en-GB"/>
        </w:rPr>
        <w:t xml:space="preserve"> Covers broader questions about the nature of values, distinguishing between intrinsic and extrinsic values (Sobel, Vallentyne, &amp; Wall, 2018).</w:t>
      </w:r>
    </w:p>
    <w:p w14:paraId="66F19BC1" w14:textId="602ADB68" w:rsidR="2633F10F" w:rsidRPr="00CE6CE9" w:rsidRDefault="00CC1BD1" w:rsidP="0033236F">
      <w:pPr>
        <w:spacing w:beforeAutospacing="1" w:afterAutospacing="1" w:line="360" w:lineRule="auto"/>
        <w:rPr>
          <w:rFonts w:ascii="Arial" w:eastAsia="Arial" w:hAnsi="Arial" w:cs="Arial"/>
          <w:lang w:eastAsia="en-GB"/>
        </w:rPr>
      </w:pPr>
      <w:r w:rsidRPr="2633F10F">
        <w:rPr>
          <w:rFonts w:ascii="Arial" w:eastAsia="Arial" w:hAnsi="Arial" w:cs="Arial"/>
          <w:lang w:eastAsia="en-GB"/>
        </w:rPr>
        <w:lastRenderedPageBreak/>
        <w:t>Axiology shapes ethical frameworks and artistic standards, influencing fields such as education, politics, and culture. It helps determine what is important and why (Hartman, 2011).</w:t>
      </w:r>
    </w:p>
    <w:p w14:paraId="34194FC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Informed Consent and Confidentiality</w:t>
      </w:r>
    </w:p>
    <w:p w14:paraId="7C1E1F46" w14:textId="77777777" w:rsidR="00577D2E" w:rsidRPr="00577D2E" w:rsidRDefault="00577D2E" w:rsidP="00577D2E">
      <w:pPr>
        <w:spacing w:before="100" w:beforeAutospacing="1" w:after="100" w:afterAutospacing="1" w:line="360" w:lineRule="auto"/>
        <w:rPr>
          <w:rFonts w:ascii="Arial" w:eastAsia="Arial" w:hAnsi="Arial" w:cs="Arial"/>
          <w:kern w:val="0"/>
          <w:lang w:eastAsia="en-GB"/>
          <w14:ligatures w14:val="none"/>
        </w:rPr>
      </w:pPr>
      <w:r w:rsidRPr="00577D2E">
        <w:rPr>
          <w:rFonts w:ascii="Arial" w:eastAsia="Arial" w:hAnsi="Arial" w:cs="Arial"/>
          <w:kern w:val="0"/>
          <w:lang w:eastAsia="en-GB"/>
          <w14:ligatures w14:val="none"/>
        </w:rPr>
        <w:t>Research ethics are crucial in work-based settings, where maintaining the integrity of the research process and protecting participants is essential (Kovach, 2018). Informed consent requires providing participants with detailed information about the study, including its purpose, procedures, risks, benefits, and their rights, ensuring they voluntarily agree to participate (Orb, Eisenhauer, &amp; Wynaden, 2001). This is especially important in workplace research, where power dynamics may affect participants' willingness to give consent.</w:t>
      </w:r>
    </w:p>
    <w:p w14:paraId="01CF436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Confidentiality is another critical ethical consideration, requiring researchers to protect participants' identities and sensitive information. This can be challenging in small organizations where individuals may be easily identifiable. Researchers must implement strategies such as anonymizing data, using pseudonyms, and securely storing data to ensure confidentiality (Kaiser, 2009).</w:t>
      </w:r>
    </w:p>
    <w:p w14:paraId="07595EA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Ethical Approval</w:t>
      </w:r>
    </w:p>
    <w:p w14:paraId="0A8FC6F2" w14:textId="28025975"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Ethical approval from relevant institutional review boards or ethics committees is essential before commencing research</w:t>
      </w:r>
      <w:r w:rsidR="2D3E9A04" w:rsidRPr="2633F10F">
        <w:rPr>
          <w:rFonts w:ascii="Arial" w:eastAsia="Arial" w:hAnsi="Arial" w:cs="Arial"/>
          <w:kern w:val="0"/>
          <w:lang w:eastAsia="en-GB"/>
          <w14:ligatures w14:val="none"/>
        </w:rPr>
        <w:t xml:space="preserve"> (Israel, 2015)</w:t>
      </w:r>
      <w:r w:rsidRPr="2633F10F">
        <w:rPr>
          <w:rFonts w:ascii="Arial" w:eastAsia="Arial" w:hAnsi="Arial" w:cs="Arial"/>
          <w:kern w:val="0"/>
          <w:lang w:eastAsia="en-GB"/>
          <w14:ligatures w14:val="none"/>
        </w:rPr>
        <w:t>. This process ensures that the study adheres to ethical guidelines and that potential participant risks are minimized. In work-based settings, this might involve obtaining approval from both academic and organizational bodies, ensuring that the research aligns with both ethical standards and organizational policies (Smith, 2013).</w:t>
      </w:r>
    </w:p>
    <w:p w14:paraId="1C20890E" w14:textId="74FEE4CD" w:rsidR="0437D5BF" w:rsidRDefault="00B161C8" w:rsidP="0033236F">
      <w:pPr>
        <w:spacing w:before="240" w:after="240" w:line="360" w:lineRule="auto"/>
        <w:rPr>
          <w:rFonts w:ascii="Arial" w:eastAsia="Arial" w:hAnsi="Arial" w:cs="Arial"/>
        </w:rPr>
      </w:pPr>
      <w:r w:rsidRPr="00B161C8">
        <w:rPr>
          <w:rFonts w:ascii="Arial" w:eastAsia="Arial" w:hAnsi="Arial" w:cs="Arial"/>
        </w:rPr>
        <w:t>Prioritizing ethical considerations is crucial to ensure the safety, dignity, and respect of participants in this study on trans voices. Given the sensitive nature of questions regarding gender identity, transition status, and singing experiences, confidentiality and privacy must be rigorously safeguarded (APA, 2020). Anonymity should be maintained by using anonymized identifiers, preventing responses from being linked to specific individuals (BSA, 2017).</w:t>
      </w:r>
      <w:r>
        <w:rPr>
          <w:rFonts w:ascii="Arial" w:eastAsia="Arial" w:hAnsi="Arial" w:cs="Arial"/>
        </w:rPr>
        <w:t xml:space="preserve"> </w:t>
      </w:r>
      <w:r w:rsidR="00CC1BD1" w:rsidRPr="2633F10F">
        <w:rPr>
          <w:rFonts w:ascii="Arial" w:eastAsia="Arial" w:hAnsi="Arial" w:cs="Arial"/>
        </w:rPr>
        <w:t>Data security is crucial, with information stored on secure, encrypted servers accessible only to the research team (E.U. Agency for Fundamental Rights, 2022). Informed consent must be obtained, clearly explaining data usage, storage, and participants' rights, including the option to withdraw without consequences (Wiles, 2012).</w:t>
      </w:r>
    </w:p>
    <w:p w14:paraId="11F3F2D8" w14:textId="1F7A73E7" w:rsidR="0437D5BF" w:rsidRDefault="00CC1BD1" w:rsidP="0033236F">
      <w:pPr>
        <w:spacing w:before="240" w:after="240" w:line="360" w:lineRule="auto"/>
        <w:rPr>
          <w:rFonts w:ascii="Arial" w:eastAsia="Arial" w:hAnsi="Arial" w:cs="Arial"/>
        </w:rPr>
      </w:pPr>
      <w:r w:rsidRPr="2633F10F">
        <w:rPr>
          <w:rFonts w:ascii="Arial" w:eastAsia="Arial" w:hAnsi="Arial" w:cs="Arial"/>
        </w:rPr>
        <w:lastRenderedPageBreak/>
        <w:t>Using inclusive and sensitive language in the questionnaire helps prevent discomfort. Addressing these ethical concerns upholds standards, builds trust, and protects participants' rights throughout the study (APA, 2020).</w:t>
      </w:r>
    </w:p>
    <w:p w14:paraId="68D6979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Navigating Power Dynamics and Bias</w:t>
      </w:r>
    </w:p>
    <w:p w14:paraId="0B81EA8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Insider Research</w:t>
      </w:r>
    </w:p>
    <w:p w14:paraId="120FD846" w14:textId="338C0568"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Insider research, where researchers are part of the organization being studied, presents unique ethical challenges</w:t>
      </w:r>
      <w:r w:rsidR="00020116">
        <w:rPr>
          <w:rFonts w:ascii="Arial" w:eastAsia="Arial" w:hAnsi="Arial" w:cs="Arial"/>
          <w:kern w:val="0"/>
          <w:lang w:eastAsia="en-GB"/>
          <w14:ligatures w14:val="none"/>
        </w:rPr>
        <w:t xml:space="preserve">. </w:t>
      </w:r>
      <w:r w:rsidR="00020116" w:rsidRPr="00020116">
        <w:rPr>
          <w:rFonts w:ascii="Arial" w:eastAsia="Arial" w:hAnsi="Arial" w:cs="Arial"/>
          <w:kern w:val="0"/>
          <w:lang w:eastAsia="en-GB"/>
          <w14:ligatures w14:val="none"/>
        </w:rPr>
        <w:t>While insider research can provide valuable insights due to the researcher's familiarity with the context, it also carries risks of bias and ethical challenges (Brannick &amp; Coghlan, 2007).</w:t>
      </w:r>
      <w:r w:rsidR="00020116">
        <w:rPr>
          <w:rFonts w:ascii="Arial" w:eastAsia="Arial" w:hAnsi="Arial" w:cs="Arial"/>
          <w:kern w:val="0"/>
          <w:lang w:eastAsia="en-GB"/>
          <w14:ligatures w14:val="none"/>
        </w:rPr>
        <w:t xml:space="preserve"> </w:t>
      </w:r>
      <w:r w:rsidRPr="2633F10F">
        <w:rPr>
          <w:rFonts w:ascii="Arial" w:eastAsia="Arial" w:hAnsi="Arial" w:cs="Arial"/>
          <w:kern w:val="0"/>
          <w:lang w:eastAsia="en-GB"/>
          <w14:ligatures w14:val="none"/>
        </w:rPr>
        <w:t>Researchers must remain vigilant about their dual roles and potential conflicts of interest (Mercer, 2007). Strategies to mitigate bias include maintaining a reflective journal, seeking feedback from colleagues, and ensuring transparency in data collection and analysis (Mercer, 2007).</w:t>
      </w:r>
    </w:p>
    <w:p w14:paraId="04E8BFF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Advantages</w:t>
      </w:r>
    </w:p>
    <w:p w14:paraId="7019F61E"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Insider research can provide rich, contextualized insights that external researchers might overlook. Insiders have a deep understanding of the organizational culture, processes, and dynamics, which can enhance the relevance and accuracy of the research findings (Bonner &amp; Tolhurst, 2002). Additionally, insider researchers may have easier access to participants and data, facilitating the research process.</w:t>
      </w:r>
    </w:p>
    <w:p w14:paraId="2F03D95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Potential Biases</w:t>
      </w:r>
    </w:p>
    <w:p w14:paraId="41B646A9"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However, insider research is susceptible to several biases, including confirmation bias, where researchers may unconsciously seek data confirming their preconceptions, and social desirability bias, where participants may alter their responses to align with perceived expectations (Kanuha, 2000). Researchers must adopt strategies to minimize these biases, such as using Triangulation to verify findings through multiple sources and methods and engaging in reflexivity to critically examine their own assumptions and potential biases (Finlay, 2002).</w:t>
      </w:r>
    </w:p>
    <w:p w14:paraId="08C189A1"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Maintaining Objectivity</w:t>
      </w:r>
    </w:p>
    <w:p w14:paraId="39870B63" w14:textId="5C9FDD77" w:rsidR="2B3AD81F" w:rsidRDefault="00CC1BD1" w:rsidP="0033236F">
      <w:pPr>
        <w:spacing w:before="240" w:after="240" w:line="360" w:lineRule="auto"/>
        <w:rPr>
          <w:rFonts w:ascii="Arial" w:eastAsia="Arial" w:hAnsi="Arial" w:cs="Arial"/>
        </w:rPr>
      </w:pPr>
      <w:r w:rsidRPr="2633F10F">
        <w:rPr>
          <w:rFonts w:ascii="Arial" w:eastAsia="Arial" w:hAnsi="Arial" w:cs="Arial"/>
        </w:rPr>
        <w:t xml:space="preserve">Maintaining objectivity in insider research requires balancing insider knowledge with critical distance. Researchers should define clear boundaries between their roles and remain open </w:t>
      </w:r>
      <w:r w:rsidRPr="2633F10F">
        <w:rPr>
          <w:rFonts w:ascii="Arial" w:eastAsia="Arial" w:hAnsi="Arial" w:cs="Arial"/>
        </w:rPr>
        <w:lastRenderedPageBreak/>
        <w:t>to alternative perspectives. Peer debriefing and external audits can enhance the research process's rigor and credibility (Lincoln &amp; Guba, 1985).</w:t>
      </w:r>
    </w:p>
    <w:p w14:paraId="4374D717" w14:textId="4B89C61C" w:rsidR="2B3AD81F" w:rsidRDefault="00CC1BD1" w:rsidP="0033236F">
      <w:pPr>
        <w:spacing w:before="240" w:after="240" w:line="360" w:lineRule="auto"/>
        <w:rPr>
          <w:rFonts w:ascii="Arial" w:eastAsia="Arial" w:hAnsi="Arial" w:cs="Arial"/>
        </w:rPr>
      </w:pPr>
      <w:r w:rsidRPr="2633F10F">
        <w:rPr>
          <w:rFonts w:ascii="Arial" w:eastAsia="Arial" w:hAnsi="Arial" w:cs="Arial"/>
        </w:rPr>
        <w:t>For my research, objectivity is crucial for the study's integrity and validity. Researchers must approach investigations without bias, designing neutral survey questions that allow participants to express their genuine experiences. Standardized procedures should be used during data collection and analysis to avoid influencing responses or interpreting data to fit expectations. Transparent reporting of methods and findings is essential for reproducibility and peer review. By upholding objectivity, the study can provide accurate insights into the belt singing techniques of trans singers, contributing valuable knowledge to the field while respecting participants' diverse experiences.</w:t>
      </w:r>
    </w:p>
    <w:p w14:paraId="7EA2841E"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relation to my own work with trans- and transitioning voices, this requires a delicate balance between leveraging insider knowledge and maintaining critical distance to ensure rigorous and credible findings. For instance, I will need to establish and maintain clear boundaries between my roles as educators and researchers. Doing so allows me to remain open to alternative perspectives and avoid bias (Lincoln &amp; Guba, 1985). Techniques such as peer debriefing and external audits can further enhance the credibility of this research process. For example, when reflecting on teaching practices for transitioning students, employing these methods helps ensure that evaluations are not unduly influenced by my insider perspective, thus providing a more objective and comprehensive assessment (Creswell &amp; Plano Clark, 2017).</w:t>
      </w:r>
    </w:p>
    <w:p w14:paraId="3BB37AF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Conclusion</w:t>
      </w:r>
    </w:p>
    <w:p w14:paraId="0F8488D3" w14:textId="5189E2B6" w:rsidR="006E5959" w:rsidRPr="004B7BDC" w:rsidRDefault="00B635E8" w:rsidP="0033236F">
      <w:pPr>
        <w:spacing w:line="360" w:lineRule="auto"/>
        <w:rPr>
          <w:rFonts w:ascii="Arial" w:eastAsia="Arial" w:hAnsi="Arial" w:cs="Arial"/>
          <w:kern w:val="0"/>
          <w:lang w:eastAsia="en-GB"/>
          <w14:ligatures w14:val="none"/>
        </w:rPr>
      </w:pPr>
      <w:r w:rsidRPr="00B635E8">
        <w:rPr>
          <w:rFonts w:ascii="Arial" w:eastAsia="Arial" w:hAnsi="Arial" w:cs="Arial"/>
          <w:kern w:val="0"/>
          <w:lang w:eastAsia="en-GB"/>
          <w14:ligatures w14:val="none"/>
        </w:rPr>
        <w:t>This essay critically examines various methodological approaches, research designs, and data collection methods in complex work-based settings. The discussion highlights the importance of selecting suitable methodologies to effectively capture the diversity and dynamics of these environments.</w:t>
      </w:r>
      <w:r>
        <w:rPr>
          <w:rFonts w:ascii="Arial" w:eastAsia="Arial" w:hAnsi="Arial" w:cs="Arial"/>
          <w:kern w:val="0"/>
          <w:lang w:eastAsia="en-GB"/>
          <w14:ligatures w14:val="none"/>
        </w:rPr>
        <w:t xml:space="preserve"> </w:t>
      </w:r>
      <w:r w:rsidR="00CC1BD1" w:rsidRPr="2633F10F">
        <w:rPr>
          <w:rFonts w:ascii="Arial" w:eastAsia="Arial" w:hAnsi="Arial" w:cs="Arial"/>
          <w:kern w:val="0"/>
          <w:lang w:eastAsia="en-GB"/>
          <w14:ligatures w14:val="none"/>
        </w:rPr>
        <w:t>Qualitative methods like interviews and observations provide deep insights but lack the generalizability of quantitative methods such as surveys. Conversely, quantitative methods offer statistical power but may miss contextual nuances (Creswell &amp; Plano Clark, 2017). Mixed methods research combines both and is highlighted for its comprehensively addressing research questions.</w:t>
      </w:r>
    </w:p>
    <w:p w14:paraId="6A81B807" w14:textId="77777777" w:rsidR="006E5959" w:rsidRPr="004B7BDC" w:rsidRDefault="00CC1BD1" w:rsidP="0033236F">
      <w:pPr>
        <w:spacing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In designing future studies related to my teaching practice, ethical considerations such as informed consent, confidentiality, and insider research complexities are crucial. The evaluation of research designs—including experimental, quasi-experimental, longitudinal, </w:t>
      </w:r>
      <w:r w:rsidRPr="2633F10F">
        <w:rPr>
          <w:rFonts w:ascii="Arial" w:eastAsia="Arial" w:hAnsi="Arial" w:cs="Arial"/>
          <w:kern w:val="0"/>
          <w:lang w:eastAsia="en-GB"/>
          <w14:ligatures w14:val="none"/>
        </w:rPr>
        <w:lastRenderedPageBreak/>
        <w:t>and action research—shows their suitability for different research questions but also their limitations. For example, longitudinal studies offer insights into changes over time but are resource-intensive (Flick, 2018). The discussion on surveys, interviews, and observations illustrates their application and challenges in work-based settings, stressing the need for a balanced approach to ensure rigor and ethical integrity.</w:t>
      </w:r>
    </w:p>
    <w:p w14:paraId="55AACA08" w14:textId="4CDD06CD" w:rsidR="36799401" w:rsidRDefault="00CC1BD1" w:rsidP="0033236F">
      <w:pPr>
        <w:spacing w:line="360" w:lineRule="auto"/>
        <w:rPr>
          <w:rFonts w:ascii="Arial" w:eastAsia="Arial" w:hAnsi="Arial" w:cs="Arial"/>
          <w:lang w:eastAsia="en-GB"/>
        </w:rPr>
      </w:pPr>
      <w:r w:rsidRPr="2633F10F">
        <w:rPr>
          <w:rFonts w:ascii="Arial" w:eastAsia="Arial" w:hAnsi="Arial" w:cs="Arial"/>
          <w:lang w:eastAsia="en-GB"/>
        </w:rPr>
        <w:t xml:space="preserve">Using this information as a foundation to develop a research study on my </w:t>
      </w:r>
      <w:r w:rsidR="25D9DCC3" w:rsidRPr="2633F10F">
        <w:rPr>
          <w:rFonts w:ascii="Arial" w:eastAsia="Arial" w:hAnsi="Arial" w:cs="Arial"/>
          <w:lang w:eastAsia="en-GB"/>
        </w:rPr>
        <w:t>own pedagogical</w:t>
      </w:r>
      <w:r w:rsidRPr="2633F10F">
        <w:rPr>
          <w:rFonts w:ascii="Arial" w:eastAsia="Arial" w:hAnsi="Arial" w:cs="Arial"/>
          <w:lang w:eastAsia="en-GB"/>
        </w:rPr>
        <w:t xml:space="preserve"> approaches for working with trans and transitioning voices, a mixed methods approach offers a robust framework for capturing both broad trends and detailed personal experiences</w:t>
      </w:r>
      <w:r w:rsidR="3710FF68" w:rsidRPr="2633F10F">
        <w:rPr>
          <w:rFonts w:ascii="Arial" w:eastAsia="Arial" w:hAnsi="Arial" w:cs="Arial"/>
          <w:lang w:eastAsia="en-GB"/>
        </w:rPr>
        <w:t>, as set out in Appendix A</w:t>
      </w:r>
      <w:r w:rsidRPr="2633F10F">
        <w:rPr>
          <w:rFonts w:ascii="Arial" w:eastAsia="Arial" w:hAnsi="Arial" w:cs="Arial"/>
          <w:lang w:eastAsia="en-GB"/>
        </w:rPr>
        <w:t>. Surveys, as described by Fowler (2014), allow for a broad reach and efficient collection of quantifiable data from a diverse participant pool, enabling statistical analysis to identify overarching patterns and trends. This quantitative data provides a foundational overview of the issues faced by individuals undergoing vocal transitions, highlighting general trends across a large sample (Bryman, 2016).</w:t>
      </w:r>
    </w:p>
    <w:p w14:paraId="26E46015" w14:textId="5C259AB1" w:rsidR="00C86FD9" w:rsidRPr="00C86FD9" w:rsidRDefault="00C86FD9" w:rsidP="00C86FD9">
      <w:pPr>
        <w:spacing w:line="360" w:lineRule="auto"/>
        <w:rPr>
          <w:rFonts w:ascii="Arial" w:eastAsia="Arial" w:hAnsi="Arial" w:cs="Arial"/>
          <w:lang w:eastAsia="en-GB"/>
        </w:rPr>
      </w:pPr>
      <w:bookmarkStart w:id="1" w:name="_Int_ucpDCZ7Y"/>
      <w:r w:rsidRPr="00C86FD9">
        <w:rPr>
          <w:rFonts w:ascii="Arial" w:eastAsia="Arial" w:hAnsi="Arial" w:cs="Arial"/>
          <w:lang w:eastAsia="en-GB"/>
        </w:rPr>
        <w:t>When combined with action research principles, the mixed methods approach fosters iterative improvement and stakeholder involvement. Coghlan and Brannick (2014) observed that action research consists of cycles of planning, acting, observing, and reflecting, which harmonizes with the iterative nature of mixed methods research. This synergy enables the ongoing refinement of pedagogical strategies based on both quantitative and qualitative data.</w:t>
      </w:r>
    </w:p>
    <w:p w14:paraId="033C8EFB" w14:textId="554AA48E" w:rsidR="36799401" w:rsidRDefault="00CC1BD1" w:rsidP="0033236F">
      <w:pPr>
        <w:spacing w:line="360" w:lineRule="auto"/>
        <w:rPr>
          <w:rFonts w:ascii="Arial" w:eastAsia="Arial" w:hAnsi="Arial" w:cs="Arial"/>
          <w:lang w:eastAsia="en-GB"/>
        </w:rPr>
      </w:pPr>
      <w:r w:rsidRPr="2633F10F">
        <w:rPr>
          <w:rFonts w:ascii="Arial" w:eastAsia="Arial" w:hAnsi="Arial" w:cs="Arial"/>
          <w:lang w:eastAsia="en-GB"/>
        </w:rPr>
        <w:t>Furthermore, involving stakeholders—such as voice trainers, trans individuals, and educational professionals—ensures that the research addresses real-world needs and practical concerns, resulting in evidence-based practices that are both relevant and applicable in educational settings (Olszewski, Sullivan, &amp; Cabral, 2019; Chevalier &amp; Buckles, 2013).</w:t>
      </w:r>
      <w:bookmarkEnd w:id="1"/>
    </w:p>
    <w:p w14:paraId="058F61B0" w14:textId="63724BD3" w:rsidR="1C76435A" w:rsidRDefault="00CC1BD1" w:rsidP="0033236F">
      <w:pPr>
        <w:spacing w:line="360" w:lineRule="auto"/>
        <w:rPr>
          <w:rFonts w:ascii="Arial" w:eastAsia="Arial" w:hAnsi="Arial" w:cs="Arial"/>
        </w:rPr>
      </w:pPr>
      <w:r w:rsidRPr="2633F10F">
        <w:rPr>
          <w:rFonts w:ascii="Arial" w:eastAsia="Arial" w:hAnsi="Arial" w:cs="Arial"/>
        </w:rPr>
        <w:t>In summary, utilizing a combination of surveys, interviews, and action research creates a robust approach for a study aimed at building a knowledge base that informs the development of an evidence-based framework. This framework, rooted in real-world experiences, will guide creating more effective and customized vocal training techniques.</w:t>
      </w:r>
    </w:p>
    <w:p w14:paraId="7B109663" w14:textId="69EE59C2" w:rsidR="2633F10F" w:rsidRDefault="00CC1BD1" w:rsidP="0033236F">
      <w:pPr>
        <w:spacing w:line="360" w:lineRule="auto"/>
        <w:rPr>
          <w:rFonts w:ascii="Arial" w:eastAsia="Arial" w:hAnsi="Arial" w:cs="Arial"/>
        </w:rPr>
      </w:pPr>
      <w:r w:rsidRPr="2633F10F">
        <w:rPr>
          <w:rFonts w:ascii="Arial" w:eastAsia="Arial" w:hAnsi="Arial" w:cs="Arial"/>
        </w:rPr>
        <w:br w:type="page"/>
      </w:r>
    </w:p>
    <w:p w14:paraId="3E21BD67" w14:textId="77777777" w:rsidR="008A2C9E" w:rsidRPr="008A2C9E" w:rsidRDefault="008A2C9E" w:rsidP="008A2C9E">
      <w:pPr>
        <w:spacing w:line="360" w:lineRule="auto"/>
        <w:rPr>
          <w:rFonts w:ascii="Arial" w:hAnsi="Arial" w:cs="Arial"/>
        </w:rPr>
      </w:pPr>
      <w:r w:rsidRPr="008A2C9E">
        <w:rPr>
          <w:rFonts w:ascii="Arial" w:hAnsi="Arial" w:cs="Arial"/>
          <w:b/>
          <w:bCs/>
        </w:rPr>
        <w:lastRenderedPageBreak/>
        <w:t>Books:</w:t>
      </w:r>
    </w:p>
    <w:p w14:paraId="2F6BE8A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Olszewski, A., Sullivan, S., and Cabral, A. (2019) </w:t>
      </w:r>
      <w:r w:rsidRPr="008A2C9E">
        <w:rPr>
          <w:rFonts w:ascii="Arial" w:hAnsi="Arial" w:cs="Arial"/>
          <w:i/>
          <w:iCs/>
        </w:rPr>
        <w:t>Here's How to Teach Voice and Communication Skills to Transgender Women</w:t>
      </w:r>
      <w:r w:rsidRPr="008A2C9E">
        <w:rPr>
          <w:rFonts w:ascii="Arial" w:hAnsi="Arial" w:cs="Arial"/>
        </w:rPr>
        <w:t>. San Diego: Plural Publishing.</w:t>
      </w:r>
    </w:p>
    <w:p w14:paraId="59C9B033"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American Psychological Association (2020) </w:t>
      </w:r>
      <w:r w:rsidRPr="008A2C9E">
        <w:rPr>
          <w:rFonts w:ascii="Arial" w:hAnsi="Arial" w:cs="Arial"/>
          <w:i/>
          <w:iCs/>
        </w:rPr>
        <w:t>Publication Manual of the American Psychological Association</w:t>
      </w:r>
      <w:r w:rsidRPr="008A2C9E">
        <w:rPr>
          <w:rFonts w:ascii="Arial" w:hAnsi="Arial" w:cs="Arial"/>
        </w:rPr>
        <w:t xml:space="preserve"> (7th ed.). Washington, DC: American Psychological Association.</w:t>
      </w:r>
    </w:p>
    <w:p w14:paraId="29798AB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Babbie, E. (2016) </w:t>
      </w:r>
      <w:r w:rsidRPr="008A2C9E">
        <w:rPr>
          <w:rFonts w:ascii="Arial" w:hAnsi="Arial" w:cs="Arial"/>
          <w:i/>
          <w:iCs/>
        </w:rPr>
        <w:t>The Practice of Social Research</w:t>
      </w:r>
      <w:r w:rsidRPr="008A2C9E">
        <w:rPr>
          <w:rFonts w:ascii="Arial" w:hAnsi="Arial" w:cs="Arial"/>
        </w:rPr>
        <w:t>. Cengage Learning.</w:t>
      </w:r>
    </w:p>
    <w:p w14:paraId="36CA6CF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Bryman, A. (2016) </w:t>
      </w:r>
      <w:r w:rsidRPr="008A2C9E">
        <w:rPr>
          <w:rFonts w:ascii="Arial" w:hAnsi="Arial" w:cs="Arial"/>
          <w:i/>
          <w:iCs/>
        </w:rPr>
        <w:t>Social Research Methods</w:t>
      </w:r>
      <w:r w:rsidRPr="008A2C9E">
        <w:rPr>
          <w:rFonts w:ascii="Arial" w:hAnsi="Arial" w:cs="Arial"/>
        </w:rPr>
        <w:t>. Oxford University Press.</w:t>
      </w:r>
    </w:p>
    <w:p w14:paraId="0EC1F55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Campbell, D.T. and Stanley, J.C. (2015) </w:t>
      </w:r>
      <w:r w:rsidRPr="008A2C9E">
        <w:rPr>
          <w:rFonts w:ascii="Arial" w:hAnsi="Arial" w:cs="Arial"/>
          <w:i/>
          <w:iCs/>
        </w:rPr>
        <w:t>Experimental and Quasi-Experimental Designs for Research</w:t>
      </w:r>
      <w:r w:rsidRPr="008A2C9E">
        <w:rPr>
          <w:rFonts w:ascii="Arial" w:hAnsi="Arial" w:cs="Arial"/>
        </w:rPr>
        <w:t>. Ravenio Books.</w:t>
      </w:r>
    </w:p>
    <w:p w14:paraId="41EE401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Campbell, D.T. and Stanley, J.C. (1963) </w:t>
      </w:r>
      <w:r w:rsidRPr="008A2C9E">
        <w:rPr>
          <w:rFonts w:ascii="Arial" w:hAnsi="Arial" w:cs="Arial"/>
          <w:i/>
          <w:iCs/>
        </w:rPr>
        <w:t>Experimental and Quasi-Experimental Designs for Research</w:t>
      </w:r>
      <w:r w:rsidRPr="008A2C9E">
        <w:rPr>
          <w:rFonts w:ascii="Arial" w:hAnsi="Arial" w:cs="Arial"/>
        </w:rPr>
        <w:t>. Houghton Mifflin Company.</w:t>
      </w:r>
    </w:p>
    <w:p w14:paraId="6C1D3CE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Cahn, S.M. and Meskin, A. (Eds.) (2018) </w:t>
      </w:r>
      <w:r w:rsidRPr="008A2C9E">
        <w:rPr>
          <w:rFonts w:ascii="Arial" w:hAnsi="Arial" w:cs="Arial"/>
          <w:i/>
          <w:iCs/>
        </w:rPr>
        <w:t>Aesthetics: A Comprehensive Anthology</w:t>
      </w:r>
      <w:r w:rsidRPr="008A2C9E">
        <w:rPr>
          <w:rFonts w:ascii="Arial" w:hAnsi="Arial" w:cs="Arial"/>
        </w:rPr>
        <w:t>. ISBN: 978-1405154358.</w:t>
      </w:r>
    </w:p>
    <w:p w14:paraId="38B6F4A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Chevalier, J.M. and Buckles, D.J. (2013) </w:t>
      </w:r>
      <w:r w:rsidRPr="008A2C9E">
        <w:rPr>
          <w:rFonts w:ascii="Arial" w:hAnsi="Arial" w:cs="Arial"/>
          <w:i/>
          <w:iCs/>
        </w:rPr>
        <w:t>Participatory Action Research</w:t>
      </w:r>
      <w:r w:rsidRPr="008A2C9E">
        <w:rPr>
          <w:rFonts w:ascii="Arial" w:hAnsi="Arial" w:cs="Arial"/>
        </w:rPr>
        <w:t>. Abingdon: Routledge.</w:t>
      </w:r>
    </w:p>
    <w:p w14:paraId="5DD4E9C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Cohen, L., Manion, L., and Morrison, K. (2013) </w:t>
      </w:r>
      <w:r w:rsidRPr="008A2C9E">
        <w:rPr>
          <w:rFonts w:ascii="Arial" w:hAnsi="Arial" w:cs="Arial"/>
          <w:i/>
          <w:iCs/>
        </w:rPr>
        <w:t>Research Methods in Education</w:t>
      </w:r>
      <w:r w:rsidRPr="008A2C9E">
        <w:rPr>
          <w:rFonts w:ascii="Arial" w:hAnsi="Arial" w:cs="Arial"/>
        </w:rPr>
        <w:t xml:space="preserve"> (7th ed.). Hoboken: Taylor and Francis.</w:t>
      </w:r>
    </w:p>
    <w:p w14:paraId="4C1A920D"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Coghlan, D. and Brannick, T. (2014) </w:t>
      </w:r>
      <w:r w:rsidRPr="008A2C9E">
        <w:rPr>
          <w:rFonts w:ascii="Arial" w:hAnsi="Arial" w:cs="Arial"/>
          <w:i/>
          <w:iCs/>
        </w:rPr>
        <w:t>Doing Action Research in Your Own Organization</w:t>
      </w:r>
      <w:r w:rsidRPr="008A2C9E">
        <w:rPr>
          <w:rFonts w:ascii="Arial" w:hAnsi="Arial" w:cs="Arial"/>
        </w:rPr>
        <w:t>. Sage.</w:t>
      </w:r>
    </w:p>
    <w:p w14:paraId="3261CD1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Costley, C., Elliott, G., and Gibbs, P. (2012) </w:t>
      </w:r>
      <w:r w:rsidRPr="008A2C9E">
        <w:rPr>
          <w:rFonts w:ascii="Arial" w:hAnsi="Arial" w:cs="Arial"/>
          <w:i/>
          <w:iCs/>
        </w:rPr>
        <w:t>Doing Work Based Research: Approaches to Enquiry for Insider-Researchers</w:t>
      </w:r>
      <w:r w:rsidRPr="008A2C9E">
        <w:rPr>
          <w:rFonts w:ascii="Arial" w:hAnsi="Arial" w:cs="Arial"/>
        </w:rPr>
        <w:t>. London: Sage.</w:t>
      </w:r>
    </w:p>
    <w:p w14:paraId="6D06F44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Creswell, J.D. (2018) </w:t>
      </w:r>
      <w:r w:rsidRPr="008A2C9E">
        <w:rPr>
          <w:rFonts w:ascii="Arial" w:hAnsi="Arial" w:cs="Arial"/>
          <w:i/>
          <w:iCs/>
        </w:rPr>
        <w:t>Research Design: Qualitative, Quantitative, and Mixed Methods Approaches</w:t>
      </w:r>
      <w:r w:rsidRPr="008A2C9E">
        <w:rPr>
          <w:rFonts w:ascii="Arial" w:hAnsi="Arial" w:cs="Arial"/>
        </w:rPr>
        <w:t>. Sage.</w:t>
      </w:r>
    </w:p>
    <w:p w14:paraId="3ED635B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Plano Clark, V.L. (2017) </w:t>
      </w:r>
      <w:r w:rsidRPr="008A2C9E">
        <w:rPr>
          <w:rFonts w:ascii="Arial" w:hAnsi="Arial" w:cs="Arial"/>
          <w:i/>
          <w:iCs/>
        </w:rPr>
        <w:t>Designing and Conducting Mixed Methods Research</w:t>
      </w:r>
      <w:r w:rsidRPr="008A2C9E">
        <w:rPr>
          <w:rFonts w:ascii="Arial" w:hAnsi="Arial" w:cs="Arial"/>
        </w:rPr>
        <w:t>. Sage.</w:t>
      </w:r>
    </w:p>
    <w:p w14:paraId="3AD772F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Plano Clark, V.L. (2018) </w:t>
      </w:r>
      <w:r w:rsidRPr="008A2C9E">
        <w:rPr>
          <w:rFonts w:ascii="Arial" w:hAnsi="Arial" w:cs="Arial"/>
          <w:i/>
          <w:iCs/>
        </w:rPr>
        <w:t>Designing and Conducting Mixed Methods Research</w:t>
      </w:r>
      <w:r w:rsidRPr="008A2C9E">
        <w:rPr>
          <w:rFonts w:ascii="Arial" w:hAnsi="Arial" w:cs="Arial"/>
        </w:rPr>
        <w:t>. Sage Publications.</w:t>
      </w:r>
    </w:p>
    <w:p w14:paraId="766149A2"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lastRenderedPageBreak/>
        <w:t xml:space="preserve">Creswell, J.W. and Poth, C.N. (2017) </w:t>
      </w:r>
      <w:r w:rsidRPr="008A2C9E">
        <w:rPr>
          <w:rFonts w:ascii="Arial" w:hAnsi="Arial" w:cs="Arial"/>
          <w:i/>
          <w:iCs/>
        </w:rPr>
        <w:t>Qualitative Inquiry and Research Design: Choosing Among Five Approaches</w:t>
      </w:r>
      <w:r w:rsidRPr="008A2C9E">
        <w:rPr>
          <w:rFonts w:ascii="Arial" w:hAnsi="Arial" w:cs="Arial"/>
        </w:rPr>
        <w:t>. Sage.</w:t>
      </w:r>
    </w:p>
    <w:p w14:paraId="0D52D40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Davies, M.B. (2007) </w:t>
      </w:r>
      <w:r w:rsidRPr="008A2C9E">
        <w:rPr>
          <w:rFonts w:ascii="Arial" w:hAnsi="Arial" w:cs="Arial"/>
          <w:i/>
          <w:iCs/>
        </w:rPr>
        <w:t>Doing a Successful Research Project: Using Qualitative and Quantitative Methods</w:t>
      </w:r>
      <w:r w:rsidRPr="008A2C9E">
        <w:rPr>
          <w:rFonts w:ascii="Arial" w:hAnsi="Arial" w:cs="Arial"/>
        </w:rPr>
        <w:t>. London: Palgrave.</w:t>
      </w:r>
    </w:p>
    <w:p w14:paraId="3D9BB92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Denzin, N.K. and Lincoln, Y.S. (Eds.) (2011) </w:t>
      </w:r>
      <w:r w:rsidRPr="008A2C9E">
        <w:rPr>
          <w:rFonts w:ascii="Arial" w:hAnsi="Arial" w:cs="Arial"/>
          <w:i/>
          <w:iCs/>
        </w:rPr>
        <w:t>The SAGE Handbook of Qualitative Research</w:t>
      </w:r>
      <w:r w:rsidRPr="008A2C9E">
        <w:rPr>
          <w:rFonts w:ascii="Arial" w:hAnsi="Arial" w:cs="Arial"/>
        </w:rPr>
        <w:t>. Sage.</w:t>
      </w:r>
    </w:p>
    <w:p w14:paraId="1A19D22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Denzin, N.K. (2017) </w:t>
      </w:r>
      <w:r w:rsidRPr="008A2C9E">
        <w:rPr>
          <w:rFonts w:ascii="Arial" w:hAnsi="Arial" w:cs="Arial"/>
          <w:i/>
          <w:iCs/>
        </w:rPr>
        <w:t>The Research Act: A Theoretical Introduction to Sociological Methods</w:t>
      </w:r>
      <w:r w:rsidRPr="008A2C9E">
        <w:rPr>
          <w:rFonts w:ascii="Arial" w:hAnsi="Arial" w:cs="Arial"/>
        </w:rPr>
        <w:t>. Routledge.</w:t>
      </w:r>
    </w:p>
    <w:p w14:paraId="6B9FC74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Easterby-Smith, M., Thorpe, R., and Jackson, P. (2012) </w:t>
      </w:r>
      <w:r w:rsidRPr="008A2C9E">
        <w:rPr>
          <w:rFonts w:ascii="Arial" w:hAnsi="Arial" w:cs="Arial"/>
          <w:i/>
          <w:iCs/>
        </w:rPr>
        <w:t>Management Research</w:t>
      </w:r>
      <w:r w:rsidRPr="008A2C9E">
        <w:rPr>
          <w:rFonts w:ascii="Arial" w:hAnsi="Arial" w:cs="Arial"/>
        </w:rPr>
        <w:t xml:space="preserve"> (4th ed.). London: Sage.</w:t>
      </w:r>
    </w:p>
    <w:p w14:paraId="6BAC057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Flick, U. (2018) </w:t>
      </w:r>
      <w:r w:rsidRPr="008A2C9E">
        <w:rPr>
          <w:rFonts w:ascii="Arial" w:hAnsi="Arial" w:cs="Arial"/>
          <w:i/>
          <w:iCs/>
        </w:rPr>
        <w:t>An Introduction to Qualitative Research</w:t>
      </w:r>
      <w:r w:rsidRPr="008A2C9E">
        <w:rPr>
          <w:rFonts w:ascii="Arial" w:hAnsi="Arial" w:cs="Arial"/>
        </w:rPr>
        <w:t>. Sage.</w:t>
      </w:r>
    </w:p>
    <w:p w14:paraId="4159B19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Fowler, F.J. (2014) </w:t>
      </w:r>
      <w:r w:rsidRPr="008A2C9E">
        <w:rPr>
          <w:rFonts w:ascii="Arial" w:hAnsi="Arial" w:cs="Arial"/>
          <w:i/>
          <w:iCs/>
        </w:rPr>
        <w:t>Survey Research Methods</w:t>
      </w:r>
      <w:r w:rsidRPr="008A2C9E">
        <w:rPr>
          <w:rFonts w:ascii="Arial" w:hAnsi="Arial" w:cs="Arial"/>
        </w:rPr>
        <w:t>. Sage.</w:t>
      </w:r>
    </w:p>
    <w:p w14:paraId="28FDE8B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Frankena, W.K. (1973) </w:t>
      </w:r>
      <w:r w:rsidRPr="008A2C9E">
        <w:rPr>
          <w:rFonts w:ascii="Arial" w:hAnsi="Arial" w:cs="Arial"/>
          <w:i/>
          <w:iCs/>
        </w:rPr>
        <w:t>Ethics</w:t>
      </w:r>
      <w:r w:rsidRPr="008A2C9E">
        <w:rPr>
          <w:rFonts w:ascii="Arial" w:hAnsi="Arial" w:cs="Arial"/>
        </w:rPr>
        <w:t>. ISBN: 978-0132904780.</w:t>
      </w:r>
    </w:p>
    <w:p w14:paraId="2FD54A3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Geertz, C. (1973) </w:t>
      </w:r>
      <w:r w:rsidRPr="008A2C9E">
        <w:rPr>
          <w:rFonts w:ascii="Arial" w:hAnsi="Arial" w:cs="Arial"/>
          <w:i/>
          <w:iCs/>
        </w:rPr>
        <w:t>The Interpretation of Cultures</w:t>
      </w:r>
      <w:r w:rsidRPr="008A2C9E">
        <w:rPr>
          <w:rFonts w:ascii="Arial" w:hAnsi="Arial" w:cs="Arial"/>
        </w:rPr>
        <w:t>. Basic Books.</w:t>
      </w:r>
    </w:p>
    <w:p w14:paraId="248CC70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Gill, J. and Johnson, P. (2012) </w:t>
      </w:r>
      <w:r w:rsidRPr="008A2C9E">
        <w:rPr>
          <w:rFonts w:ascii="Arial" w:hAnsi="Arial" w:cs="Arial"/>
          <w:i/>
          <w:iCs/>
        </w:rPr>
        <w:t>Research Methods for Managers</w:t>
      </w:r>
      <w:r w:rsidRPr="008A2C9E">
        <w:rPr>
          <w:rFonts w:ascii="Arial" w:hAnsi="Arial" w:cs="Arial"/>
        </w:rPr>
        <w:t xml:space="preserve"> (4th ed.). London: Sage.</w:t>
      </w:r>
    </w:p>
    <w:p w14:paraId="47BBD6A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Gray, D.E. (2004) </w:t>
      </w:r>
      <w:r w:rsidRPr="008A2C9E">
        <w:rPr>
          <w:rFonts w:ascii="Arial" w:hAnsi="Arial" w:cs="Arial"/>
          <w:i/>
          <w:iCs/>
        </w:rPr>
        <w:t>Doing Research in the Real World</w:t>
      </w:r>
      <w:r w:rsidRPr="008A2C9E">
        <w:rPr>
          <w:rFonts w:ascii="Arial" w:hAnsi="Arial" w:cs="Arial"/>
        </w:rPr>
        <w:t>. London: Sage.</w:t>
      </w:r>
    </w:p>
    <w:p w14:paraId="0C264AE4"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Hartman, R.S. (2011) </w:t>
      </w:r>
      <w:r w:rsidRPr="008A2C9E">
        <w:rPr>
          <w:rFonts w:ascii="Arial" w:hAnsi="Arial" w:cs="Arial"/>
          <w:i/>
          <w:iCs/>
        </w:rPr>
        <w:t>The Structure of Value: Foundations of Scientific Axiology</w:t>
      </w:r>
      <w:r w:rsidRPr="008A2C9E">
        <w:rPr>
          <w:rFonts w:ascii="Arial" w:hAnsi="Arial" w:cs="Arial"/>
        </w:rPr>
        <w:t>. Wipf and Stock Publishers.</w:t>
      </w:r>
    </w:p>
    <w:p w14:paraId="3413C33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Hendry, K.L. (2001) </w:t>
      </w:r>
      <w:r w:rsidRPr="008A2C9E">
        <w:rPr>
          <w:rFonts w:ascii="Arial" w:hAnsi="Arial" w:cs="Arial"/>
          <w:i/>
          <w:iCs/>
        </w:rPr>
        <w:t>Burnout and self-reported vocal health among music teachers and other educators</w:t>
      </w:r>
      <w:r w:rsidRPr="008A2C9E">
        <w:rPr>
          <w:rFonts w:ascii="Arial" w:hAnsi="Arial" w:cs="Arial"/>
        </w:rPr>
        <w:t>. Teachers College, Columbia University.</w:t>
      </w:r>
    </w:p>
    <w:p w14:paraId="75355CF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Israel, M. (2015) </w:t>
      </w:r>
      <w:r w:rsidRPr="008A2C9E">
        <w:rPr>
          <w:rFonts w:ascii="Arial" w:hAnsi="Arial" w:cs="Arial"/>
          <w:i/>
          <w:iCs/>
        </w:rPr>
        <w:t>Research Ethics and Integrity for Social Scientists: Beyond Regulatory Compliance</w:t>
      </w:r>
      <w:r w:rsidRPr="008A2C9E">
        <w:rPr>
          <w:rFonts w:ascii="Arial" w:hAnsi="Arial" w:cs="Arial"/>
        </w:rPr>
        <w:t>. Sage.</w:t>
      </w:r>
    </w:p>
    <w:p w14:paraId="1B3C41D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Kayes, G. (2015) </w:t>
      </w:r>
      <w:r w:rsidRPr="008A2C9E">
        <w:rPr>
          <w:rFonts w:ascii="Arial" w:hAnsi="Arial" w:cs="Arial"/>
          <w:i/>
          <w:iCs/>
        </w:rPr>
        <w:t>Singing and the Actor</w:t>
      </w:r>
      <w:r w:rsidRPr="008A2C9E">
        <w:rPr>
          <w:rFonts w:ascii="Arial" w:hAnsi="Arial" w:cs="Arial"/>
        </w:rPr>
        <w:t>. Routledge.</w:t>
      </w:r>
    </w:p>
    <w:p w14:paraId="71B7250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Kovach, M. (2019) </w:t>
      </w:r>
      <w:r w:rsidRPr="008A2C9E">
        <w:rPr>
          <w:rFonts w:ascii="Arial" w:hAnsi="Arial" w:cs="Arial"/>
          <w:i/>
          <w:iCs/>
        </w:rPr>
        <w:t>Indigenous Methodologies: Characteristics, Conversations, and Contexts</w:t>
      </w:r>
      <w:r w:rsidRPr="008A2C9E">
        <w:rPr>
          <w:rFonts w:ascii="Arial" w:hAnsi="Arial" w:cs="Arial"/>
        </w:rPr>
        <w:t>. University of Toronto Press.</w:t>
      </w:r>
    </w:p>
    <w:p w14:paraId="1A147FC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Kvale, S. (2007) </w:t>
      </w:r>
      <w:r w:rsidRPr="008A2C9E">
        <w:rPr>
          <w:rFonts w:ascii="Arial" w:hAnsi="Arial" w:cs="Arial"/>
          <w:i/>
          <w:iCs/>
        </w:rPr>
        <w:t>Doing Interviews</w:t>
      </w:r>
      <w:r w:rsidRPr="008A2C9E">
        <w:rPr>
          <w:rFonts w:ascii="Arial" w:hAnsi="Arial" w:cs="Arial"/>
        </w:rPr>
        <w:t>. Sage.</w:t>
      </w:r>
    </w:p>
    <w:p w14:paraId="1F7676B8"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Lincoln, Y.S. and Guba, E.G. (1985) </w:t>
      </w:r>
      <w:r w:rsidRPr="008A2C9E">
        <w:rPr>
          <w:rFonts w:ascii="Arial" w:hAnsi="Arial" w:cs="Arial"/>
          <w:i/>
          <w:iCs/>
        </w:rPr>
        <w:t>Naturalistic Inquiry</w:t>
      </w:r>
      <w:r w:rsidRPr="008A2C9E">
        <w:rPr>
          <w:rFonts w:ascii="Arial" w:hAnsi="Arial" w:cs="Arial"/>
        </w:rPr>
        <w:t>. Sage.</w:t>
      </w:r>
    </w:p>
    <w:p w14:paraId="1EB535A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lastRenderedPageBreak/>
        <w:t xml:space="preserve">Moring, B. (2014) </w:t>
      </w:r>
      <w:r w:rsidRPr="008A2C9E">
        <w:rPr>
          <w:rFonts w:ascii="Arial" w:hAnsi="Arial" w:cs="Arial"/>
          <w:i/>
          <w:iCs/>
        </w:rPr>
        <w:t>Research methods in psychology: Evaluating a world of information</w:t>
      </w:r>
      <w:r w:rsidRPr="008A2C9E">
        <w:rPr>
          <w:rFonts w:ascii="Arial" w:hAnsi="Arial" w:cs="Arial"/>
        </w:rPr>
        <w:t>. WW Norton &amp; Company.</w:t>
      </w:r>
    </w:p>
    <w:p w14:paraId="28D7319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Munn, K. (2008) </w:t>
      </w:r>
      <w:r w:rsidRPr="008A2C9E">
        <w:rPr>
          <w:rFonts w:ascii="Arial" w:hAnsi="Arial" w:cs="Arial"/>
          <w:i/>
          <w:iCs/>
        </w:rPr>
        <w:t>Introduction: what is ontology for?</w:t>
      </w:r>
      <w:r w:rsidRPr="008A2C9E">
        <w:rPr>
          <w:rFonts w:ascii="Arial" w:hAnsi="Arial" w:cs="Arial"/>
        </w:rPr>
        <w:t xml:space="preserve"> Oxford: Oxford University Press.</w:t>
      </w:r>
    </w:p>
    <w:p w14:paraId="629627F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Patton, M.Q. (2015) </w:t>
      </w:r>
      <w:r w:rsidRPr="008A2C9E">
        <w:rPr>
          <w:rFonts w:ascii="Arial" w:hAnsi="Arial" w:cs="Arial"/>
          <w:i/>
          <w:iCs/>
        </w:rPr>
        <w:t>Qualitative Research &amp; Evaluation Methods</w:t>
      </w:r>
      <w:r w:rsidRPr="008A2C9E">
        <w:rPr>
          <w:rFonts w:ascii="Arial" w:hAnsi="Arial" w:cs="Arial"/>
        </w:rPr>
        <w:t>. Sage.</w:t>
      </w:r>
    </w:p>
    <w:p w14:paraId="3589600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Rubin, H.J. and Rubin, I.S. (2012) </w:t>
      </w:r>
      <w:r w:rsidRPr="008A2C9E">
        <w:rPr>
          <w:rFonts w:ascii="Arial" w:hAnsi="Arial" w:cs="Arial"/>
          <w:i/>
          <w:iCs/>
        </w:rPr>
        <w:t>Qualitative Interviewing: The Art of Hearing Data</w:t>
      </w:r>
      <w:r w:rsidRPr="008A2C9E">
        <w:rPr>
          <w:rFonts w:ascii="Arial" w:hAnsi="Arial" w:cs="Arial"/>
        </w:rPr>
        <w:t>. Sage.</w:t>
      </w:r>
    </w:p>
    <w:p w14:paraId="723649E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Saunders, M., Lewis, P., and Thornhill, A. (2009) </w:t>
      </w:r>
      <w:r w:rsidRPr="008A2C9E">
        <w:rPr>
          <w:rFonts w:ascii="Arial" w:hAnsi="Arial" w:cs="Arial"/>
          <w:i/>
          <w:iCs/>
        </w:rPr>
        <w:t>Research Methods for Business Students</w:t>
      </w:r>
      <w:r w:rsidRPr="008A2C9E">
        <w:rPr>
          <w:rFonts w:ascii="Arial" w:hAnsi="Arial" w:cs="Arial"/>
        </w:rPr>
        <w:t xml:space="preserve"> (5th ed.). London: Pearson Education Ltd.</w:t>
      </w:r>
    </w:p>
    <w:p w14:paraId="27BD2C4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Walliman, N. (2021) </w:t>
      </w:r>
      <w:r w:rsidRPr="008A2C9E">
        <w:rPr>
          <w:rFonts w:ascii="Arial" w:hAnsi="Arial" w:cs="Arial"/>
          <w:i/>
          <w:iCs/>
        </w:rPr>
        <w:t>Research methods: The basics</w:t>
      </w:r>
      <w:r w:rsidRPr="008A2C9E">
        <w:rPr>
          <w:rFonts w:ascii="Arial" w:hAnsi="Arial" w:cs="Arial"/>
        </w:rPr>
        <w:t>. Routledge.</w:t>
      </w:r>
    </w:p>
    <w:p w14:paraId="1F599803"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Yin, R.K. (2018) </w:t>
      </w:r>
      <w:r w:rsidRPr="008A2C9E">
        <w:rPr>
          <w:rFonts w:ascii="Arial" w:hAnsi="Arial" w:cs="Arial"/>
          <w:i/>
          <w:iCs/>
        </w:rPr>
        <w:t>Case Study Research and Applications: Design and Methods</w:t>
      </w:r>
      <w:r w:rsidRPr="008A2C9E">
        <w:rPr>
          <w:rFonts w:ascii="Arial" w:hAnsi="Arial" w:cs="Arial"/>
        </w:rPr>
        <w:t>. Sage Publications.</w:t>
      </w:r>
    </w:p>
    <w:p w14:paraId="4B295F3D" w14:textId="77777777" w:rsidR="008A2C9E" w:rsidRPr="008A2C9E" w:rsidRDefault="00000000" w:rsidP="008A2C9E">
      <w:pPr>
        <w:spacing w:line="360" w:lineRule="auto"/>
        <w:rPr>
          <w:rFonts w:ascii="Arial" w:hAnsi="Arial" w:cs="Arial"/>
        </w:rPr>
      </w:pPr>
      <w:r>
        <w:rPr>
          <w:rFonts w:ascii="Arial" w:hAnsi="Arial" w:cs="Arial"/>
        </w:rPr>
        <w:pict w14:anchorId="30E43714">
          <v:rect id="_x0000_i1025" style="width:0;height:1.5pt" o:hralign="center" o:hrstd="t" o:hr="t" fillcolor="#a0a0a0" stroked="f"/>
        </w:pict>
      </w:r>
    </w:p>
    <w:p w14:paraId="0D379130" w14:textId="77777777" w:rsidR="008A2C9E" w:rsidRPr="008A2C9E" w:rsidRDefault="008A2C9E" w:rsidP="008A2C9E">
      <w:pPr>
        <w:spacing w:line="360" w:lineRule="auto"/>
        <w:rPr>
          <w:rFonts w:ascii="Arial" w:hAnsi="Arial" w:cs="Arial"/>
        </w:rPr>
      </w:pPr>
      <w:r w:rsidRPr="008A2C9E">
        <w:rPr>
          <w:rFonts w:ascii="Arial" w:hAnsi="Arial" w:cs="Arial"/>
          <w:b/>
          <w:bCs/>
        </w:rPr>
        <w:t>Research Papers:</w:t>
      </w:r>
    </w:p>
    <w:p w14:paraId="27C992BD"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Bonner, A. and Tolhurst, G. (2002) 'Insider-outsider perspectives of participant observation', </w:t>
      </w:r>
      <w:r w:rsidRPr="008A2C9E">
        <w:rPr>
          <w:rFonts w:ascii="Arial" w:hAnsi="Arial" w:cs="Arial"/>
          <w:i/>
          <w:iCs/>
        </w:rPr>
        <w:t>Nurse Researcher</w:t>
      </w:r>
      <w:r w:rsidRPr="008A2C9E">
        <w:rPr>
          <w:rFonts w:ascii="Arial" w:hAnsi="Arial" w:cs="Arial"/>
        </w:rPr>
        <w:t>, 9(4), pp. 7-19.</w:t>
      </w:r>
    </w:p>
    <w:p w14:paraId="7B0F2E41"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Brannick, T. and Coghlan, D. (2007) 'In defense of being “native”: The case for insider academic research', </w:t>
      </w:r>
      <w:r w:rsidRPr="008A2C9E">
        <w:rPr>
          <w:rFonts w:ascii="Arial" w:hAnsi="Arial" w:cs="Arial"/>
          <w:i/>
          <w:iCs/>
        </w:rPr>
        <w:t>Organizational Research Methods</w:t>
      </w:r>
      <w:r w:rsidRPr="008A2C9E">
        <w:rPr>
          <w:rFonts w:ascii="Arial" w:hAnsi="Arial" w:cs="Arial"/>
        </w:rPr>
        <w:t>, 10(1), pp. 59-74.</w:t>
      </w:r>
    </w:p>
    <w:p w14:paraId="106E6C67"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Brantlinger, E., Jimenez, R., Klingner, J., Pugach, M., and Richardson, V. (2005) 'Qualitative studies in special education', </w:t>
      </w:r>
      <w:r w:rsidRPr="008A2C9E">
        <w:rPr>
          <w:rFonts w:ascii="Arial" w:hAnsi="Arial" w:cs="Arial"/>
          <w:i/>
          <w:iCs/>
        </w:rPr>
        <w:t>Exceptional Children</w:t>
      </w:r>
      <w:r w:rsidRPr="008A2C9E">
        <w:rPr>
          <w:rFonts w:ascii="Arial" w:hAnsi="Arial" w:cs="Arial"/>
        </w:rPr>
        <w:t>, 71(2), pp. 195-207.</w:t>
      </w:r>
    </w:p>
    <w:p w14:paraId="77415766"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British Sociological Association (BSA) (2017) </w:t>
      </w:r>
      <w:r w:rsidRPr="008A2C9E">
        <w:rPr>
          <w:rFonts w:ascii="Arial" w:hAnsi="Arial" w:cs="Arial"/>
          <w:i/>
          <w:iCs/>
        </w:rPr>
        <w:t>Ethics Guidelines and Code of Conduct</w:t>
      </w:r>
      <w:r w:rsidRPr="008A2C9E">
        <w:rPr>
          <w:rFonts w:ascii="Arial" w:hAnsi="Arial" w:cs="Arial"/>
        </w:rPr>
        <w:t>. British Sociological Association.</w:t>
      </w:r>
    </w:p>
    <w:p w14:paraId="20C2D5CC"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Budge, S. L., Adelson, J. L., and Howard, K. A. S. (2013) 'Anxiety and depression in transgender individuals: The roles of transition status, loss, social support, and coping', </w:t>
      </w:r>
      <w:r w:rsidRPr="008A2C9E">
        <w:rPr>
          <w:rFonts w:ascii="Arial" w:hAnsi="Arial" w:cs="Arial"/>
          <w:i/>
          <w:iCs/>
        </w:rPr>
        <w:t>Journal of Consulting and Clinical Psychology</w:t>
      </w:r>
      <w:r w:rsidRPr="008A2C9E">
        <w:rPr>
          <w:rFonts w:ascii="Arial" w:hAnsi="Arial" w:cs="Arial"/>
        </w:rPr>
        <w:t>, 81(3), pp. 545-557.</w:t>
      </w:r>
    </w:p>
    <w:p w14:paraId="6D90C2C1"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Davies, S., Papp, V.G., and Antoni, C. (2015) 'Voice and communication change for gender nonconforming individuals: Giving voice to the person inside', </w:t>
      </w:r>
      <w:r w:rsidRPr="008A2C9E">
        <w:rPr>
          <w:rFonts w:ascii="Arial" w:hAnsi="Arial" w:cs="Arial"/>
          <w:i/>
          <w:iCs/>
        </w:rPr>
        <w:t>International Journal of Transgenderism</w:t>
      </w:r>
      <w:r w:rsidRPr="008A2C9E">
        <w:rPr>
          <w:rFonts w:ascii="Arial" w:hAnsi="Arial" w:cs="Arial"/>
        </w:rPr>
        <w:t>, 16(3), pp. 117-159. doi: 10.1080/15532739.2015.1075931.</w:t>
      </w:r>
    </w:p>
    <w:p w14:paraId="658C6989"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lastRenderedPageBreak/>
        <w:t xml:space="preserve">Ellis, C., Adams, T.E., and Bochner, A.P. (2011) 'Autoethnography: An overview', </w:t>
      </w:r>
      <w:r w:rsidRPr="008A2C9E">
        <w:rPr>
          <w:rFonts w:ascii="Arial" w:hAnsi="Arial" w:cs="Arial"/>
          <w:i/>
          <w:iCs/>
        </w:rPr>
        <w:t>Forum Qualitative Sozialforschung / Forum: Qualitative Social Research</w:t>
      </w:r>
      <w:r w:rsidRPr="008A2C9E">
        <w:rPr>
          <w:rFonts w:ascii="Arial" w:hAnsi="Arial" w:cs="Arial"/>
        </w:rPr>
        <w:t>, 12(1), Art. 10.</w:t>
      </w:r>
    </w:p>
    <w:p w14:paraId="56B99DAF"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Entropik (2024) 'What is a Longitudinal Study? Definition, Types, and Examples', Retrieved from </w:t>
      </w:r>
      <w:hyperlink r:id="rId8" w:tgtFrame="_new" w:history="1">
        <w:r w:rsidRPr="008A2C9E">
          <w:rPr>
            <w:rStyle w:val="Hyperlink"/>
            <w:rFonts w:ascii="Arial" w:hAnsi="Arial" w:cs="Arial"/>
          </w:rPr>
          <w:t>https://www.entropik.io/blogs/what-is-a-longitudinal-study-definition-types-and-examples</w:t>
        </w:r>
      </w:hyperlink>
      <w:r w:rsidRPr="008A2C9E">
        <w:rPr>
          <w:rFonts w:ascii="Arial" w:hAnsi="Arial" w:cs="Arial"/>
        </w:rPr>
        <w:t>.</w:t>
      </w:r>
    </w:p>
    <w:p w14:paraId="29E33883"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Finlay, L. (2002) '“Outing” the researcher: The provenance, process, and practice of reflexivity', </w:t>
      </w:r>
      <w:r w:rsidRPr="008A2C9E">
        <w:rPr>
          <w:rFonts w:ascii="Arial" w:hAnsi="Arial" w:cs="Arial"/>
          <w:i/>
          <w:iCs/>
        </w:rPr>
        <w:t>Qualitative Health Research</w:t>
      </w:r>
      <w:r w:rsidRPr="008A2C9E">
        <w:rPr>
          <w:rFonts w:ascii="Arial" w:hAnsi="Arial" w:cs="Arial"/>
        </w:rPr>
        <w:t>, 12(4), pp. 531-545.</w:t>
      </w:r>
    </w:p>
    <w:p w14:paraId="0CFBCFB0"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Kaiser, K. (2009) 'Protecting respondent confidentiality in qualitative research', </w:t>
      </w:r>
      <w:r w:rsidRPr="008A2C9E">
        <w:rPr>
          <w:rFonts w:ascii="Arial" w:hAnsi="Arial" w:cs="Arial"/>
          <w:i/>
          <w:iCs/>
        </w:rPr>
        <w:t>Qualitative Health Research</w:t>
      </w:r>
      <w:r w:rsidRPr="008A2C9E">
        <w:rPr>
          <w:rFonts w:ascii="Arial" w:hAnsi="Arial" w:cs="Arial"/>
        </w:rPr>
        <w:t>, 19(11), pp. 1632-1641.</w:t>
      </w:r>
    </w:p>
    <w:p w14:paraId="335B3B1A"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Kanuha, V.K. (2000) '“Being” native versus “going native”: Conducting social work research as an insider', </w:t>
      </w:r>
      <w:r w:rsidRPr="008A2C9E">
        <w:rPr>
          <w:rFonts w:ascii="Arial" w:hAnsi="Arial" w:cs="Arial"/>
          <w:i/>
          <w:iCs/>
        </w:rPr>
        <w:t>Social Work</w:t>
      </w:r>
      <w:r w:rsidRPr="008A2C9E">
        <w:rPr>
          <w:rFonts w:ascii="Arial" w:hAnsi="Arial" w:cs="Arial"/>
        </w:rPr>
        <w:t>, 45(5), pp. 439-447.</w:t>
      </w:r>
    </w:p>
    <w:p w14:paraId="4DF715B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Likert, R. (1932) 'A Technique for the Measurement of Attitudes', </w:t>
      </w:r>
      <w:r w:rsidRPr="008A2C9E">
        <w:rPr>
          <w:rFonts w:ascii="Arial" w:hAnsi="Arial" w:cs="Arial"/>
          <w:i/>
          <w:iCs/>
        </w:rPr>
        <w:t>Archives of Psychology</w:t>
      </w:r>
      <w:r w:rsidRPr="008A2C9E">
        <w:rPr>
          <w:rFonts w:ascii="Arial" w:hAnsi="Arial" w:cs="Arial"/>
        </w:rPr>
        <w:t>, 140, pp. 1-55.</w:t>
      </w:r>
    </w:p>
    <w:p w14:paraId="1B08A29D"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McCambridge, J., Witton, J., and Elbourne, D.R. (2014) 'Systematic review of the Hawthorne effect: New concepts are needed to study research participation effects', </w:t>
      </w:r>
      <w:r w:rsidRPr="008A2C9E">
        <w:rPr>
          <w:rFonts w:ascii="Arial" w:hAnsi="Arial" w:cs="Arial"/>
          <w:i/>
          <w:iCs/>
        </w:rPr>
        <w:t>Journal of Clinical Epidemiology</w:t>
      </w:r>
      <w:r w:rsidRPr="008A2C9E">
        <w:rPr>
          <w:rFonts w:ascii="Arial" w:hAnsi="Arial" w:cs="Arial"/>
        </w:rPr>
        <w:t>, 67(3), pp. 267-277.</w:t>
      </w:r>
    </w:p>
    <w:p w14:paraId="35531D0E"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Mercer, J. (2007) 'The challenges of insider research in educational institutions: Wielding a double-edged sword and resolving delicate dilemmas', </w:t>
      </w:r>
      <w:r w:rsidRPr="008A2C9E">
        <w:rPr>
          <w:rFonts w:ascii="Arial" w:hAnsi="Arial" w:cs="Arial"/>
          <w:i/>
          <w:iCs/>
        </w:rPr>
        <w:t>Oxford Review of Education</w:t>
      </w:r>
      <w:r w:rsidRPr="008A2C9E">
        <w:rPr>
          <w:rFonts w:ascii="Arial" w:hAnsi="Arial" w:cs="Arial"/>
        </w:rPr>
        <w:t>, 33(1), pp. 1-17.</w:t>
      </w:r>
    </w:p>
    <w:p w14:paraId="508E688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Morgan, E.S., Umberson, K., and Hertzog, C. (2014) 'Construct validation of self-reported stress scales', </w:t>
      </w:r>
      <w:r w:rsidRPr="008A2C9E">
        <w:rPr>
          <w:rFonts w:ascii="Arial" w:hAnsi="Arial" w:cs="Arial"/>
          <w:i/>
          <w:iCs/>
        </w:rPr>
        <w:t>Psychological assessment</w:t>
      </w:r>
      <w:r w:rsidRPr="008A2C9E">
        <w:rPr>
          <w:rFonts w:ascii="Arial" w:hAnsi="Arial" w:cs="Arial"/>
        </w:rPr>
        <w:t>, 26(1), p. 90.</w:t>
      </w:r>
    </w:p>
    <w:p w14:paraId="024C864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Orb, A., Eisenhauer, L., and Wynaden, D. (2001) 'Ethics in qualitative research', </w:t>
      </w:r>
      <w:r w:rsidRPr="008A2C9E">
        <w:rPr>
          <w:rFonts w:ascii="Arial" w:hAnsi="Arial" w:cs="Arial"/>
          <w:i/>
          <w:iCs/>
        </w:rPr>
        <w:t>Journal of Nursing Scholarship</w:t>
      </w:r>
      <w:r w:rsidRPr="008A2C9E">
        <w:rPr>
          <w:rFonts w:ascii="Arial" w:hAnsi="Arial" w:cs="Arial"/>
        </w:rPr>
        <w:t>, 33(1), pp. 93-96.</w:t>
      </w:r>
    </w:p>
    <w:p w14:paraId="4CC7B146"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Ready, R.C., Buzby, J.C., and Hu, D. (1996) 'Differences between continuous and discrete contingent value estimates', </w:t>
      </w:r>
      <w:r w:rsidRPr="008A2C9E">
        <w:rPr>
          <w:rFonts w:ascii="Arial" w:hAnsi="Arial" w:cs="Arial"/>
          <w:i/>
          <w:iCs/>
        </w:rPr>
        <w:t>Land Economics</w:t>
      </w:r>
      <w:r w:rsidRPr="008A2C9E">
        <w:rPr>
          <w:rFonts w:ascii="Arial" w:hAnsi="Arial" w:cs="Arial"/>
        </w:rPr>
        <w:t>, pp. 397-411.</w:t>
      </w:r>
    </w:p>
    <w:p w14:paraId="23E8AAB8"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Schwandt, T. A. (1994) 'Constructivist, interpretivist approaches to human inquiry', in N. K. Denzin and Y.</w:t>
      </w:r>
    </w:p>
    <w:p w14:paraId="38660813" w14:textId="5C57A23A" w:rsidR="2633F10F" w:rsidRDefault="2633F10F" w:rsidP="2633F10F">
      <w:pPr>
        <w:spacing w:line="360" w:lineRule="auto"/>
        <w:rPr>
          <w:rFonts w:ascii="Arial" w:hAnsi="Arial" w:cs="Arial"/>
        </w:rPr>
      </w:pPr>
    </w:p>
    <w:p w14:paraId="4FFB1A16" w14:textId="2F656040" w:rsidR="2633F10F" w:rsidRDefault="00CC1BD1">
      <w:r>
        <w:br w:type="page"/>
      </w:r>
    </w:p>
    <w:p w14:paraId="32F80A29" w14:textId="679B7BA3" w:rsidR="00D85E56" w:rsidRPr="00DB74A4" w:rsidRDefault="00CC1BD1" w:rsidP="2633F10F">
      <w:pPr>
        <w:spacing w:line="360" w:lineRule="auto"/>
        <w:rPr>
          <w:rFonts w:ascii="Arial" w:hAnsi="Arial" w:cs="Arial"/>
          <w:b/>
          <w:bCs/>
          <w:u w:val="single"/>
        </w:rPr>
      </w:pPr>
      <w:r w:rsidRPr="2633F10F">
        <w:rPr>
          <w:rFonts w:ascii="Arial" w:hAnsi="Arial" w:cs="Arial"/>
          <w:b/>
          <w:bCs/>
          <w:u w:val="single"/>
        </w:rPr>
        <w:lastRenderedPageBreak/>
        <w:t>Appendix A</w:t>
      </w:r>
    </w:p>
    <w:p w14:paraId="75F71353"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Mixed Methods Approach:</w:t>
      </w:r>
    </w:p>
    <w:p w14:paraId="5A32D36B"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Comprehensive Understanding:</w:t>
      </w:r>
      <w:r w:rsidRPr="2633F10F">
        <w:rPr>
          <w:rFonts w:ascii="Arial" w:eastAsia="Times New Roman" w:hAnsi="Arial" w:cs="Arial"/>
          <w:lang w:eastAsia="en-GB"/>
        </w:rPr>
        <w:t xml:space="preserve"> Combines survey data with interview insights for a fuller picture.</w:t>
      </w:r>
    </w:p>
    <w:p w14:paraId="330B33BE"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Enhanced Validity:</w:t>
      </w:r>
      <w:r w:rsidRPr="2633F10F">
        <w:rPr>
          <w:rFonts w:ascii="Arial" w:eastAsia="Times New Roman" w:hAnsi="Arial" w:cs="Arial"/>
          <w:lang w:eastAsia="en-GB"/>
        </w:rPr>
        <w:t xml:space="preserve"> Triangulates data from multiple sources for greater reliability.</w:t>
      </w:r>
    </w:p>
    <w:p w14:paraId="26F5C76B"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Flexibility:</w:t>
      </w:r>
      <w:r w:rsidRPr="2633F10F">
        <w:rPr>
          <w:rFonts w:ascii="Arial" w:eastAsia="Times New Roman" w:hAnsi="Arial" w:cs="Arial"/>
          <w:lang w:eastAsia="en-GB"/>
        </w:rPr>
        <w:t xml:space="preserve"> Adapts to the complex nature of vocal transitions and training techniques.</w:t>
      </w:r>
    </w:p>
    <w:p w14:paraId="682D4788"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Surveys:</w:t>
      </w:r>
    </w:p>
    <w:p w14:paraId="6C9369B3"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Broad Reach:</w:t>
      </w:r>
      <w:r w:rsidRPr="2633F10F">
        <w:rPr>
          <w:rFonts w:ascii="Arial" w:eastAsia="Times New Roman" w:hAnsi="Arial" w:cs="Arial"/>
          <w:lang w:eastAsia="en-GB"/>
        </w:rPr>
        <w:t xml:space="preserve"> Ensures input from a diverse range of participants.</w:t>
      </w:r>
    </w:p>
    <w:p w14:paraId="5C17F86B"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Quantifiable Data:</w:t>
      </w:r>
      <w:r w:rsidRPr="2633F10F">
        <w:rPr>
          <w:rFonts w:ascii="Arial" w:eastAsia="Times New Roman" w:hAnsi="Arial" w:cs="Arial"/>
          <w:lang w:eastAsia="en-GB"/>
        </w:rPr>
        <w:t xml:space="preserve"> Enables statistical analysis to identify trends.</w:t>
      </w:r>
    </w:p>
    <w:p w14:paraId="6AC2D743"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Efficiency:</w:t>
      </w:r>
      <w:r w:rsidRPr="2633F10F">
        <w:rPr>
          <w:rFonts w:ascii="Arial" w:eastAsia="Times New Roman" w:hAnsi="Arial" w:cs="Arial"/>
          <w:lang w:eastAsia="en-GB"/>
        </w:rPr>
        <w:t xml:space="preserve"> Quickly gathers a large volume of information.</w:t>
      </w:r>
    </w:p>
    <w:p w14:paraId="608F9516"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Interviews:</w:t>
      </w:r>
    </w:p>
    <w:p w14:paraId="6D734497"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Depth of Understanding:</w:t>
      </w:r>
      <w:r w:rsidRPr="2633F10F">
        <w:rPr>
          <w:rFonts w:ascii="Arial" w:eastAsia="Times New Roman" w:hAnsi="Arial" w:cs="Arial"/>
          <w:lang w:eastAsia="en-GB"/>
        </w:rPr>
        <w:t xml:space="preserve"> Explores personal experiences in detail.</w:t>
      </w:r>
    </w:p>
    <w:p w14:paraId="63BC3792"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Contextual Insights:</w:t>
      </w:r>
      <w:r w:rsidRPr="2633F10F">
        <w:rPr>
          <w:rFonts w:ascii="Arial" w:eastAsia="Times New Roman" w:hAnsi="Arial" w:cs="Arial"/>
          <w:lang w:eastAsia="en-GB"/>
        </w:rPr>
        <w:t xml:space="preserve"> Explains the reasons behind quantitative data.</w:t>
      </w:r>
    </w:p>
    <w:p w14:paraId="2041C2C5"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Personalized Responses:</w:t>
      </w:r>
      <w:r w:rsidRPr="2633F10F">
        <w:rPr>
          <w:rFonts w:ascii="Arial" w:eastAsia="Times New Roman" w:hAnsi="Arial" w:cs="Arial"/>
          <w:lang w:eastAsia="en-GB"/>
        </w:rPr>
        <w:t xml:space="preserve"> Allows for follow-up questions and detailed exploration.</w:t>
      </w:r>
    </w:p>
    <w:p w14:paraId="247ED90C"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Why Mixed Methods and Action Research Are Effective:</w:t>
      </w:r>
    </w:p>
    <w:p w14:paraId="5111B1EA"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Holistic Framework Development:</w:t>
      </w:r>
      <w:r w:rsidRPr="2633F10F">
        <w:rPr>
          <w:rFonts w:ascii="Arial" w:eastAsia="Times New Roman" w:hAnsi="Arial" w:cs="Arial"/>
          <w:lang w:eastAsia="en-GB"/>
        </w:rPr>
        <w:t xml:space="preserve"> Combines surveys and interviews for breadth and depth.</w:t>
      </w:r>
    </w:p>
    <w:p w14:paraId="5D8AE908"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Iterative Improvement:</w:t>
      </w:r>
      <w:r w:rsidRPr="2633F10F">
        <w:rPr>
          <w:rFonts w:ascii="Arial" w:eastAsia="Times New Roman" w:hAnsi="Arial" w:cs="Arial"/>
          <w:lang w:eastAsia="en-GB"/>
        </w:rPr>
        <w:t xml:space="preserve"> Aligns with action research’s cycles of planning, acting, observing, and reflecting.</w:t>
      </w:r>
    </w:p>
    <w:p w14:paraId="577EEFAE"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Stakeholder Engagement:</w:t>
      </w:r>
      <w:r w:rsidRPr="2633F10F">
        <w:rPr>
          <w:rFonts w:ascii="Arial" w:eastAsia="Times New Roman" w:hAnsi="Arial" w:cs="Arial"/>
          <w:lang w:eastAsia="en-GB"/>
        </w:rPr>
        <w:t xml:space="preserve"> Involves relevant professionals, ensuring the framework meets real-world needs.</w:t>
      </w:r>
    </w:p>
    <w:p w14:paraId="26D14081"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Evidence-Based Practice:</w:t>
      </w:r>
      <w:r w:rsidRPr="2633F10F">
        <w:rPr>
          <w:rFonts w:ascii="Arial" w:eastAsia="Times New Roman" w:hAnsi="Arial" w:cs="Arial"/>
          <w:lang w:eastAsia="en-GB"/>
        </w:rPr>
        <w:t xml:space="preserve"> Continuously tests and refines the framework through action research.</w:t>
      </w:r>
    </w:p>
    <w:bookmarkEnd w:id="0"/>
    <w:p w14:paraId="20097539" w14:textId="1BFF3039" w:rsidR="2633F10F" w:rsidRDefault="2633F10F" w:rsidP="2633F10F">
      <w:pPr>
        <w:spacing w:line="360" w:lineRule="auto"/>
        <w:rPr>
          <w:rFonts w:ascii="Arial" w:hAnsi="Arial" w:cs="Arial"/>
        </w:rPr>
      </w:pPr>
    </w:p>
    <w:sectPr w:rsidR="2633F10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DD924" w14:textId="77777777" w:rsidR="00771E6B" w:rsidRDefault="00771E6B">
      <w:pPr>
        <w:spacing w:after="0" w:line="240" w:lineRule="auto"/>
      </w:pPr>
      <w:r>
        <w:separator/>
      </w:r>
    </w:p>
  </w:endnote>
  <w:endnote w:type="continuationSeparator" w:id="0">
    <w:p w14:paraId="62967C25" w14:textId="77777777" w:rsidR="00771E6B" w:rsidRDefault="00771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551A6" w14:textId="77777777" w:rsidR="00FF01B2" w:rsidRDefault="00CC1BD1" w:rsidP="00FF01B2">
    <w:pPr>
      <w:pStyle w:val="Footer"/>
    </w:pPr>
    <w:r>
      <w:t>Module 2: BMPF 7005</w:t>
    </w:r>
  </w:p>
  <w:p w14:paraId="28349345" w14:textId="266B7C4F" w:rsidR="00FF01B2" w:rsidRDefault="00CC1BD1">
    <w:pPr>
      <w:pStyle w:val="Footer"/>
    </w:pPr>
    <w:r>
      <w:t xml:space="preserve">Word Count: </w:t>
    </w:r>
    <w:r w:rsidR="00635BD8">
      <w:t>48</w:t>
    </w:r>
    <w:r w:rsidR="00C36CC5">
      <w:t>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0748C" w14:textId="77777777" w:rsidR="00771E6B" w:rsidRDefault="00771E6B">
      <w:pPr>
        <w:spacing w:after="0" w:line="240" w:lineRule="auto"/>
      </w:pPr>
      <w:r>
        <w:separator/>
      </w:r>
    </w:p>
  </w:footnote>
  <w:footnote w:type="continuationSeparator" w:id="0">
    <w:p w14:paraId="2E990951" w14:textId="77777777" w:rsidR="00771E6B" w:rsidRDefault="00771E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F0BD1" w14:textId="77777777" w:rsidR="00FF01B2" w:rsidRPr="00FF01B2" w:rsidRDefault="00CC1BD1" w:rsidP="00FF01B2">
    <w:pPr>
      <w:autoSpaceDE w:val="0"/>
      <w:autoSpaceDN w:val="0"/>
      <w:adjustRightInd w:val="0"/>
      <w:rPr>
        <w:rFonts w:cstheme="minorHAnsi"/>
        <w:sz w:val="16"/>
        <w:szCs w:val="16"/>
      </w:rPr>
    </w:pPr>
    <w:r w:rsidRPr="00FF01B2">
      <w:rPr>
        <w:rFonts w:cstheme="minorHAnsi"/>
        <w:sz w:val="16"/>
        <w:szCs w:val="16"/>
      </w:rPr>
      <w:t>Student Name: Ian Massa-Harris-McFeely</w:t>
    </w:r>
  </w:p>
  <w:p w14:paraId="5FA51795" w14:textId="77777777" w:rsidR="00FF01B2" w:rsidRPr="00FF01B2" w:rsidRDefault="00CC1BD1" w:rsidP="00FF01B2">
    <w:pPr>
      <w:autoSpaceDE w:val="0"/>
      <w:autoSpaceDN w:val="0"/>
      <w:adjustRightInd w:val="0"/>
      <w:rPr>
        <w:rFonts w:cstheme="minorHAnsi"/>
        <w:sz w:val="16"/>
        <w:szCs w:val="16"/>
      </w:rPr>
    </w:pPr>
    <w:r w:rsidRPr="00FF01B2">
      <w:rPr>
        <w:rFonts w:cstheme="minorHAnsi"/>
        <w:sz w:val="16"/>
        <w:szCs w:val="16"/>
      </w:rPr>
      <w:t>Student Number: 2029174</w:t>
    </w:r>
  </w:p>
  <w:p w14:paraId="68B5B2A4" w14:textId="73F5F412" w:rsidR="00FF01B2" w:rsidRDefault="00CC1BD1">
    <w:pPr>
      <w:pStyle w:val="Header"/>
      <w:rPr>
        <w:rFonts w:cstheme="minorHAnsi"/>
        <w:sz w:val="16"/>
        <w:szCs w:val="16"/>
      </w:rPr>
    </w:pPr>
    <w:r w:rsidRPr="00FF01B2">
      <w:rPr>
        <w:rFonts w:cstheme="minorHAnsi"/>
        <w:sz w:val="16"/>
        <w:szCs w:val="16"/>
      </w:rPr>
      <w:t>MA-PT Professional Practice (Voice Pedagogy)</w:t>
    </w:r>
  </w:p>
  <w:p w14:paraId="5A5A45DF" w14:textId="77777777" w:rsidR="00FF01B2" w:rsidRPr="00FF01B2" w:rsidRDefault="00FF01B2">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537A3"/>
    <w:multiLevelType w:val="multilevel"/>
    <w:tmpl w:val="51E0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7C5105"/>
    <w:multiLevelType w:val="multilevel"/>
    <w:tmpl w:val="FDC2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B7AFA"/>
    <w:multiLevelType w:val="multilevel"/>
    <w:tmpl w:val="3D9CF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142C1D"/>
    <w:multiLevelType w:val="multilevel"/>
    <w:tmpl w:val="05062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D3CDA"/>
    <w:multiLevelType w:val="multilevel"/>
    <w:tmpl w:val="6CE89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A37D7"/>
    <w:multiLevelType w:val="multilevel"/>
    <w:tmpl w:val="DD884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1C1B3C"/>
    <w:multiLevelType w:val="multilevel"/>
    <w:tmpl w:val="00DC3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9235F1"/>
    <w:multiLevelType w:val="multilevel"/>
    <w:tmpl w:val="3B74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136162"/>
    <w:multiLevelType w:val="multilevel"/>
    <w:tmpl w:val="68FC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B41D3C"/>
    <w:multiLevelType w:val="multilevel"/>
    <w:tmpl w:val="6058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BC246D"/>
    <w:multiLevelType w:val="multilevel"/>
    <w:tmpl w:val="5DDAD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1C5694"/>
    <w:multiLevelType w:val="multilevel"/>
    <w:tmpl w:val="84F63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AF1E7D"/>
    <w:multiLevelType w:val="multilevel"/>
    <w:tmpl w:val="A85C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2268E2"/>
    <w:multiLevelType w:val="multilevel"/>
    <w:tmpl w:val="FDBA7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03116B"/>
    <w:multiLevelType w:val="multilevel"/>
    <w:tmpl w:val="E374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14401C"/>
    <w:multiLevelType w:val="multilevel"/>
    <w:tmpl w:val="63845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FC5402"/>
    <w:multiLevelType w:val="multilevel"/>
    <w:tmpl w:val="39FE4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D749EE"/>
    <w:multiLevelType w:val="hybridMultilevel"/>
    <w:tmpl w:val="1612F7C4"/>
    <w:lvl w:ilvl="0" w:tplc="40AA43F6">
      <w:start w:val="1"/>
      <w:numFmt w:val="bullet"/>
      <w:lvlText w:val=""/>
      <w:lvlJc w:val="left"/>
      <w:pPr>
        <w:ind w:left="720" w:hanging="360"/>
      </w:pPr>
      <w:rPr>
        <w:rFonts w:ascii="Symbol" w:hAnsi="Symbol" w:hint="default"/>
      </w:rPr>
    </w:lvl>
    <w:lvl w:ilvl="1" w:tplc="B052D5AE">
      <w:start w:val="1"/>
      <w:numFmt w:val="bullet"/>
      <w:lvlText w:val="o"/>
      <w:lvlJc w:val="left"/>
      <w:pPr>
        <w:ind w:left="1440" w:hanging="360"/>
      </w:pPr>
      <w:rPr>
        <w:rFonts w:ascii="Courier New" w:hAnsi="Courier New" w:hint="default"/>
      </w:rPr>
    </w:lvl>
    <w:lvl w:ilvl="2" w:tplc="F31ACAAC">
      <w:start w:val="1"/>
      <w:numFmt w:val="bullet"/>
      <w:lvlText w:val=""/>
      <w:lvlJc w:val="left"/>
      <w:pPr>
        <w:ind w:left="2160" w:hanging="360"/>
      </w:pPr>
      <w:rPr>
        <w:rFonts w:ascii="Wingdings" w:hAnsi="Wingdings" w:hint="default"/>
      </w:rPr>
    </w:lvl>
    <w:lvl w:ilvl="3" w:tplc="DEE0ECF0">
      <w:start w:val="1"/>
      <w:numFmt w:val="bullet"/>
      <w:lvlText w:val=""/>
      <w:lvlJc w:val="left"/>
      <w:pPr>
        <w:ind w:left="2880" w:hanging="360"/>
      </w:pPr>
      <w:rPr>
        <w:rFonts w:ascii="Symbol" w:hAnsi="Symbol" w:hint="default"/>
      </w:rPr>
    </w:lvl>
    <w:lvl w:ilvl="4" w:tplc="69E4E46C">
      <w:start w:val="1"/>
      <w:numFmt w:val="bullet"/>
      <w:lvlText w:val="o"/>
      <w:lvlJc w:val="left"/>
      <w:pPr>
        <w:ind w:left="3600" w:hanging="360"/>
      </w:pPr>
      <w:rPr>
        <w:rFonts w:ascii="Courier New" w:hAnsi="Courier New" w:hint="default"/>
      </w:rPr>
    </w:lvl>
    <w:lvl w:ilvl="5" w:tplc="C97299FA">
      <w:start w:val="1"/>
      <w:numFmt w:val="bullet"/>
      <w:lvlText w:val=""/>
      <w:lvlJc w:val="left"/>
      <w:pPr>
        <w:ind w:left="4320" w:hanging="360"/>
      </w:pPr>
      <w:rPr>
        <w:rFonts w:ascii="Wingdings" w:hAnsi="Wingdings" w:hint="default"/>
      </w:rPr>
    </w:lvl>
    <w:lvl w:ilvl="6" w:tplc="AB80B998">
      <w:start w:val="1"/>
      <w:numFmt w:val="bullet"/>
      <w:lvlText w:val=""/>
      <w:lvlJc w:val="left"/>
      <w:pPr>
        <w:ind w:left="5040" w:hanging="360"/>
      </w:pPr>
      <w:rPr>
        <w:rFonts w:ascii="Symbol" w:hAnsi="Symbol" w:hint="default"/>
      </w:rPr>
    </w:lvl>
    <w:lvl w:ilvl="7" w:tplc="7916E3D0">
      <w:start w:val="1"/>
      <w:numFmt w:val="bullet"/>
      <w:lvlText w:val="o"/>
      <w:lvlJc w:val="left"/>
      <w:pPr>
        <w:ind w:left="5760" w:hanging="360"/>
      </w:pPr>
      <w:rPr>
        <w:rFonts w:ascii="Courier New" w:hAnsi="Courier New" w:hint="default"/>
      </w:rPr>
    </w:lvl>
    <w:lvl w:ilvl="8" w:tplc="49F0E160">
      <w:start w:val="1"/>
      <w:numFmt w:val="bullet"/>
      <w:lvlText w:val=""/>
      <w:lvlJc w:val="left"/>
      <w:pPr>
        <w:ind w:left="6480" w:hanging="360"/>
      </w:pPr>
      <w:rPr>
        <w:rFonts w:ascii="Wingdings" w:hAnsi="Wingdings" w:hint="default"/>
      </w:rPr>
    </w:lvl>
  </w:abstractNum>
  <w:abstractNum w:abstractNumId="18" w15:restartNumberingAfterBreak="0">
    <w:nsid w:val="656C26F7"/>
    <w:multiLevelType w:val="multilevel"/>
    <w:tmpl w:val="08C02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1A168E"/>
    <w:multiLevelType w:val="multilevel"/>
    <w:tmpl w:val="E3A8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E273CD"/>
    <w:multiLevelType w:val="multilevel"/>
    <w:tmpl w:val="A87E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1E0527"/>
    <w:multiLevelType w:val="multilevel"/>
    <w:tmpl w:val="AF64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924458">
    <w:abstractNumId w:val="17"/>
  </w:num>
  <w:num w:numId="2" w16cid:durableId="1599945540">
    <w:abstractNumId w:val="11"/>
  </w:num>
  <w:num w:numId="3" w16cid:durableId="1272935794">
    <w:abstractNumId w:val="15"/>
  </w:num>
  <w:num w:numId="4" w16cid:durableId="648831121">
    <w:abstractNumId w:val="7"/>
  </w:num>
  <w:num w:numId="5" w16cid:durableId="200441559">
    <w:abstractNumId w:val="2"/>
  </w:num>
  <w:num w:numId="6" w16cid:durableId="31656104">
    <w:abstractNumId w:val="8"/>
  </w:num>
  <w:num w:numId="7" w16cid:durableId="1197616643">
    <w:abstractNumId w:val="9"/>
  </w:num>
  <w:num w:numId="8" w16cid:durableId="1057433599">
    <w:abstractNumId w:val="12"/>
  </w:num>
  <w:num w:numId="9" w16cid:durableId="315963734">
    <w:abstractNumId w:val="3"/>
  </w:num>
  <w:num w:numId="10" w16cid:durableId="946232086">
    <w:abstractNumId w:val="20"/>
  </w:num>
  <w:num w:numId="11" w16cid:durableId="1737624989">
    <w:abstractNumId w:val="13"/>
  </w:num>
  <w:num w:numId="12" w16cid:durableId="1199008867">
    <w:abstractNumId w:val="14"/>
  </w:num>
  <w:num w:numId="13" w16cid:durableId="79449950">
    <w:abstractNumId w:val="10"/>
  </w:num>
  <w:num w:numId="14" w16cid:durableId="370225439">
    <w:abstractNumId w:val="16"/>
  </w:num>
  <w:num w:numId="15" w16cid:durableId="758406491">
    <w:abstractNumId w:val="6"/>
  </w:num>
  <w:num w:numId="16" w16cid:durableId="176431673">
    <w:abstractNumId w:val="19"/>
  </w:num>
  <w:num w:numId="17" w16cid:durableId="1280988024">
    <w:abstractNumId w:val="5"/>
  </w:num>
  <w:num w:numId="18" w16cid:durableId="553471914">
    <w:abstractNumId w:val="0"/>
  </w:num>
  <w:num w:numId="19" w16cid:durableId="194197422">
    <w:abstractNumId w:val="4"/>
  </w:num>
  <w:num w:numId="20" w16cid:durableId="1307931682">
    <w:abstractNumId w:val="18"/>
  </w:num>
  <w:num w:numId="21" w16cid:durableId="423572002">
    <w:abstractNumId w:val="1"/>
  </w:num>
  <w:num w:numId="22" w16cid:durableId="1305563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403"/>
    <w:rsid w:val="000039C7"/>
    <w:rsid w:val="00013E0C"/>
    <w:rsid w:val="00020116"/>
    <w:rsid w:val="00021BCF"/>
    <w:rsid w:val="00080523"/>
    <w:rsid w:val="000855C7"/>
    <w:rsid w:val="000F1E2C"/>
    <w:rsid w:val="000F3D6B"/>
    <w:rsid w:val="00111833"/>
    <w:rsid w:val="001418C3"/>
    <w:rsid w:val="00160CF8"/>
    <w:rsid w:val="0017149B"/>
    <w:rsid w:val="00182E92"/>
    <w:rsid w:val="00186C3A"/>
    <w:rsid w:val="001C7438"/>
    <w:rsid w:val="001D6F3B"/>
    <w:rsid w:val="002069AC"/>
    <w:rsid w:val="0021514D"/>
    <w:rsid w:val="00216D3B"/>
    <w:rsid w:val="00224E6B"/>
    <w:rsid w:val="0024364D"/>
    <w:rsid w:val="00277AEB"/>
    <w:rsid w:val="002A58AC"/>
    <w:rsid w:val="0031020E"/>
    <w:rsid w:val="00314494"/>
    <w:rsid w:val="0033236F"/>
    <w:rsid w:val="00383385"/>
    <w:rsid w:val="003A515A"/>
    <w:rsid w:val="003A5C38"/>
    <w:rsid w:val="003C08F6"/>
    <w:rsid w:val="003C6826"/>
    <w:rsid w:val="003D041A"/>
    <w:rsid w:val="003E3FBA"/>
    <w:rsid w:val="00426CAF"/>
    <w:rsid w:val="0043702E"/>
    <w:rsid w:val="004A425B"/>
    <w:rsid w:val="004B3697"/>
    <w:rsid w:val="004B7BDC"/>
    <w:rsid w:val="004D355B"/>
    <w:rsid w:val="004E499D"/>
    <w:rsid w:val="004E6648"/>
    <w:rsid w:val="004F2167"/>
    <w:rsid w:val="0053102E"/>
    <w:rsid w:val="005400EE"/>
    <w:rsid w:val="00540B8F"/>
    <w:rsid w:val="00577D2E"/>
    <w:rsid w:val="0059485A"/>
    <w:rsid w:val="005D0389"/>
    <w:rsid w:val="006202C8"/>
    <w:rsid w:val="00635BD8"/>
    <w:rsid w:val="006529CA"/>
    <w:rsid w:val="006554FE"/>
    <w:rsid w:val="00671DD3"/>
    <w:rsid w:val="006835B2"/>
    <w:rsid w:val="006B7A26"/>
    <w:rsid w:val="006C70C0"/>
    <w:rsid w:val="006D5887"/>
    <w:rsid w:val="006E37E4"/>
    <w:rsid w:val="006E502B"/>
    <w:rsid w:val="006E5959"/>
    <w:rsid w:val="00771E6B"/>
    <w:rsid w:val="007A5193"/>
    <w:rsid w:val="007D1C74"/>
    <w:rsid w:val="007F26B3"/>
    <w:rsid w:val="007F71A8"/>
    <w:rsid w:val="00821D88"/>
    <w:rsid w:val="008235A6"/>
    <w:rsid w:val="00856EB8"/>
    <w:rsid w:val="00876803"/>
    <w:rsid w:val="00885A96"/>
    <w:rsid w:val="00886AC1"/>
    <w:rsid w:val="008953D8"/>
    <w:rsid w:val="008A2C9E"/>
    <w:rsid w:val="008D2D9F"/>
    <w:rsid w:val="008F0FA8"/>
    <w:rsid w:val="0093135B"/>
    <w:rsid w:val="00961775"/>
    <w:rsid w:val="00975750"/>
    <w:rsid w:val="009815BE"/>
    <w:rsid w:val="00982FDA"/>
    <w:rsid w:val="009A0689"/>
    <w:rsid w:val="009A6347"/>
    <w:rsid w:val="009D68D8"/>
    <w:rsid w:val="00A071C6"/>
    <w:rsid w:val="00A257D4"/>
    <w:rsid w:val="00A34A0C"/>
    <w:rsid w:val="00B13953"/>
    <w:rsid w:val="00B161C8"/>
    <w:rsid w:val="00B30C91"/>
    <w:rsid w:val="00B635E8"/>
    <w:rsid w:val="00B63BFB"/>
    <w:rsid w:val="00BA30BF"/>
    <w:rsid w:val="00BE4EA3"/>
    <w:rsid w:val="00C223CC"/>
    <w:rsid w:val="00C352BF"/>
    <w:rsid w:val="00C36CC5"/>
    <w:rsid w:val="00C53CD9"/>
    <w:rsid w:val="00C53D7F"/>
    <w:rsid w:val="00C803E6"/>
    <w:rsid w:val="00C86FD9"/>
    <w:rsid w:val="00CA2DDB"/>
    <w:rsid w:val="00CB05D2"/>
    <w:rsid w:val="00CC1BD1"/>
    <w:rsid w:val="00CC30CB"/>
    <w:rsid w:val="00CD5AB3"/>
    <w:rsid w:val="00CE2004"/>
    <w:rsid w:val="00CE6CE9"/>
    <w:rsid w:val="00D2589E"/>
    <w:rsid w:val="00D72052"/>
    <w:rsid w:val="00D85E56"/>
    <w:rsid w:val="00DB52C2"/>
    <w:rsid w:val="00DB7403"/>
    <w:rsid w:val="00DB74A4"/>
    <w:rsid w:val="00DC38BC"/>
    <w:rsid w:val="00DE1BB2"/>
    <w:rsid w:val="00E72D4A"/>
    <w:rsid w:val="00E95000"/>
    <w:rsid w:val="00E952A6"/>
    <w:rsid w:val="00EB46B3"/>
    <w:rsid w:val="00F83BEC"/>
    <w:rsid w:val="00F9606B"/>
    <w:rsid w:val="00FA2C63"/>
    <w:rsid w:val="00FD2417"/>
    <w:rsid w:val="00FE6F1E"/>
    <w:rsid w:val="00FF01B2"/>
    <w:rsid w:val="035519D0"/>
    <w:rsid w:val="039DD171"/>
    <w:rsid w:val="03BAB1E0"/>
    <w:rsid w:val="0437D5BF"/>
    <w:rsid w:val="047B9C00"/>
    <w:rsid w:val="0539E75D"/>
    <w:rsid w:val="053BBA0E"/>
    <w:rsid w:val="056324E5"/>
    <w:rsid w:val="05D11BE3"/>
    <w:rsid w:val="05D6CA8B"/>
    <w:rsid w:val="07768D26"/>
    <w:rsid w:val="097E490A"/>
    <w:rsid w:val="0A232825"/>
    <w:rsid w:val="0A6009FF"/>
    <w:rsid w:val="0B4767C0"/>
    <w:rsid w:val="0CFF2D64"/>
    <w:rsid w:val="0D0E62FA"/>
    <w:rsid w:val="0D7A1331"/>
    <w:rsid w:val="0DFE1C37"/>
    <w:rsid w:val="0E270E40"/>
    <w:rsid w:val="0E7F7265"/>
    <w:rsid w:val="0ECB2FA7"/>
    <w:rsid w:val="0F6FC0B3"/>
    <w:rsid w:val="104F723C"/>
    <w:rsid w:val="10E224EB"/>
    <w:rsid w:val="11720D4D"/>
    <w:rsid w:val="121A3030"/>
    <w:rsid w:val="15359D26"/>
    <w:rsid w:val="157DC043"/>
    <w:rsid w:val="167EAA57"/>
    <w:rsid w:val="17975358"/>
    <w:rsid w:val="180F48F7"/>
    <w:rsid w:val="19873B84"/>
    <w:rsid w:val="1B37C456"/>
    <w:rsid w:val="1C76435A"/>
    <w:rsid w:val="1D48C39D"/>
    <w:rsid w:val="1D98D10F"/>
    <w:rsid w:val="1E4904E8"/>
    <w:rsid w:val="1EE0418C"/>
    <w:rsid w:val="1F51A877"/>
    <w:rsid w:val="20A6E858"/>
    <w:rsid w:val="216EEAF7"/>
    <w:rsid w:val="223B3B85"/>
    <w:rsid w:val="22B429AC"/>
    <w:rsid w:val="249372BA"/>
    <w:rsid w:val="24FB41B8"/>
    <w:rsid w:val="25AE3F93"/>
    <w:rsid w:val="25D9DCC3"/>
    <w:rsid w:val="2633F10F"/>
    <w:rsid w:val="2676B829"/>
    <w:rsid w:val="26ACF7CC"/>
    <w:rsid w:val="273D22A1"/>
    <w:rsid w:val="27EB4A70"/>
    <w:rsid w:val="2A2FBED9"/>
    <w:rsid w:val="2B15CB56"/>
    <w:rsid w:val="2B3AD81F"/>
    <w:rsid w:val="2C05B521"/>
    <w:rsid w:val="2C11D94C"/>
    <w:rsid w:val="2D36F22A"/>
    <w:rsid w:val="2D3E9A04"/>
    <w:rsid w:val="2DE923C1"/>
    <w:rsid w:val="2E4D92BD"/>
    <w:rsid w:val="2EC84E99"/>
    <w:rsid w:val="3022D6F9"/>
    <w:rsid w:val="306B5FB3"/>
    <w:rsid w:val="30A593E7"/>
    <w:rsid w:val="3111A862"/>
    <w:rsid w:val="31186511"/>
    <w:rsid w:val="316237BA"/>
    <w:rsid w:val="32DB4D12"/>
    <w:rsid w:val="32DD55C7"/>
    <w:rsid w:val="32EADB01"/>
    <w:rsid w:val="34096835"/>
    <w:rsid w:val="3437A976"/>
    <w:rsid w:val="34764696"/>
    <w:rsid w:val="36799401"/>
    <w:rsid w:val="3710FF68"/>
    <w:rsid w:val="37433958"/>
    <w:rsid w:val="37B0569F"/>
    <w:rsid w:val="37DAE1CC"/>
    <w:rsid w:val="39226AB6"/>
    <w:rsid w:val="3C1CF47D"/>
    <w:rsid w:val="3D9493C3"/>
    <w:rsid w:val="3D94B5F9"/>
    <w:rsid w:val="3F425A66"/>
    <w:rsid w:val="404BDC00"/>
    <w:rsid w:val="41F6A014"/>
    <w:rsid w:val="429E4444"/>
    <w:rsid w:val="4455E9F8"/>
    <w:rsid w:val="4541B832"/>
    <w:rsid w:val="45AD40E0"/>
    <w:rsid w:val="460B938E"/>
    <w:rsid w:val="4653DA4E"/>
    <w:rsid w:val="46A0B726"/>
    <w:rsid w:val="46B0919F"/>
    <w:rsid w:val="474152B1"/>
    <w:rsid w:val="47815A4C"/>
    <w:rsid w:val="483592B6"/>
    <w:rsid w:val="48858A8D"/>
    <w:rsid w:val="4B1FBB36"/>
    <w:rsid w:val="4B7FDB3B"/>
    <w:rsid w:val="4CED203F"/>
    <w:rsid w:val="4DCFA104"/>
    <w:rsid w:val="5219A6C9"/>
    <w:rsid w:val="522DCBD7"/>
    <w:rsid w:val="536B8BCC"/>
    <w:rsid w:val="5515AD47"/>
    <w:rsid w:val="55579616"/>
    <w:rsid w:val="55E9223B"/>
    <w:rsid w:val="564684AB"/>
    <w:rsid w:val="56CBE03F"/>
    <w:rsid w:val="5733BD92"/>
    <w:rsid w:val="57501732"/>
    <w:rsid w:val="5770CE4E"/>
    <w:rsid w:val="5872DB96"/>
    <w:rsid w:val="5915F92F"/>
    <w:rsid w:val="59839C47"/>
    <w:rsid w:val="5A9C1B3A"/>
    <w:rsid w:val="5B2737AA"/>
    <w:rsid w:val="5B3D9A1E"/>
    <w:rsid w:val="5E173020"/>
    <w:rsid w:val="5E848197"/>
    <w:rsid w:val="5EB6628B"/>
    <w:rsid w:val="5F7D45CD"/>
    <w:rsid w:val="606BB995"/>
    <w:rsid w:val="61D98A48"/>
    <w:rsid w:val="62837424"/>
    <w:rsid w:val="63254292"/>
    <w:rsid w:val="63B161E5"/>
    <w:rsid w:val="6412ED7B"/>
    <w:rsid w:val="654ACDA0"/>
    <w:rsid w:val="661425A2"/>
    <w:rsid w:val="668B381A"/>
    <w:rsid w:val="678172EA"/>
    <w:rsid w:val="689B6094"/>
    <w:rsid w:val="6A732283"/>
    <w:rsid w:val="6AD2698D"/>
    <w:rsid w:val="6ADEC407"/>
    <w:rsid w:val="6CCFB1CD"/>
    <w:rsid w:val="6CD7091A"/>
    <w:rsid w:val="6F795FEB"/>
    <w:rsid w:val="7023F7CA"/>
    <w:rsid w:val="7074D7E4"/>
    <w:rsid w:val="72DC687C"/>
    <w:rsid w:val="73050C33"/>
    <w:rsid w:val="733F195A"/>
    <w:rsid w:val="7344BDCE"/>
    <w:rsid w:val="73A6ACED"/>
    <w:rsid w:val="758902AC"/>
    <w:rsid w:val="76F8C181"/>
    <w:rsid w:val="7946456B"/>
    <w:rsid w:val="7A3BC005"/>
    <w:rsid w:val="7AA840FB"/>
    <w:rsid w:val="7BBA47DD"/>
    <w:rsid w:val="7C9ED472"/>
    <w:rsid w:val="7CAB453F"/>
    <w:rsid w:val="7D2A4E8F"/>
    <w:rsid w:val="7D7FA9B1"/>
    <w:rsid w:val="7DCC33D8"/>
    <w:rsid w:val="7E713195"/>
    <w:rsid w:val="7EF05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659C"/>
  <w15:chartTrackingRefBased/>
  <w15:docId w15:val="{2A7DB412-BF2B-4D55-BB20-AF9B3D24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4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74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74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4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74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7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4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74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74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4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74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7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403"/>
    <w:rPr>
      <w:rFonts w:eastAsiaTheme="majorEastAsia" w:cstheme="majorBidi"/>
      <w:color w:val="272727" w:themeColor="text1" w:themeTint="D8"/>
    </w:rPr>
  </w:style>
  <w:style w:type="paragraph" w:styleId="Title">
    <w:name w:val="Title"/>
    <w:basedOn w:val="Normal"/>
    <w:next w:val="Normal"/>
    <w:link w:val="TitleChar"/>
    <w:uiPriority w:val="10"/>
    <w:qFormat/>
    <w:rsid w:val="00DB7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403"/>
    <w:pPr>
      <w:spacing w:before="160"/>
      <w:jc w:val="center"/>
    </w:pPr>
    <w:rPr>
      <w:i/>
      <w:iCs/>
      <w:color w:val="404040" w:themeColor="text1" w:themeTint="BF"/>
    </w:rPr>
  </w:style>
  <w:style w:type="character" w:customStyle="1" w:styleId="QuoteChar">
    <w:name w:val="Quote Char"/>
    <w:basedOn w:val="DefaultParagraphFont"/>
    <w:link w:val="Quote"/>
    <w:uiPriority w:val="29"/>
    <w:rsid w:val="00DB7403"/>
    <w:rPr>
      <w:i/>
      <w:iCs/>
      <w:color w:val="404040" w:themeColor="text1" w:themeTint="BF"/>
    </w:rPr>
  </w:style>
  <w:style w:type="paragraph" w:styleId="ListParagraph">
    <w:name w:val="List Paragraph"/>
    <w:basedOn w:val="Normal"/>
    <w:uiPriority w:val="34"/>
    <w:qFormat/>
    <w:rsid w:val="00DB7403"/>
    <w:pPr>
      <w:ind w:left="720"/>
      <w:contextualSpacing/>
    </w:pPr>
  </w:style>
  <w:style w:type="character" w:styleId="IntenseEmphasis">
    <w:name w:val="Intense Emphasis"/>
    <w:basedOn w:val="DefaultParagraphFont"/>
    <w:uiPriority w:val="21"/>
    <w:qFormat/>
    <w:rsid w:val="00DB7403"/>
    <w:rPr>
      <w:i/>
      <w:iCs/>
      <w:color w:val="2F5496" w:themeColor="accent1" w:themeShade="BF"/>
    </w:rPr>
  </w:style>
  <w:style w:type="paragraph" w:styleId="IntenseQuote">
    <w:name w:val="Intense Quote"/>
    <w:basedOn w:val="Normal"/>
    <w:next w:val="Normal"/>
    <w:link w:val="IntenseQuoteChar"/>
    <w:uiPriority w:val="30"/>
    <w:qFormat/>
    <w:rsid w:val="00DB74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7403"/>
    <w:rPr>
      <w:i/>
      <w:iCs/>
      <w:color w:val="2F5496" w:themeColor="accent1" w:themeShade="BF"/>
    </w:rPr>
  </w:style>
  <w:style w:type="character" w:styleId="IntenseReference">
    <w:name w:val="Intense Reference"/>
    <w:basedOn w:val="DefaultParagraphFont"/>
    <w:uiPriority w:val="32"/>
    <w:qFormat/>
    <w:rsid w:val="00DB7403"/>
    <w:rPr>
      <w:b/>
      <w:bCs/>
      <w:smallCaps/>
      <w:color w:val="2F5496" w:themeColor="accent1" w:themeShade="BF"/>
      <w:spacing w:val="5"/>
    </w:rPr>
  </w:style>
  <w:style w:type="character" w:styleId="Hyperlink">
    <w:name w:val="Hyperlink"/>
    <w:basedOn w:val="DefaultParagraphFont"/>
    <w:uiPriority w:val="99"/>
    <w:unhideWhenUsed/>
    <w:rsid w:val="00DB7403"/>
    <w:rPr>
      <w:color w:val="0563C1" w:themeColor="hyperlink"/>
      <w:u w:val="single"/>
    </w:rPr>
  </w:style>
  <w:style w:type="character" w:styleId="UnresolvedMention">
    <w:name w:val="Unresolved Mention"/>
    <w:basedOn w:val="DefaultParagraphFont"/>
    <w:uiPriority w:val="99"/>
    <w:semiHidden/>
    <w:unhideWhenUsed/>
    <w:rsid w:val="00DB7403"/>
    <w:rPr>
      <w:color w:val="605E5C"/>
      <w:shd w:val="clear" w:color="auto" w:fill="E1DFDD"/>
    </w:rPr>
  </w:style>
  <w:style w:type="paragraph" w:styleId="Header">
    <w:name w:val="header"/>
    <w:basedOn w:val="Normal"/>
    <w:link w:val="HeaderChar"/>
    <w:uiPriority w:val="99"/>
    <w:unhideWhenUsed/>
    <w:rsid w:val="00FF0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1B2"/>
  </w:style>
  <w:style w:type="paragraph" w:styleId="Footer">
    <w:name w:val="footer"/>
    <w:basedOn w:val="Normal"/>
    <w:link w:val="FooterChar"/>
    <w:uiPriority w:val="99"/>
    <w:unhideWhenUsed/>
    <w:rsid w:val="00FF0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1B2"/>
  </w:style>
  <w:style w:type="paragraph" w:styleId="NormalWeb">
    <w:name w:val="Normal (Web)"/>
    <w:basedOn w:val="Normal"/>
    <w:uiPriority w:val="99"/>
    <w:semiHidden/>
    <w:unhideWhenUsed/>
    <w:rsid w:val="004F21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2167"/>
    <w:rPr>
      <w:b/>
      <w:bCs/>
    </w:rPr>
  </w:style>
  <w:style w:type="character" w:styleId="CommentReference">
    <w:name w:val="annotation reference"/>
    <w:basedOn w:val="DefaultParagraphFont"/>
    <w:uiPriority w:val="99"/>
    <w:semiHidden/>
    <w:unhideWhenUsed/>
    <w:rsid w:val="004A425B"/>
    <w:rPr>
      <w:sz w:val="16"/>
      <w:szCs w:val="16"/>
    </w:rPr>
  </w:style>
  <w:style w:type="paragraph" w:styleId="CommentText">
    <w:name w:val="annotation text"/>
    <w:basedOn w:val="Normal"/>
    <w:link w:val="CommentTextChar"/>
    <w:uiPriority w:val="99"/>
    <w:unhideWhenUsed/>
    <w:rsid w:val="004A425B"/>
    <w:pPr>
      <w:spacing w:line="240" w:lineRule="auto"/>
    </w:pPr>
    <w:rPr>
      <w:sz w:val="20"/>
      <w:szCs w:val="20"/>
    </w:rPr>
  </w:style>
  <w:style w:type="character" w:customStyle="1" w:styleId="CommentTextChar">
    <w:name w:val="Comment Text Char"/>
    <w:basedOn w:val="DefaultParagraphFont"/>
    <w:link w:val="CommentText"/>
    <w:uiPriority w:val="99"/>
    <w:rsid w:val="004A425B"/>
    <w:rPr>
      <w:sz w:val="20"/>
      <w:szCs w:val="20"/>
    </w:rPr>
  </w:style>
  <w:style w:type="paragraph" w:styleId="CommentSubject">
    <w:name w:val="annotation subject"/>
    <w:basedOn w:val="CommentText"/>
    <w:next w:val="CommentText"/>
    <w:link w:val="CommentSubjectChar"/>
    <w:uiPriority w:val="99"/>
    <w:semiHidden/>
    <w:unhideWhenUsed/>
    <w:rsid w:val="004A425B"/>
    <w:rPr>
      <w:b/>
      <w:bCs/>
    </w:rPr>
  </w:style>
  <w:style w:type="character" w:customStyle="1" w:styleId="CommentSubjectChar">
    <w:name w:val="Comment Subject Char"/>
    <w:basedOn w:val="CommentTextChar"/>
    <w:link w:val="CommentSubject"/>
    <w:uiPriority w:val="99"/>
    <w:semiHidden/>
    <w:rsid w:val="004A425B"/>
    <w:rPr>
      <w:b/>
      <w:bCs/>
      <w:sz w:val="20"/>
      <w:szCs w:val="20"/>
    </w:rPr>
  </w:style>
  <w:style w:type="paragraph" w:styleId="BalloonText">
    <w:name w:val="Balloon Text"/>
    <w:basedOn w:val="Normal"/>
    <w:link w:val="BalloonTextChar"/>
    <w:uiPriority w:val="99"/>
    <w:semiHidden/>
    <w:unhideWhenUsed/>
    <w:rsid w:val="003323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36F"/>
    <w:rPr>
      <w:rFonts w:ascii="Segoe UI" w:hAnsi="Segoe UI" w:cs="Segoe UI"/>
      <w:sz w:val="18"/>
      <w:szCs w:val="18"/>
    </w:rPr>
  </w:style>
  <w:style w:type="paragraph" w:styleId="Revision">
    <w:name w:val="Revision"/>
    <w:hidden/>
    <w:uiPriority w:val="99"/>
    <w:semiHidden/>
    <w:rsid w:val="003D0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219341">
      <w:bodyDiv w:val="1"/>
      <w:marLeft w:val="0"/>
      <w:marRight w:val="0"/>
      <w:marTop w:val="0"/>
      <w:marBottom w:val="0"/>
      <w:divBdr>
        <w:top w:val="none" w:sz="0" w:space="0" w:color="auto"/>
        <w:left w:val="none" w:sz="0" w:space="0" w:color="auto"/>
        <w:bottom w:val="none" w:sz="0" w:space="0" w:color="auto"/>
        <w:right w:val="none" w:sz="0" w:space="0" w:color="auto"/>
      </w:divBdr>
      <w:divsChild>
        <w:div w:id="763914908">
          <w:marLeft w:val="0"/>
          <w:marRight w:val="0"/>
          <w:marTop w:val="0"/>
          <w:marBottom w:val="0"/>
          <w:divBdr>
            <w:top w:val="none" w:sz="0" w:space="0" w:color="auto"/>
            <w:left w:val="none" w:sz="0" w:space="0" w:color="auto"/>
            <w:bottom w:val="none" w:sz="0" w:space="0" w:color="auto"/>
            <w:right w:val="none" w:sz="0" w:space="0" w:color="auto"/>
          </w:divBdr>
          <w:divsChild>
            <w:div w:id="747967634">
              <w:marLeft w:val="0"/>
              <w:marRight w:val="0"/>
              <w:marTop w:val="0"/>
              <w:marBottom w:val="0"/>
              <w:divBdr>
                <w:top w:val="none" w:sz="0" w:space="0" w:color="auto"/>
                <w:left w:val="none" w:sz="0" w:space="0" w:color="auto"/>
                <w:bottom w:val="none" w:sz="0" w:space="0" w:color="auto"/>
                <w:right w:val="none" w:sz="0" w:space="0" w:color="auto"/>
              </w:divBdr>
              <w:divsChild>
                <w:div w:id="1596478835">
                  <w:marLeft w:val="0"/>
                  <w:marRight w:val="0"/>
                  <w:marTop w:val="0"/>
                  <w:marBottom w:val="0"/>
                  <w:divBdr>
                    <w:top w:val="none" w:sz="0" w:space="0" w:color="auto"/>
                    <w:left w:val="none" w:sz="0" w:space="0" w:color="auto"/>
                    <w:bottom w:val="none" w:sz="0" w:space="0" w:color="auto"/>
                    <w:right w:val="none" w:sz="0" w:space="0" w:color="auto"/>
                  </w:divBdr>
                  <w:divsChild>
                    <w:div w:id="416097141">
                      <w:marLeft w:val="0"/>
                      <w:marRight w:val="0"/>
                      <w:marTop w:val="0"/>
                      <w:marBottom w:val="0"/>
                      <w:divBdr>
                        <w:top w:val="none" w:sz="0" w:space="0" w:color="auto"/>
                        <w:left w:val="none" w:sz="0" w:space="0" w:color="auto"/>
                        <w:bottom w:val="none" w:sz="0" w:space="0" w:color="auto"/>
                        <w:right w:val="none" w:sz="0" w:space="0" w:color="auto"/>
                      </w:divBdr>
                      <w:divsChild>
                        <w:div w:id="990407868">
                          <w:marLeft w:val="0"/>
                          <w:marRight w:val="0"/>
                          <w:marTop w:val="0"/>
                          <w:marBottom w:val="0"/>
                          <w:divBdr>
                            <w:top w:val="none" w:sz="0" w:space="0" w:color="auto"/>
                            <w:left w:val="none" w:sz="0" w:space="0" w:color="auto"/>
                            <w:bottom w:val="none" w:sz="0" w:space="0" w:color="auto"/>
                            <w:right w:val="none" w:sz="0" w:space="0" w:color="auto"/>
                          </w:divBdr>
                          <w:divsChild>
                            <w:div w:id="4836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71011">
      <w:bodyDiv w:val="1"/>
      <w:marLeft w:val="0"/>
      <w:marRight w:val="0"/>
      <w:marTop w:val="0"/>
      <w:marBottom w:val="0"/>
      <w:divBdr>
        <w:top w:val="none" w:sz="0" w:space="0" w:color="auto"/>
        <w:left w:val="none" w:sz="0" w:space="0" w:color="auto"/>
        <w:bottom w:val="none" w:sz="0" w:space="0" w:color="auto"/>
        <w:right w:val="none" w:sz="0" w:space="0" w:color="auto"/>
      </w:divBdr>
    </w:div>
    <w:div w:id="345252920">
      <w:bodyDiv w:val="1"/>
      <w:marLeft w:val="0"/>
      <w:marRight w:val="0"/>
      <w:marTop w:val="0"/>
      <w:marBottom w:val="0"/>
      <w:divBdr>
        <w:top w:val="none" w:sz="0" w:space="0" w:color="auto"/>
        <w:left w:val="none" w:sz="0" w:space="0" w:color="auto"/>
        <w:bottom w:val="none" w:sz="0" w:space="0" w:color="auto"/>
        <w:right w:val="none" w:sz="0" w:space="0" w:color="auto"/>
      </w:divBdr>
      <w:divsChild>
        <w:div w:id="1503156864">
          <w:marLeft w:val="0"/>
          <w:marRight w:val="0"/>
          <w:marTop w:val="0"/>
          <w:marBottom w:val="0"/>
          <w:divBdr>
            <w:top w:val="none" w:sz="0" w:space="0" w:color="auto"/>
            <w:left w:val="none" w:sz="0" w:space="0" w:color="auto"/>
            <w:bottom w:val="none" w:sz="0" w:space="0" w:color="auto"/>
            <w:right w:val="none" w:sz="0" w:space="0" w:color="auto"/>
          </w:divBdr>
          <w:divsChild>
            <w:div w:id="1969312432">
              <w:marLeft w:val="0"/>
              <w:marRight w:val="0"/>
              <w:marTop w:val="0"/>
              <w:marBottom w:val="0"/>
              <w:divBdr>
                <w:top w:val="none" w:sz="0" w:space="0" w:color="auto"/>
                <w:left w:val="none" w:sz="0" w:space="0" w:color="auto"/>
                <w:bottom w:val="none" w:sz="0" w:space="0" w:color="auto"/>
                <w:right w:val="none" w:sz="0" w:space="0" w:color="auto"/>
              </w:divBdr>
              <w:divsChild>
                <w:div w:id="1390305326">
                  <w:marLeft w:val="0"/>
                  <w:marRight w:val="0"/>
                  <w:marTop w:val="0"/>
                  <w:marBottom w:val="0"/>
                  <w:divBdr>
                    <w:top w:val="none" w:sz="0" w:space="0" w:color="auto"/>
                    <w:left w:val="none" w:sz="0" w:space="0" w:color="auto"/>
                    <w:bottom w:val="none" w:sz="0" w:space="0" w:color="auto"/>
                    <w:right w:val="none" w:sz="0" w:space="0" w:color="auto"/>
                  </w:divBdr>
                  <w:divsChild>
                    <w:div w:id="771903122">
                      <w:marLeft w:val="0"/>
                      <w:marRight w:val="0"/>
                      <w:marTop w:val="0"/>
                      <w:marBottom w:val="0"/>
                      <w:divBdr>
                        <w:top w:val="none" w:sz="0" w:space="0" w:color="auto"/>
                        <w:left w:val="none" w:sz="0" w:space="0" w:color="auto"/>
                        <w:bottom w:val="none" w:sz="0" w:space="0" w:color="auto"/>
                        <w:right w:val="none" w:sz="0" w:space="0" w:color="auto"/>
                      </w:divBdr>
                      <w:divsChild>
                        <w:div w:id="251402546">
                          <w:marLeft w:val="0"/>
                          <w:marRight w:val="0"/>
                          <w:marTop w:val="0"/>
                          <w:marBottom w:val="0"/>
                          <w:divBdr>
                            <w:top w:val="none" w:sz="0" w:space="0" w:color="auto"/>
                            <w:left w:val="none" w:sz="0" w:space="0" w:color="auto"/>
                            <w:bottom w:val="none" w:sz="0" w:space="0" w:color="auto"/>
                            <w:right w:val="none" w:sz="0" w:space="0" w:color="auto"/>
                          </w:divBdr>
                          <w:divsChild>
                            <w:div w:id="5763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982816">
      <w:bodyDiv w:val="1"/>
      <w:marLeft w:val="0"/>
      <w:marRight w:val="0"/>
      <w:marTop w:val="0"/>
      <w:marBottom w:val="0"/>
      <w:divBdr>
        <w:top w:val="none" w:sz="0" w:space="0" w:color="auto"/>
        <w:left w:val="none" w:sz="0" w:space="0" w:color="auto"/>
        <w:bottom w:val="none" w:sz="0" w:space="0" w:color="auto"/>
        <w:right w:val="none" w:sz="0" w:space="0" w:color="auto"/>
      </w:divBdr>
      <w:divsChild>
        <w:div w:id="1717312915">
          <w:marLeft w:val="0"/>
          <w:marRight w:val="0"/>
          <w:marTop w:val="0"/>
          <w:marBottom w:val="0"/>
          <w:divBdr>
            <w:top w:val="none" w:sz="0" w:space="0" w:color="auto"/>
            <w:left w:val="none" w:sz="0" w:space="0" w:color="auto"/>
            <w:bottom w:val="none" w:sz="0" w:space="0" w:color="auto"/>
            <w:right w:val="none" w:sz="0" w:space="0" w:color="auto"/>
          </w:divBdr>
          <w:divsChild>
            <w:div w:id="1643272765">
              <w:marLeft w:val="0"/>
              <w:marRight w:val="0"/>
              <w:marTop w:val="0"/>
              <w:marBottom w:val="0"/>
              <w:divBdr>
                <w:top w:val="none" w:sz="0" w:space="0" w:color="auto"/>
                <w:left w:val="none" w:sz="0" w:space="0" w:color="auto"/>
                <w:bottom w:val="none" w:sz="0" w:space="0" w:color="auto"/>
                <w:right w:val="none" w:sz="0" w:space="0" w:color="auto"/>
              </w:divBdr>
              <w:divsChild>
                <w:div w:id="1397556036">
                  <w:marLeft w:val="0"/>
                  <w:marRight w:val="0"/>
                  <w:marTop w:val="0"/>
                  <w:marBottom w:val="0"/>
                  <w:divBdr>
                    <w:top w:val="none" w:sz="0" w:space="0" w:color="auto"/>
                    <w:left w:val="none" w:sz="0" w:space="0" w:color="auto"/>
                    <w:bottom w:val="none" w:sz="0" w:space="0" w:color="auto"/>
                    <w:right w:val="none" w:sz="0" w:space="0" w:color="auto"/>
                  </w:divBdr>
                  <w:divsChild>
                    <w:div w:id="160198052">
                      <w:marLeft w:val="0"/>
                      <w:marRight w:val="0"/>
                      <w:marTop w:val="0"/>
                      <w:marBottom w:val="0"/>
                      <w:divBdr>
                        <w:top w:val="none" w:sz="0" w:space="0" w:color="auto"/>
                        <w:left w:val="none" w:sz="0" w:space="0" w:color="auto"/>
                        <w:bottom w:val="none" w:sz="0" w:space="0" w:color="auto"/>
                        <w:right w:val="none" w:sz="0" w:space="0" w:color="auto"/>
                      </w:divBdr>
                      <w:divsChild>
                        <w:div w:id="610430757">
                          <w:marLeft w:val="0"/>
                          <w:marRight w:val="0"/>
                          <w:marTop w:val="0"/>
                          <w:marBottom w:val="0"/>
                          <w:divBdr>
                            <w:top w:val="none" w:sz="0" w:space="0" w:color="auto"/>
                            <w:left w:val="none" w:sz="0" w:space="0" w:color="auto"/>
                            <w:bottom w:val="none" w:sz="0" w:space="0" w:color="auto"/>
                            <w:right w:val="none" w:sz="0" w:space="0" w:color="auto"/>
                          </w:divBdr>
                          <w:divsChild>
                            <w:div w:id="12930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599866">
      <w:bodyDiv w:val="1"/>
      <w:marLeft w:val="0"/>
      <w:marRight w:val="0"/>
      <w:marTop w:val="0"/>
      <w:marBottom w:val="0"/>
      <w:divBdr>
        <w:top w:val="none" w:sz="0" w:space="0" w:color="auto"/>
        <w:left w:val="none" w:sz="0" w:space="0" w:color="auto"/>
        <w:bottom w:val="none" w:sz="0" w:space="0" w:color="auto"/>
        <w:right w:val="none" w:sz="0" w:space="0" w:color="auto"/>
      </w:divBdr>
      <w:divsChild>
        <w:div w:id="1323123294">
          <w:marLeft w:val="0"/>
          <w:marRight w:val="0"/>
          <w:marTop w:val="0"/>
          <w:marBottom w:val="0"/>
          <w:divBdr>
            <w:top w:val="none" w:sz="0" w:space="0" w:color="auto"/>
            <w:left w:val="none" w:sz="0" w:space="0" w:color="auto"/>
            <w:bottom w:val="none" w:sz="0" w:space="0" w:color="auto"/>
            <w:right w:val="none" w:sz="0" w:space="0" w:color="auto"/>
          </w:divBdr>
          <w:divsChild>
            <w:div w:id="1916740766">
              <w:marLeft w:val="0"/>
              <w:marRight w:val="0"/>
              <w:marTop w:val="0"/>
              <w:marBottom w:val="0"/>
              <w:divBdr>
                <w:top w:val="none" w:sz="0" w:space="0" w:color="auto"/>
                <w:left w:val="none" w:sz="0" w:space="0" w:color="auto"/>
                <w:bottom w:val="none" w:sz="0" w:space="0" w:color="auto"/>
                <w:right w:val="none" w:sz="0" w:space="0" w:color="auto"/>
              </w:divBdr>
              <w:divsChild>
                <w:div w:id="1834909387">
                  <w:marLeft w:val="0"/>
                  <w:marRight w:val="0"/>
                  <w:marTop w:val="0"/>
                  <w:marBottom w:val="0"/>
                  <w:divBdr>
                    <w:top w:val="none" w:sz="0" w:space="0" w:color="auto"/>
                    <w:left w:val="none" w:sz="0" w:space="0" w:color="auto"/>
                    <w:bottom w:val="none" w:sz="0" w:space="0" w:color="auto"/>
                    <w:right w:val="none" w:sz="0" w:space="0" w:color="auto"/>
                  </w:divBdr>
                  <w:divsChild>
                    <w:div w:id="691733137">
                      <w:marLeft w:val="0"/>
                      <w:marRight w:val="0"/>
                      <w:marTop w:val="0"/>
                      <w:marBottom w:val="0"/>
                      <w:divBdr>
                        <w:top w:val="none" w:sz="0" w:space="0" w:color="auto"/>
                        <w:left w:val="none" w:sz="0" w:space="0" w:color="auto"/>
                        <w:bottom w:val="none" w:sz="0" w:space="0" w:color="auto"/>
                        <w:right w:val="none" w:sz="0" w:space="0" w:color="auto"/>
                      </w:divBdr>
                      <w:divsChild>
                        <w:div w:id="719061707">
                          <w:marLeft w:val="0"/>
                          <w:marRight w:val="0"/>
                          <w:marTop w:val="0"/>
                          <w:marBottom w:val="0"/>
                          <w:divBdr>
                            <w:top w:val="none" w:sz="0" w:space="0" w:color="auto"/>
                            <w:left w:val="none" w:sz="0" w:space="0" w:color="auto"/>
                            <w:bottom w:val="none" w:sz="0" w:space="0" w:color="auto"/>
                            <w:right w:val="none" w:sz="0" w:space="0" w:color="auto"/>
                          </w:divBdr>
                          <w:divsChild>
                            <w:div w:id="136165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65599">
      <w:bodyDiv w:val="1"/>
      <w:marLeft w:val="0"/>
      <w:marRight w:val="0"/>
      <w:marTop w:val="0"/>
      <w:marBottom w:val="0"/>
      <w:divBdr>
        <w:top w:val="none" w:sz="0" w:space="0" w:color="auto"/>
        <w:left w:val="none" w:sz="0" w:space="0" w:color="auto"/>
        <w:bottom w:val="none" w:sz="0" w:space="0" w:color="auto"/>
        <w:right w:val="none" w:sz="0" w:space="0" w:color="auto"/>
      </w:divBdr>
      <w:divsChild>
        <w:div w:id="1624531172">
          <w:marLeft w:val="0"/>
          <w:marRight w:val="0"/>
          <w:marTop w:val="0"/>
          <w:marBottom w:val="0"/>
          <w:divBdr>
            <w:top w:val="none" w:sz="0" w:space="0" w:color="auto"/>
            <w:left w:val="none" w:sz="0" w:space="0" w:color="auto"/>
            <w:bottom w:val="none" w:sz="0" w:space="0" w:color="auto"/>
            <w:right w:val="none" w:sz="0" w:space="0" w:color="auto"/>
          </w:divBdr>
          <w:divsChild>
            <w:div w:id="1924103810">
              <w:marLeft w:val="0"/>
              <w:marRight w:val="0"/>
              <w:marTop w:val="0"/>
              <w:marBottom w:val="0"/>
              <w:divBdr>
                <w:top w:val="none" w:sz="0" w:space="0" w:color="auto"/>
                <w:left w:val="none" w:sz="0" w:space="0" w:color="auto"/>
                <w:bottom w:val="none" w:sz="0" w:space="0" w:color="auto"/>
                <w:right w:val="none" w:sz="0" w:space="0" w:color="auto"/>
              </w:divBdr>
              <w:divsChild>
                <w:div w:id="2044208150">
                  <w:marLeft w:val="0"/>
                  <w:marRight w:val="0"/>
                  <w:marTop w:val="0"/>
                  <w:marBottom w:val="0"/>
                  <w:divBdr>
                    <w:top w:val="none" w:sz="0" w:space="0" w:color="auto"/>
                    <w:left w:val="none" w:sz="0" w:space="0" w:color="auto"/>
                    <w:bottom w:val="none" w:sz="0" w:space="0" w:color="auto"/>
                    <w:right w:val="none" w:sz="0" w:space="0" w:color="auto"/>
                  </w:divBdr>
                  <w:divsChild>
                    <w:div w:id="106000815">
                      <w:marLeft w:val="0"/>
                      <w:marRight w:val="0"/>
                      <w:marTop w:val="0"/>
                      <w:marBottom w:val="0"/>
                      <w:divBdr>
                        <w:top w:val="none" w:sz="0" w:space="0" w:color="auto"/>
                        <w:left w:val="none" w:sz="0" w:space="0" w:color="auto"/>
                        <w:bottom w:val="none" w:sz="0" w:space="0" w:color="auto"/>
                        <w:right w:val="none" w:sz="0" w:space="0" w:color="auto"/>
                      </w:divBdr>
                      <w:divsChild>
                        <w:div w:id="1864977513">
                          <w:marLeft w:val="0"/>
                          <w:marRight w:val="0"/>
                          <w:marTop w:val="0"/>
                          <w:marBottom w:val="0"/>
                          <w:divBdr>
                            <w:top w:val="none" w:sz="0" w:space="0" w:color="auto"/>
                            <w:left w:val="none" w:sz="0" w:space="0" w:color="auto"/>
                            <w:bottom w:val="none" w:sz="0" w:space="0" w:color="auto"/>
                            <w:right w:val="none" w:sz="0" w:space="0" w:color="auto"/>
                          </w:divBdr>
                          <w:divsChild>
                            <w:div w:id="57901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961121">
      <w:bodyDiv w:val="1"/>
      <w:marLeft w:val="0"/>
      <w:marRight w:val="0"/>
      <w:marTop w:val="0"/>
      <w:marBottom w:val="0"/>
      <w:divBdr>
        <w:top w:val="none" w:sz="0" w:space="0" w:color="auto"/>
        <w:left w:val="none" w:sz="0" w:space="0" w:color="auto"/>
        <w:bottom w:val="none" w:sz="0" w:space="0" w:color="auto"/>
        <w:right w:val="none" w:sz="0" w:space="0" w:color="auto"/>
      </w:divBdr>
      <w:divsChild>
        <w:div w:id="987439551">
          <w:marLeft w:val="0"/>
          <w:marRight w:val="0"/>
          <w:marTop w:val="0"/>
          <w:marBottom w:val="0"/>
          <w:divBdr>
            <w:top w:val="none" w:sz="0" w:space="0" w:color="auto"/>
            <w:left w:val="none" w:sz="0" w:space="0" w:color="auto"/>
            <w:bottom w:val="none" w:sz="0" w:space="0" w:color="auto"/>
            <w:right w:val="none" w:sz="0" w:space="0" w:color="auto"/>
          </w:divBdr>
          <w:divsChild>
            <w:div w:id="1057633959">
              <w:marLeft w:val="0"/>
              <w:marRight w:val="0"/>
              <w:marTop w:val="0"/>
              <w:marBottom w:val="0"/>
              <w:divBdr>
                <w:top w:val="none" w:sz="0" w:space="0" w:color="auto"/>
                <w:left w:val="none" w:sz="0" w:space="0" w:color="auto"/>
                <w:bottom w:val="none" w:sz="0" w:space="0" w:color="auto"/>
                <w:right w:val="none" w:sz="0" w:space="0" w:color="auto"/>
              </w:divBdr>
              <w:divsChild>
                <w:div w:id="1346396001">
                  <w:marLeft w:val="0"/>
                  <w:marRight w:val="0"/>
                  <w:marTop w:val="0"/>
                  <w:marBottom w:val="0"/>
                  <w:divBdr>
                    <w:top w:val="none" w:sz="0" w:space="0" w:color="auto"/>
                    <w:left w:val="none" w:sz="0" w:space="0" w:color="auto"/>
                    <w:bottom w:val="none" w:sz="0" w:space="0" w:color="auto"/>
                    <w:right w:val="none" w:sz="0" w:space="0" w:color="auto"/>
                  </w:divBdr>
                  <w:divsChild>
                    <w:div w:id="479006413">
                      <w:marLeft w:val="0"/>
                      <w:marRight w:val="0"/>
                      <w:marTop w:val="0"/>
                      <w:marBottom w:val="0"/>
                      <w:divBdr>
                        <w:top w:val="none" w:sz="0" w:space="0" w:color="auto"/>
                        <w:left w:val="none" w:sz="0" w:space="0" w:color="auto"/>
                        <w:bottom w:val="none" w:sz="0" w:space="0" w:color="auto"/>
                        <w:right w:val="none" w:sz="0" w:space="0" w:color="auto"/>
                      </w:divBdr>
                      <w:divsChild>
                        <w:div w:id="788474033">
                          <w:marLeft w:val="0"/>
                          <w:marRight w:val="0"/>
                          <w:marTop w:val="0"/>
                          <w:marBottom w:val="0"/>
                          <w:divBdr>
                            <w:top w:val="none" w:sz="0" w:space="0" w:color="auto"/>
                            <w:left w:val="none" w:sz="0" w:space="0" w:color="auto"/>
                            <w:bottom w:val="none" w:sz="0" w:space="0" w:color="auto"/>
                            <w:right w:val="none" w:sz="0" w:space="0" w:color="auto"/>
                          </w:divBdr>
                          <w:divsChild>
                            <w:div w:id="40876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727638">
      <w:bodyDiv w:val="1"/>
      <w:marLeft w:val="0"/>
      <w:marRight w:val="0"/>
      <w:marTop w:val="0"/>
      <w:marBottom w:val="0"/>
      <w:divBdr>
        <w:top w:val="none" w:sz="0" w:space="0" w:color="auto"/>
        <w:left w:val="none" w:sz="0" w:space="0" w:color="auto"/>
        <w:bottom w:val="none" w:sz="0" w:space="0" w:color="auto"/>
        <w:right w:val="none" w:sz="0" w:space="0" w:color="auto"/>
      </w:divBdr>
      <w:divsChild>
        <w:div w:id="89202731">
          <w:marLeft w:val="0"/>
          <w:marRight w:val="0"/>
          <w:marTop w:val="0"/>
          <w:marBottom w:val="0"/>
          <w:divBdr>
            <w:top w:val="none" w:sz="0" w:space="0" w:color="auto"/>
            <w:left w:val="none" w:sz="0" w:space="0" w:color="auto"/>
            <w:bottom w:val="none" w:sz="0" w:space="0" w:color="auto"/>
            <w:right w:val="none" w:sz="0" w:space="0" w:color="auto"/>
          </w:divBdr>
          <w:divsChild>
            <w:div w:id="997001517">
              <w:marLeft w:val="0"/>
              <w:marRight w:val="0"/>
              <w:marTop w:val="0"/>
              <w:marBottom w:val="0"/>
              <w:divBdr>
                <w:top w:val="none" w:sz="0" w:space="0" w:color="auto"/>
                <w:left w:val="none" w:sz="0" w:space="0" w:color="auto"/>
                <w:bottom w:val="none" w:sz="0" w:space="0" w:color="auto"/>
                <w:right w:val="none" w:sz="0" w:space="0" w:color="auto"/>
              </w:divBdr>
              <w:divsChild>
                <w:div w:id="128397887">
                  <w:marLeft w:val="0"/>
                  <w:marRight w:val="0"/>
                  <w:marTop w:val="0"/>
                  <w:marBottom w:val="0"/>
                  <w:divBdr>
                    <w:top w:val="none" w:sz="0" w:space="0" w:color="auto"/>
                    <w:left w:val="none" w:sz="0" w:space="0" w:color="auto"/>
                    <w:bottom w:val="none" w:sz="0" w:space="0" w:color="auto"/>
                    <w:right w:val="none" w:sz="0" w:space="0" w:color="auto"/>
                  </w:divBdr>
                  <w:divsChild>
                    <w:div w:id="248347807">
                      <w:marLeft w:val="0"/>
                      <w:marRight w:val="0"/>
                      <w:marTop w:val="0"/>
                      <w:marBottom w:val="0"/>
                      <w:divBdr>
                        <w:top w:val="none" w:sz="0" w:space="0" w:color="auto"/>
                        <w:left w:val="none" w:sz="0" w:space="0" w:color="auto"/>
                        <w:bottom w:val="none" w:sz="0" w:space="0" w:color="auto"/>
                        <w:right w:val="none" w:sz="0" w:space="0" w:color="auto"/>
                      </w:divBdr>
                      <w:divsChild>
                        <w:div w:id="274824414">
                          <w:marLeft w:val="0"/>
                          <w:marRight w:val="0"/>
                          <w:marTop w:val="0"/>
                          <w:marBottom w:val="0"/>
                          <w:divBdr>
                            <w:top w:val="none" w:sz="0" w:space="0" w:color="auto"/>
                            <w:left w:val="none" w:sz="0" w:space="0" w:color="auto"/>
                            <w:bottom w:val="none" w:sz="0" w:space="0" w:color="auto"/>
                            <w:right w:val="none" w:sz="0" w:space="0" w:color="auto"/>
                          </w:divBdr>
                          <w:divsChild>
                            <w:div w:id="32069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09689">
      <w:bodyDiv w:val="1"/>
      <w:marLeft w:val="0"/>
      <w:marRight w:val="0"/>
      <w:marTop w:val="0"/>
      <w:marBottom w:val="0"/>
      <w:divBdr>
        <w:top w:val="none" w:sz="0" w:space="0" w:color="auto"/>
        <w:left w:val="none" w:sz="0" w:space="0" w:color="auto"/>
        <w:bottom w:val="none" w:sz="0" w:space="0" w:color="auto"/>
        <w:right w:val="none" w:sz="0" w:space="0" w:color="auto"/>
      </w:divBdr>
      <w:divsChild>
        <w:div w:id="551506497">
          <w:marLeft w:val="0"/>
          <w:marRight w:val="0"/>
          <w:marTop w:val="0"/>
          <w:marBottom w:val="0"/>
          <w:divBdr>
            <w:top w:val="none" w:sz="0" w:space="0" w:color="auto"/>
            <w:left w:val="none" w:sz="0" w:space="0" w:color="auto"/>
            <w:bottom w:val="none" w:sz="0" w:space="0" w:color="auto"/>
            <w:right w:val="none" w:sz="0" w:space="0" w:color="auto"/>
          </w:divBdr>
          <w:divsChild>
            <w:div w:id="1849519419">
              <w:marLeft w:val="0"/>
              <w:marRight w:val="0"/>
              <w:marTop w:val="0"/>
              <w:marBottom w:val="0"/>
              <w:divBdr>
                <w:top w:val="none" w:sz="0" w:space="0" w:color="auto"/>
                <w:left w:val="none" w:sz="0" w:space="0" w:color="auto"/>
                <w:bottom w:val="none" w:sz="0" w:space="0" w:color="auto"/>
                <w:right w:val="none" w:sz="0" w:space="0" w:color="auto"/>
              </w:divBdr>
              <w:divsChild>
                <w:div w:id="1164400085">
                  <w:marLeft w:val="0"/>
                  <w:marRight w:val="0"/>
                  <w:marTop w:val="0"/>
                  <w:marBottom w:val="0"/>
                  <w:divBdr>
                    <w:top w:val="none" w:sz="0" w:space="0" w:color="auto"/>
                    <w:left w:val="none" w:sz="0" w:space="0" w:color="auto"/>
                    <w:bottom w:val="none" w:sz="0" w:space="0" w:color="auto"/>
                    <w:right w:val="none" w:sz="0" w:space="0" w:color="auto"/>
                  </w:divBdr>
                  <w:divsChild>
                    <w:div w:id="771585918">
                      <w:marLeft w:val="0"/>
                      <w:marRight w:val="0"/>
                      <w:marTop w:val="0"/>
                      <w:marBottom w:val="0"/>
                      <w:divBdr>
                        <w:top w:val="none" w:sz="0" w:space="0" w:color="auto"/>
                        <w:left w:val="none" w:sz="0" w:space="0" w:color="auto"/>
                        <w:bottom w:val="none" w:sz="0" w:space="0" w:color="auto"/>
                        <w:right w:val="none" w:sz="0" w:space="0" w:color="auto"/>
                      </w:divBdr>
                      <w:divsChild>
                        <w:div w:id="990788296">
                          <w:marLeft w:val="0"/>
                          <w:marRight w:val="0"/>
                          <w:marTop w:val="0"/>
                          <w:marBottom w:val="0"/>
                          <w:divBdr>
                            <w:top w:val="none" w:sz="0" w:space="0" w:color="auto"/>
                            <w:left w:val="none" w:sz="0" w:space="0" w:color="auto"/>
                            <w:bottom w:val="none" w:sz="0" w:space="0" w:color="auto"/>
                            <w:right w:val="none" w:sz="0" w:space="0" w:color="auto"/>
                          </w:divBdr>
                          <w:divsChild>
                            <w:div w:id="174884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284213">
          <w:marLeft w:val="0"/>
          <w:marRight w:val="0"/>
          <w:marTop w:val="0"/>
          <w:marBottom w:val="0"/>
          <w:divBdr>
            <w:top w:val="none" w:sz="0" w:space="0" w:color="auto"/>
            <w:left w:val="none" w:sz="0" w:space="0" w:color="auto"/>
            <w:bottom w:val="none" w:sz="0" w:space="0" w:color="auto"/>
            <w:right w:val="none" w:sz="0" w:space="0" w:color="auto"/>
          </w:divBdr>
          <w:divsChild>
            <w:div w:id="246110993">
              <w:marLeft w:val="0"/>
              <w:marRight w:val="0"/>
              <w:marTop w:val="0"/>
              <w:marBottom w:val="0"/>
              <w:divBdr>
                <w:top w:val="none" w:sz="0" w:space="0" w:color="auto"/>
                <w:left w:val="none" w:sz="0" w:space="0" w:color="auto"/>
                <w:bottom w:val="none" w:sz="0" w:space="0" w:color="auto"/>
                <w:right w:val="none" w:sz="0" w:space="0" w:color="auto"/>
              </w:divBdr>
              <w:divsChild>
                <w:div w:id="1454447932">
                  <w:marLeft w:val="0"/>
                  <w:marRight w:val="0"/>
                  <w:marTop w:val="0"/>
                  <w:marBottom w:val="0"/>
                  <w:divBdr>
                    <w:top w:val="none" w:sz="0" w:space="0" w:color="auto"/>
                    <w:left w:val="none" w:sz="0" w:space="0" w:color="auto"/>
                    <w:bottom w:val="none" w:sz="0" w:space="0" w:color="auto"/>
                    <w:right w:val="none" w:sz="0" w:space="0" w:color="auto"/>
                  </w:divBdr>
                  <w:divsChild>
                    <w:div w:id="1161312883">
                      <w:marLeft w:val="0"/>
                      <w:marRight w:val="0"/>
                      <w:marTop w:val="0"/>
                      <w:marBottom w:val="0"/>
                      <w:divBdr>
                        <w:top w:val="none" w:sz="0" w:space="0" w:color="auto"/>
                        <w:left w:val="none" w:sz="0" w:space="0" w:color="auto"/>
                        <w:bottom w:val="none" w:sz="0" w:space="0" w:color="auto"/>
                        <w:right w:val="none" w:sz="0" w:space="0" w:color="auto"/>
                      </w:divBdr>
                      <w:divsChild>
                        <w:div w:id="1131827264">
                          <w:marLeft w:val="0"/>
                          <w:marRight w:val="0"/>
                          <w:marTop w:val="0"/>
                          <w:marBottom w:val="0"/>
                          <w:divBdr>
                            <w:top w:val="none" w:sz="0" w:space="0" w:color="auto"/>
                            <w:left w:val="none" w:sz="0" w:space="0" w:color="auto"/>
                            <w:bottom w:val="none" w:sz="0" w:space="0" w:color="auto"/>
                            <w:right w:val="none" w:sz="0" w:space="0" w:color="auto"/>
                          </w:divBdr>
                          <w:divsChild>
                            <w:div w:id="77498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823710">
      <w:bodyDiv w:val="1"/>
      <w:marLeft w:val="0"/>
      <w:marRight w:val="0"/>
      <w:marTop w:val="0"/>
      <w:marBottom w:val="0"/>
      <w:divBdr>
        <w:top w:val="none" w:sz="0" w:space="0" w:color="auto"/>
        <w:left w:val="none" w:sz="0" w:space="0" w:color="auto"/>
        <w:bottom w:val="none" w:sz="0" w:space="0" w:color="auto"/>
        <w:right w:val="none" w:sz="0" w:space="0" w:color="auto"/>
      </w:divBdr>
      <w:divsChild>
        <w:div w:id="290405782">
          <w:marLeft w:val="0"/>
          <w:marRight w:val="0"/>
          <w:marTop w:val="0"/>
          <w:marBottom w:val="0"/>
          <w:divBdr>
            <w:top w:val="none" w:sz="0" w:space="0" w:color="auto"/>
            <w:left w:val="none" w:sz="0" w:space="0" w:color="auto"/>
            <w:bottom w:val="none" w:sz="0" w:space="0" w:color="auto"/>
            <w:right w:val="none" w:sz="0" w:space="0" w:color="auto"/>
          </w:divBdr>
          <w:divsChild>
            <w:div w:id="1907959744">
              <w:marLeft w:val="0"/>
              <w:marRight w:val="0"/>
              <w:marTop w:val="0"/>
              <w:marBottom w:val="0"/>
              <w:divBdr>
                <w:top w:val="none" w:sz="0" w:space="0" w:color="auto"/>
                <w:left w:val="none" w:sz="0" w:space="0" w:color="auto"/>
                <w:bottom w:val="none" w:sz="0" w:space="0" w:color="auto"/>
                <w:right w:val="none" w:sz="0" w:space="0" w:color="auto"/>
              </w:divBdr>
              <w:divsChild>
                <w:div w:id="836069763">
                  <w:marLeft w:val="0"/>
                  <w:marRight w:val="0"/>
                  <w:marTop w:val="0"/>
                  <w:marBottom w:val="0"/>
                  <w:divBdr>
                    <w:top w:val="none" w:sz="0" w:space="0" w:color="auto"/>
                    <w:left w:val="none" w:sz="0" w:space="0" w:color="auto"/>
                    <w:bottom w:val="none" w:sz="0" w:space="0" w:color="auto"/>
                    <w:right w:val="none" w:sz="0" w:space="0" w:color="auto"/>
                  </w:divBdr>
                  <w:divsChild>
                    <w:div w:id="109738497">
                      <w:marLeft w:val="0"/>
                      <w:marRight w:val="0"/>
                      <w:marTop w:val="0"/>
                      <w:marBottom w:val="0"/>
                      <w:divBdr>
                        <w:top w:val="none" w:sz="0" w:space="0" w:color="auto"/>
                        <w:left w:val="none" w:sz="0" w:space="0" w:color="auto"/>
                        <w:bottom w:val="none" w:sz="0" w:space="0" w:color="auto"/>
                        <w:right w:val="none" w:sz="0" w:space="0" w:color="auto"/>
                      </w:divBdr>
                      <w:divsChild>
                        <w:div w:id="299847115">
                          <w:marLeft w:val="0"/>
                          <w:marRight w:val="0"/>
                          <w:marTop w:val="0"/>
                          <w:marBottom w:val="0"/>
                          <w:divBdr>
                            <w:top w:val="none" w:sz="0" w:space="0" w:color="auto"/>
                            <w:left w:val="none" w:sz="0" w:space="0" w:color="auto"/>
                            <w:bottom w:val="none" w:sz="0" w:space="0" w:color="auto"/>
                            <w:right w:val="none" w:sz="0" w:space="0" w:color="auto"/>
                          </w:divBdr>
                          <w:divsChild>
                            <w:div w:id="40064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549837">
      <w:bodyDiv w:val="1"/>
      <w:marLeft w:val="0"/>
      <w:marRight w:val="0"/>
      <w:marTop w:val="0"/>
      <w:marBottom w:val="0"/>
      <w:divBdr>
        <w:top w:val="none" w:sz="0" w:space="0" w:color="auto"/>
        <w:left w:val="none" w:sz="0" w:space="0" w:color="auto"/>
        <w:bottom w:val="none" w:sz="0" w:space="0" w:color="auto"/>
        <w:right w:val="none" w:sz="0" w:space="0" w:color="auto"/>
      </w:divBdr>
      <w:divsChild>
        <w:div w:id="880635947">
          <w:marLeft w:val="0"/>
          <w:marRight w:val="0"/>
          <w:marTop w:val="0"/>
          <w:marBottom w:val="0"/>
          <w:divBdr>
            <w:top w:val="none" w:sz="0" w:space="0" w:color="auto"/>
            <w:left w:val="none" w:sz="0" w:space="0" w:color="auto"/>
            <w:bottom w:val="none" w:sz="0" w:space="0" w:color="auto"/>
            <w:right w:val="none" w:sz="0" w:space="0" w:color="auto"/>
          </w:divBdr>
          <w:divsChild>
            <w:div w:id="2039115108">
              <w:marLeft w:val="0"/>
              <w:marRight w:val="0"/>
              <w:marTop w:val="0"/>
              <w:marBottom w:val="0"/>
              <w:divBdr>
                <w:top w:val="none" w:sz="0" w:space="0" w:color="auto"/>
                <w:left w:val="none" w:sz="0" w:space="0" w:color="auto"/>
                <w:bottom w:val="none" w:sz="0" w:space="0" w:color="auto"/>
                <w:right w:val="none" w:sz="0" w:space="0" w:color="auto"/>
              </w:divBdr>
              <w:divsChild>
                <w:div w:id="1787121472">
                  <w:marLeft w:val="0"/>
                  <w:marRight w:val="0"/>
                  <w:marTop w:val="0"/>
                  <w:marBottom w:val="0"/>
                  <w:divBdr>
                    <w:top w:val="none" w:sz="0" w:space="0" w:color="auto"/>
                    <w:left w:val="none" w:sz="0" w:space="0" w:color="auto"/>
                    <w:bottom w:val="none" w:sz="0" w:space="0" w:color="auto"/>
                    <w:right w:val="none" w:sz="0" w:space="0" w:color="auto"/>
                  </w:divBdr>
                  <w:divsChild>
                    <w:div w:id="1444612953">
                      <w:marLeft w:val="0"/>
                      <w:marRight w:val="0"/>
                      <w:marTop w:val="0"/>
                      <w:marBottom w:val="0"/>
                      <w:divBdr>
                        <w:top w:val="none" w:sz="0" w:space="0" w:color="auto"/>
                        <w:left w:val="none" w:sz="0" w:space="0" w:color="auto"/>
                        <w:bottom w:val="none" w:sz="0" w:space="0" w:color="auto"/>
                        <w:right w:val="none" w:sz="0" w:space="0" w:color="auto"/>
                      </w:divBdr>
                      <w:divsChild>
                        <w:div w:id="219828826">
                          <w:marLeft w:val="0"/>
                          <w:marRight w:val="0"/>
                          <w:marTop w:val="0"/>
                          <w:marBottom w:val="0"/>
                          <w:divBdr>
                            <w:top w:val="none" w:sz="0" w:space="0" w:color="auto"/>
                            <w:left w:val="none" w:sz="0" w:space="0" w:color="auto"/>
                            <w:bottom w:val="none" w:sz="0" w:space="0" w:color="auto"/>
                            <w:right w:val="none" w:sz="0" w:space="0" w:color="auto"/>
                          </w:divBdr>
                          <w:divsChild>
                            <w:div w:id="189080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3843">
      <w:bodyDiv w:val="1"/>
      <w:marLeft w:val="0"/>
      <w:marRight w:val="0"/>
      <w:marTop w:val="0"/>
      <w:marBottom w:val="0"/>
      <w:divBdr>
        <w:top w:val="none" w:sz="0" w:space="0" w:color="auto"/>
        <w:left w:val="none" w:sz="0" w:space="0" w:color="auto"/>
        <w:bottom w:val="none" w:sz="0" w:space="0" w:color="auto"/>
        <w:right w:val="none" w:sz="0" w:space="0" w:color="auto"/>
      </w:divBdr>
      <w:divsChild>
        <w:div w:id="598762081">
          <w:marLeft w:val="0"/>
          <w:marRight w:val="0"/>
          <w:marTop w:val="0"/>
          <w:marBottom w:val="0"/>
          <w:divBdr>
            <w:top w:val="none" w:sz="0" w:space="0" w:color="auto"/>
            <w:left w:val="none" w:sz="0" w:space="0" w:color="auto"/>
            <w:bottom w:val="none" w:sz="0" w:space="0" w:color="auto"/>
            <w:right w:val="none" w:sz="0" w:space="0" w:color="auto"/>
          </w:divBdr>
          <w:divsChild>
            <w:div w:id="556014034">
              <w:marLeft w:val="0"/>
              <w:marRight w:val="0"/>
              <w:marTop w:val="0"/>
              <w:marBottom w:val="0"/>
              <w:divBdr>
                <w:top w:val="none" w:sz="0" w:space="0" w:color="auto"/>
                <w:left w:val="none" w:sz="0" w:space="0" w:color="auto"/>
                <w:bottom w:val="none" w:sz="0" w:space="0" w:color="auto"/>
                <w:right w:val="none" w:sz="0" w:space="0" w:color="auto"/>
              </w:divBdr>
              <w:divsChild>
                <w:div w:id="1768892486">
                  <w:marLeft w:val="0"/>
                  <w:marRight w:val="0"/>
                  <w:marTop w:val="0"/>
                  <w:marBottom w:val="0"/>
                  <w:divBdr>
                    <w:top w:val="none" w:sz="0" w:space="0" w:color="auto"/>
                    <w:left w:val="none" w:sz="0" w:space="0" w:color="auto"/>
                    <w:bottom w:val="none" w:sz="0" w:space="0" w:color="auto"/>
                    <w:right w:val="none" w:sz="0" w:space="0" w:color="auto"/>
                  </w:divBdr>
                  <w:divsChild>
                    <w:div w:id="2112894689">
                      <w:marLeft w:val="0"/>
                      <w:marRight w:val="0"/>
                      <w:marTop w:val="0"/>
                      <w:marBottom w:val="0"/>
                      <w:divBdr>
                        <w:top w:val="none" w:sz="0" w:space="0" w:color="auto"/>
                        <w:left w:val="none" w:sz="0" w:space="0" w:color="auto"/>
                        <w:bottom w:val="none" w:sz="0" w:space="0" w:color="auto"/>
                        <w:right w:val="none" w:sz="0" w:space="0" w:color="auto"/>
                      </w:divBdr>
                      <w:divsChild>
                        <w:div w:id="1767458701">
                          <w:marLeft w:val="0"/>
                          <w:marRight w:val="0"/>
                          <w:marTop w:val="0"/>
                          <w:marBottom w:val="0"/>
                          <w:divBdr>
                            <w:top w:val="none" w:sz="0" w:space="0" w:color="auto"/>
                            <w:left w:val="none" w:sz="0" w:space="0" w:color="auto"/>
                            <w:bottom w:val="none" w:sz="0" w:space="0" w:color="auto"/>
                            <w:right w:val="none" w:sz="0" w:space="0" w:color="auto"/>
                          </w:divBdr>
                          <w:divsChild>
                            <w:div w:id="63996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965149">
      <w:bodyDiv w:val="1"/>
      <w:marLeft w:val="0"/>
      <w:marRight w:val="0"/>
      <w:marTop w:val="0"/>
      <w:marBottom w:val="0"/>
      <w:divBdr>
        <w:top w:val="none" w:sz="0" w:space="0" w:color="auto"/>
        <w:left w:val="none" w:sz="0" w:space="0" w:color="auto"/>
        <w:bottom w:val="none" w:sz="0" w:space="0" w:color="auto"/>
        <w:right w:val="none" w:sz="0" w:space="0" w:color="auto"/>
      </w:divBdr>
      <w:divsChild>
        <w:div w:id="467627005">
          <w:marLeft w:val="0"/>
          <w:marRight w:val="0"/>
          <w:marTop w:val="0"/>
          <w:marBottom w:val="0"/>
          <w:divBdr>
            <w:top w:val="none" w:sz="0" w:space="0" w:color="auto"/>
            <w:left w:val="none" w:sz="0" w:space="0" w:color="auto"/>
            <w:bottom w:val="none" w:sz="0" w:space="0" w:color="auto"/>
            <w:right w:val="none" w:sz="0" w:space="0" w:color="auto"/>
          </w:divBdr>
          <w:divsChild>
            <w:div w:id="597906602">
              <w:marLeft w:val="0"/>
              <w:marRight w:val="0"/>
              <w:marTop w:val="0"/>
              <w:marBottom w:val="0"/>
              <w:divBdr>
                <w:top w:val="none" w:sz="0" w:space="0" w:color="auto"/>
                <w:left w:val="none" w:sz="0" w:space="0" w:color="auto"/>
                <w:bottom w:val="none" w:sz="0" w:space="0" w:color="auto"/>
                <w:right w:val="none" w:sz="0" w:space="0" w:color="auto"/>
              </w:divBdr>
              <w:divsChild>
                <w:div w:id="1807627035">
                  <w:marLeft w:val="0"/>
                  <w:marRight w:val="0"/>
                  <w:marTop w:val="0"/>
                  <w:marBottom w:val="0"/>
                  <w:divBdr>
                    <w:top w:val="none" w:sz="0" w:space="0" w:color="auto"/>
                    <w:left w:val="none" w:sz="0" w:space="0" w:color="auto"/>
                    <w:bottom w:val="none" w:sz="0" w:space="0" w:color="auto"/>
                    <w:right w:val="none" w:sz="0" w:space="0" w:color="auto"/>
                  </w:divBdr>
                  <w:divsChild>
                    <w:div w:id="289896249">
                      <w:marLeft w:val="0"/>
                      <w:marRight w:val="0"/>
                      <w:marTop w:val="0"/>
                      <w:marBottom w:val="0"/>
                      <w:divBdr>
                        <w:top w:val="none" w:sz="0" w:space="0" w:color="auto"/>
                        <w:left w:val="none" w:sz="0" w:space="0" w:color="auto"/>
                        <w:bottom w:val="none" w:sz="0" w:space="0" w:color="auto"/>
                        <w:right w:val="none" w:sz="0" w:space="0" w:color="auto"/>
                      </w:divBdr>
                      <w:divsChild>
                        <w:div w:id="1589775001">
                          <w:marLeft w:val="0"/>
                          <w:marRight w:val="0"/>
                          <w:marTop w:val="0"/>
                          <w:marBottom w:val="0"/>
                          <w:divBdr>
                            <w:top w:val="none" w:sz="0" w:space="0" w:color="auto"/>
                            <w:left w:val="none" w:sz="0" w:space="0" w:color="auto"/>
                            <w:bottom w:val="none" w:sz="0" w:space="0" w:color="auto"/>
                            <w:right w:val="none" w:sz="0" w:space="0" w:color="auto"/>
                          </w:divBdr>
                          <w:divsChild>
                            <w:div w:id="15137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743214">
          <w:marLeft w:val="0"/>
          <w:marRight w:val="0"/>
          <w:marTop w:val="0"/>
          <w:marBottom w:val="0"/>
          <w:divBdr>
            <w:top w:val="none" w:sz="0" w:space="0" w:color="auto"/>
            <w:left w:val="none" w:sz="0" w:space="0" w:color="auto"/>
            <w:bottom w:val="none" w:sz="0" w:space="0" w:color="auto"/>
            <w:right w:val="none" w:sz="0" w:space="0" w:color="auto"/>
          </w:divBdr>
          <w:divsChild>
            <w:div w:id="1412776219">
              <w:marLeft w:val="0"/>
              <w:marRight w:val="0"/>
              <w:marTop w:val="0"/>
              <w:marBottom w:val="0"/>
              <w:divBdr>
                <w:top w:val="none" w:sz="0" w:space="0" w:color="auto"/>
                <w:left w:val="none" w:sz="0" w:space="0" w:color="auto"/>
                <w:bottom w:val="none" w:sz="0" w:space="0" w:color="auto"/>
                <w:right w:val="none" w:sz="0" w:space="0" w:color="auto"/>
              </w:divBdr>
              <w:divsChild>
                <w:div w:id="1637904414">
                  <w:marLeft w:val="0"/>
                  <w:marRight w:val="0"/>
                  <w:marTop w:val="0"/>
                  <w:marBottom w:val="0"/>
                  <w:divBdr>
                    <w:top w:val="none" w:sz="0" w:space="0" w:color="auto"/>
                    <w:left w:val="none" w:sz="0" w:space="0" w:color="auto"/>
                    <w:bottom w:val="none" w:sz="0" w:space="0" w:color="auto"/>
                    <w:right w:val="none" w:sz="0" w:space="0" w:color="auto"/>
                  </w:divBdr>
                  <w:divsChild>
                    <w:div w:id="78529707">
                      <w:marLeft w:val="0"/>
                      <w:marRight w:val="0"/>
                      <w:marTop w:val="0"/>
                      <w:marBottom w:val="0"/>
                      <w:divBdr>
                        <w:top w:val="none" w:sz="0" w:space="0" w:color="auto"/>
                        <w:left w:val="none" w:sz="0" w:space="0" w:color="auto"/>
                        <w:bottom w:val="none" w:sz="0" w:space="0" w:color="auto"/>
                        <w:right w:val="none" w:sz="0" w:space="0" w:color="auto"/>
                      </w:divBdr>
                      <w:divsChild>
                        <w:div w:id="2030332048">
                          <w:marLeft w:val="0"/>
                          <w:marRight w:val="0"/>
                          <w:marTop w:val="0"/>
                          <w:marBottom w:val="0"/>
                          <w:divBdr>
                            <w:top w:val="none" w:sz="0" w:space="0" w:color="auto"/>
                            <w:left w:val="none" w:sz="0" w:space="0" w:color="auto"/>
                            <w:bottom w:val="none" w:sz="0" w:space="0" w:color="auto"/>
                            <w:right w:val="none" w:sz="0" w:space="0" w:color="auto"/>
                          </w:divBdr>
                          <w:divsChild>
                            <w:div w:id="20959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082628">
      <w:bodyDiv w:val="1"/>
      <w:marLeft w:val="0"/>
      <w:marRight w:val="0"/>
      <w:marTop w:val="0"/>
      <w:marBottom w:val="0"/>
      <w:divBdr>
        <w:top w:val="none" w:sz="0" w:space="0" w:color="auto"/>
        <w:left w:val="none" w:sz="0" w:space="0" w:color="auto"/>
        <w:bottom w:val="none" w:sz="0" w:space="0" w:color="auto"/>
        <w:right w:val="none" w:sz="0" w:space="0" w:color="auto"/>
      </w:divBdr>
      <w:divsChild>
        <w:div w:id="12266427">
          <w:marLeft w:val="0"/>
          <w:marRight w:val="0"/>
          <w:marTop w:val="0"/>
          <w:marBottom w:val="0"/>
          <w:divBdr>
            <w:top w:val="none" w:sz="0" w:space="0" w:color="auto"/>
            <w:left w:val="none" w:sz="0" w:space="0" w:color="auto"/>
            <w:bottom w:val="none" w:sz="0" w:space="0" w:color="auto"/>
            <w:right w:val="none" w:sz="0" w:space="0" w:color="auto"/>
          </w:divBdr>
          <w:divsChild>
            <w:div w:id="793402411">
              <w:marLeft w:val="0"/>
              <w:marRight w:val="0"/>
              <w:marTop w:val="0"/>
              <w:marBottom w:val="0"/>
              <w:divBdr>
                <w:top w:val="none" w:sz="0" w:space="0" w:color="auto"/>
                <w:left w:val="none" w:sz="0" w:space="0" w:color="auto"/>
                <w:bottom w:val="none" w:sz="0" w:space="0" w:color="auto"/>
                <w:right w:val="none" w:sz="0" w:space="0" w:color="auto"/>
              </w:divBdr>
              <w:divsChild>
                <w:div w:id="634457487">
                  <w:marLeft w:val="0"/>
                  <w:marRight w:val="0"/>
                  <w:marTop w:val="0"/>
                  <w:marBottom w:val="0"/>
                  <w:divBdr>
                    <w:top w:val="none" w:sz="0" w:space="0" w:color="auto"/>
                    <w:left w:val="none" w:sz="0" w:space="0" w:color="auto"/>
                    <w:bottom w:val="none" w:sz="0" w:space="0" w:color="auto"/>
                    <w:right w:val="none" w:sz="0" w:space="0" w:color="auto"/>
                  </w:divBdr>
                  <w:divsChild>
                    <w:div w:id="847670547">
                      <w:marLeft w:val="0"/>
                      <w:marRight w:val="0"/>
                      <w:marTop w:val="0"/>
                      <w:marBottom w:val="0"/>
                      <w:divBdr>
                        <w:top w:val="none" w:sz="0" w:space="0" w:color="auto"/>
                        <w:left w:val="none" w:sz="0" w:space="0" w:color="auto"/>
                        <w:bottom w:val="none" w:sz="0" w:space="0" w:color="auto"/>
                        <w:right w:val="none" w:sz="0" w:space="0" w:color="auto"/>
                      </w:divBdr>
                      <w:divsChild>
                        <w:div w:id="1335257267">
                          <w:marLeft w:val="0"/>
                          <w:marRight w:val="0"/>
                          <w:marTop w:val="0"/>
                          <w:marBottom w:val="0"/>
                          <w:divBdr>
                            <w:top w:val="none" w:sz="0" w:space="0" w:color="auto"/>
                            <w:left w:val="none" w:sz="0" w:space="0" w:color="auto"/>
                            <w:bottom w:val="none" w:sz="0" w:space="0" w:color="auto"/>
                            <w:right w:val="none" w:sz="0" w:space="0" w:color="auto"/>
                          </w:divBdr>
                          <w:divsChild>
                            <w:div w:id="20703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103194">
      <w:bodyDiv w:val="1"/>
      <w:marLeft w:val="0"/>
      <w:marRight w:val="0"/>
      <w:marTop w:val="0"/>
      <w:marBottom w:val="0"/>
      <w:divBdr>
        <w:top w:val="none" w:sz="0" w:space="0" w:color="auto"/>
        <w:left w:val="none" w:sz="0" w:space="0" w:color="auto"/>
        <w:bottom w:val="none" w:sz="0" w:space="0" w:color="auto"/>
        <w:right w:val="none" w:sz="0" w:space="0" w:color="auto"/>
      </w:divBdr>
      <w:divsChild>
        <w:div w:id="18626322">
          <w:marLeft w:val="0"/>
          <w:marRight w:val="0"/>
          <w:marTop w:val="0"/>
          <w:marBottom w:val="0"/>
          <w:divBdr>
            <w:top w:val="none" w:sz="0" w:space="0" w:color="auto"/>
            <w:left w:val="none" w:sz="0" w:space="0" w:color="auto"/>
            <w:bottom w:val="none" w:sz="0" w:space="0" w:color="auto"/>
            <w:right w:val="none" w:sz="0" w:space="0" w:color="auto"/>
          </w:divBdr>
          <w:divsChild>
            <w:div w:id="1429539020">
              <w:marLeft w:val="0"/>
              <w:marRight w:val="0"/>
              <w:marTop w:val="0"/>
              <w:marBottom w:val="0"/>
              <w:divBdr>
                <w:top w:val="none" w:sz="0" w:space="0" w:color="auto"/>
                <w:left w:val="none" w:sz="0" w:space="0" w:color="auto"/>
                <w:bottom w:val="none" w:sz="0" w:space="0" w:color="auto"/>
                <w:right w:val="none" w:sz="0" w:space="0" w:color="auto"/>
              </w:divBdr>
              <w:divsChild>
                <w:div w:id="672805223">
                  <w:marLeft w:val="0"/>
                  <w:marRight w:val="0"/>
                  <w:marTop w:val="0"/>
                  <w:marBottom w:val="0"/>
                  <w:divBdr>
                    <w:top w:val="none" w:sz="0" w:space="0" w:color="auto"/>
                    <w:left w:val="none" w:sz="0" w:space="0" w:color="auto"/>
                    <w:bottom w:val="none" w:sz="0" w:space="0" w:color="auto"/>
                    <w:right w:val="none" w:sz="0" w:space="0" w:color="auto"/>
                  </w:divBdr>
                  <w:divsChild>
                    <w:div w:id="1998916726">
                      <w:marLeft w:val="0"/>
                      <w:marRight w:val="0"/>
                      <w:marTop w:val="0"/>
                      <w:marBottom w:val="0"/>
                      <w:divBdr>
                        <w:top w:val="none" w:sz="0" w:space="0" w:color="auto"/>
                        <w:left w:val="none" w:sz="0" w:space="0" w:color="auto"/>
                        <w:bottom w:val="none" w:sz="0" w:space="0" w:color="auto"/>
                        <w:right w:val="none" w:sz="0" w:space="0" w:color="auto"/>
                      </w:divBdr>
                      <w:divsChild>
                        <w:div w:id="1568958758">
                          <w:marLeft w:val="0"/>
                          <w:marRight w:val="0"/>
                          <w:marTop w:val="0"/>
                          <w:marBottom w:val="0"/>
                          <w:divBdr>
                            <w:top w:val="none" w:sz="0" w:space="0" w:color="auto"/>
                            <w:left w:val="none" w:sz="0" w:space="0" w:color="auto"/>
                            <w:bottom w:val="none" w:sz="0" w:space="0" w:color="auto"/>
                            <w:right w:val="none" w:sz="0" w:space="0" w:color="auto"/>
                          </w:divBdr>
                          <w:divsChild>
                            <w:div w:id="150759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812054">
      <w:bodyDiv w:val="1"/>
      <w:marLeft w:val="0"/>
      <w:marRight w:val="0"/>
      <w:marTop w:val="0"/>
      <w:marBottom w:val="0"/>
      <w:divBdr>
        <w:top w:val="none" w:sz="0" w:space="0" w:color="auto"/>
        <w:left w:val="none" w:sz="0" w:space="0" w:color="auto"/>
        <w:bottom w:val="none" w:sz="0" w:space="0" w:color="auto"/>
        <w:right w:val="none" w:sz="0" w:space="0" w:color="auto"/>
      </w:divBdr>
      <w:divsChild>
        <w:div w:id="1113743038">
          <w:marLeft w:val="0"/>
          <w:marRight w:val="0"/>
          <w:marTop w:val="0"/>
          <w:marBottom w:val="0"/>
          <w:divBdr>
            <w:top w:val="none" w:sz="0" w:space="0" w:color="auto"/>
            <w:left w:val="none" w:sz="0" w:space="0" w:color="auto"/>
            <w:bottom w:val="none" w:sz="0" w:space="0" w:color="auto"/>
            <w:right w:val="none" w:sz="0" w:space="0" w:color="auto"/>
          </w:divBdr>
          <w:divsChild>
            <w:div w:id="1554803881">
              <w:marLeft w:val="0"/>
              <w:marRight w:val="0"/>
              <w:marTop w:val="0"/>
              <w:marBottom w:val="0"/>
              <w:divBdr>
                <w:top w:val="none" w:sz="0" w:space="0" w:color="auto"/>
                <w:left w:val="none" w:sz="0" w:space="0" w:color="auto"/>
                <w:bottom w:val="none" w:sz="0" w:space="0" w:color="auto"/>
                <w:right w:val="none" w:sz="0" w:space="0" w:color="auto"/>
              </w:divBdr>
              <w:divsChild>
                <w:div w:id="678432544">
                  <w:marLeft w:val="0"/>
                  <w:marRight w:val="0"/>
                  <w:marTop w:val="0"/>
                  <w:marBottom w:val="0"/>
                  <w:divBdr>
                    <w:top w:val="none" w:sz="0" w:space="0" w:color="auto"/>
                    <w:left w:val="none" w:sz="0" w:space="0" w:color="auto"/>
                    <w:bottom w:val="none" w:sz="0" w:space="0" w:color="auto"/>
                    <w:right w:val="none" w:sz="0" w:space="0" w:color="auto"/>
                  </w:divBdr>
                  <w:divsChild>
                    <w:div w:id="1798258173">
                      <w:marLeft w:val="0"/>
                      <w:marRight w:val="0"/>
                      <w:marTop w:val="0"/>
                      <w:marBottom w:val="0"/>
                      <w:divBdr>
                        <w:top w:val="none" w:sz="0" w:space="0" w:color="auto"/>
                        <w:left w:val="none" w:sz="0" w:space="0" w:color="auto"/>
                        <w:bottom w:val="none" w:sz="0" w:space="0" w:color="auto"/>
                        <w:right w:val="none" w:sz="0" w:space="0" w:color="auto"/>
                      </w:divBdr>
                      <w:divsChild>
                        <w:div w:id="1235510245">
                          <w:marLeft w:val="0"/>
                          <w:marRight w:val="0"/>
                          <w:marTop w:val="0"/>
                          <w:marBottom w:val="0"/>
                          <w:divBdr>
                            <w:top w:val="none" w:sz="0" w:space="0" w:color="auto"/>
                            <w:left w:val="none" w:sz="0" w:space="0" w:color="auto"/>
                            <w:bottom w:val="none" w:sz="0" w:space="0" w:color="auto"/>
                            <w:right w:val="none" w:sz="0" w:space="0" w:color="auto"/>
                          </w:divBdr>
                          <w:divsChild>
                            <w:div w:id="108226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116552">
      <w:bodyDiv w:val="1"/>
      <w:marLeft w:val="0"/>
      <w:marRight w:val="0"/>
      <w:marTop w:val="0"/>
      <w:marBottom w:val="0"/>
      <w:divBdr>
        <w:top w:val="none" w:sz="0" w:space="0" w:color="auto"/>
        <w:left w:val="none" w:sz="0" w:space="0" w:color="auto"/>
        <w:bottom w:val="none" w:sz="0" w:space="0" w:color="auto"/>
        <w:right w:val="none" w:sz="0" w:space="0" w:color="auto"/>
      </w:divBdr>
      <w:divsChild>
        <w:div w:id="43526858">
          <w:marLeft w:val="0"/>
          <w:marRight w:val="0"/>
          <w:marTop w:val="0"/>
          <w:marBottom w:val="0"/>
          <w:divBdr>
            <w:top w:val="none" w:sz="0" w:space="0" w:color="auto"/>
            <w:left w:val="none" w:sz="0" w:space="0" w:color="auto"/>
            <w:bottom w:val="none" w:sz="0" w:space="0" w:color="auto"/>
            <w:right w:val="none" w:sz="0" w:space="0" w:color="auto"/>
          </w:divBdr>
          <w:divsChild>
            <w:div w:id="986470256">
              <w:marLeft w:val="0"/>
              <w:marRight w:val="0"/>
              <w:marTop w:val="0"/>
              <w:marBottom w:val="0"/>
              <w:divBdr>
                <w:top w:val="none" w:sz="0" w:space="0" w:color="auto"/>
                <w:left w:val="none" w:sz="0" w:space="0" w:color="auto"/>
                <w:bottom w:val="none" w:sz="0" w:space="0" w:color="auto"/>
                <w:right w:val="none" w:sz="0" w:space="0" w:color="auto"/>
              </w:divBdr>
              <w:divsChild>
                <w:div w:id="1193373962">
                  <w:marLeft w:val="0"/>
                  <w:marRight w:val="0"/>
                  <w:marTop w:val="0"/>
                  <w:marBottom w:val="0"/>
                  <w:divBdr>
                    <w:top w:val="none" w:sz="0" w:space="0" w:color="auto"/>
                    <w:left w:val="none" w:sz="0" w:space="0" w:color="auto"/>
                    <w:bottom w:val="none" w:sz="0" w:space="0" w:color="auto"/>
                    <w:right w:val="none" w:sz="0" w:space="0" w:color="auto"/>
                  </w:divBdr>
                  <w:divsChild>
                    <w:div w:id="1037582816">
                      <w:marLeft w:val="0"/>
                      <w:marRight w:val="0"/>
                      <w:marTop w:val="0"/>
                      <w:marBottom w:val="0"/>
                      <w:divBdr>
                        <w:top w:val="none" w:sz="0" w:space="0" w:color="auto"/>
                        <w:left w:val="none" w:sz="0" w:space="0" w:color="auto"/>
                        <w:bottom w:val="none" w:sz="0" w:space="0" w:color="auto"/>
                        <w:right w:val="none" w:sz="0" w:space="0" w:color="auto"/>
                      </w:divBdr>
                      <w:divsChild>
                        <w:div w:id="1464880572">
                          <w:marLeft w:val="0"/>
                          <w:marRight w:val="0"/>
                          <w:marTop w:val="0"/>
                          <w:marBottom w:val="0"/>
                          <w:divBdr>
                            <w:top w:val="none" w:sz="0" w:space="0" w:color="auto"/>
                            <w:left w:val="none" w:sz="0" w:space="0" w:color="auto"/>
                            <w:bottom w:val="none" w:sz="0" w:space="0" w:color="auto"/>
                            <w:right w:val="none" w:sz="0" w:space="0" w:color="auto"/>
                          </w:divBdr>
                          <w:divsChild>
                            <w:div w:id="114585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431040">
          <w:marLeft w:val="0"/>
          <w:marRight w:val="0"/>
          <w:marTop w:val="0"/>
          <w:marBottom w:val="0"/>
          <w:divBdr>
            <w:top w:val="none" w:sz="0" w:space="0" w:color="auto"/>
            <w:left w:val="none" w:sz="0" w:space="0" w:color="auto"/>
            <w:bottom w:val="none" w:sz="0" w:space="0" w:color="auto"/>
            <w:right w:val="none" w:sz="0" w:space="0" w:color="auto"/>
          </w:divBdr>
          <w:divsChild>
            <w:div w:id="68774221">
              <w:marLeft w:val="0"/>
              <w:marRight w:val="0"/>
              <w:marTop w:val="0"/>
              <w:marBottom w:val="0"/>
              <w:divBdr>
                <w:top w:val="none" w:sz="0" w:space="0" w:color="auto"/>
                <w:left w:val="none" w:sz="0" w:space="0" w:color="auto"/>
                <w:bottom w:val="none" w:sz="0" w:space="0" w:color="auto"/>
                <w:right w:val="none" w:sz="0" w:space="0" w:color="auto"/>
              </w:divBdr>
              <w:divsChild>
                <w:div w:id="2134709373">
                  <w:marLeft w:val="0"/>
                  <w:marRight w:val="0"/>
                  <w:marTop w:val="0"/>
                  <w:marBottom w:val="0"/>
                  <w:divBdr>
                    <w:top w:val="none" w:sz="0" w:space="0" w:color="auto"/>
                    <w:left w:val="none" w:sz="0" w:space="0" w:color="auto"/>
                    <w:bottom w:val="none" w:sz="0" w:space="0" w:color="auto"/>
                    <w:right w:val="none" w:sz="0" w:space="0" w:color="auto"/>
                  </w:divBdr>
                  <w:divsChild>
                    <w:div w:id="283318831">
                      <w:marLeft w:val="0"/>
                      <w:marRight w:val="0"/>
                      <w:marTop w:val="0"/>
                      <w:marBottom w:val="0"/>
                      <w:divBdr>
                        <w:top w:val="none" w:sz="0" w:space="0" w:color="auto"/>
                        <w:left w:val="none" w:sz="0" w:space="0" w:color="auto"/>
                        <w:bottom w:val="none" w:sz="0" w:space="0" w:color="auto"/>
                        <w:right w:val="none" w:sz="0" w:space="0" w:color="auto"/>
                      </w:divBdr>
                      <w:divsChild>
                        <w:div w:id="1303271227">
                          <w:marLeft w:val="0"/>
                          <w:marRight w:val="0"/>
                          <w:marTop w:val="0"/>
                          <w:marBottom w:val="0"/>
                          <w:divBdr>
                            <w:top w:val="none" w:sz="0" w:space="0" w:color="auto"/>
                            <w:left w:val="none" w:sz="0" w:space="0" w:color="auto"/>
                            <w:bottom w:val="none" w:sz="0" w:space="0" w:color="auto"/>
                            <w:right w:val="none" w:sz="0" w:space="0" w:color="auto"/>
                          </w:divBdr>
                          <w:divsChild>
                            <w:div w:id="59521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932181">
      <w:bodyDiv w:val="1"/>
      <w:marLeft w:val="0"/>
      <w:marRight w:val="0"/>
      <w:marTop w:val="0"/>
      <w:marBottom w:val="0"/>
      <w:divBdr>
        <w:top w:val="none" w:sz="0" w:space="0" w:color="auto"/>
        <w:left w:val="none" w:sz="0" w:space="0" w:color="auto"/>
        <w:bottom w:val="none" w:sz="0" w:space="0" w:color="auto"/>
        <w:right w:val="none" w:sz="0" w:space="0" w:color="auto"/>
      </w:divBdr>
      <w:divsChild>
        <w:div w:id="1847788096">
          <w:marLeft w:val="0"/>
          <w:marRight w:val="0"/>
          <w:marTop w:val="0"/>
          <w:marBottom w:val="0"/>
          <w:divBdr>
            <w:top w:val="none" w:sz="0" w:space="0" w:color="auto"/>
            <w:left w:val="none" w:sz="0" w:space="0" w:color="auto"/>
            <w:bottom w:val="none" w:sz="0" w:space="0" w:color="auto"/>
            <w:right w:val="none" w:sz="0" w:space="0" w:color="auto"/>
          </w:divBdr>
          <w:divsChild>
            <w:div w:id="2118287298">
              <w:marLeft w:val="0"/>
              <w:marRight w:val="0"/>
              <w:marTop w:val="0"/>
              <w:marBottom w:val="0"/>
              <w:divBdr>
                <w:top w:val="none" w:sz="0" w:space="0" w:color="auto"/>
                <w:left w:val="none" w:sz="0" w:space="0" w:color="auto"/>
                <w:bottom w:val="none" w:sz="0" w:space="0" w:color="auto"/>
                <w:right w:val="none" w:sz="0" w:space="0" w:color="auto"/>
              </w:divBdr>
              <w:divsChild>
                <w:div w:id="596061561">
                  <w:marLeft w:val="0"/>
                  <w:marRight w:val="0"/>
                  <w:marTop w:val="0"/>
                  <w:marBottom w:val="0"/>
                  <w:divBdr>
                    <w:top w:val="none" w:sz="0" w:space="0" w:color="auto"/>
                    <w:left w:val="none" w:sz="0" w:space="0" w:color="auto"/>
                    <w:bottom w:val="none" w:sz="0" w:space="0" w:color="auto"/>
                    <w:right w:val="none" w:sz="0" w:space="0" w:color="auto"/>
                  </w:divBdr>
                  <w:divsChild>
                    <w:div w:id="1130519522">
                      <w:marLeft w:val="0"/>
                      <w:marRight w:val="0"/>
                      <w:marTop w:val="0"/>
                      <w:marBottom w:val="0"/>
                      <w:divBdr>
                        <w:top w:val="none" w:sz="0" w:space="0" w:color="auto"/>
                        <w:left w:val="none" w:sz="0" w:space="0" w:color="auto"/>
                        <w:bottom w:val="none" w:sz="0" w:space="0" w:color="auto"/>
                        <w:right w:val="none" w:sz="0" w:space="0" w:color="auto"/>
                      </w:divBdr>
                      <w:divsChild>
                        <w:div w:id="1350645862">
                          <w:marLeft w:val="0"/>
                          <w:marRight w:val="0"/>
                          <w:marTop w:val="0"/>
                          <w:marBottom w:val="0"/>
                          <w:divBdr>
                            <w:top w:val="none" w:sz="0" w:space="0" w:color="auto"/>
                            <w:left w:val="none" w:sz="0" w:space="0" w:color="auto"/>
                            <w:bottom w:val="none" w:sz="0" w:space="0" w:color="auto"/>
                            <w:right w:val="none" w:sz="0" w:space="0" w:color="auto"/>
                          </w:divBdr>
                          <w:divsChild>
                            <w:div w:id="11223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413186">
          <w:marLeft w:val="0"/>
          <w:marRight w:val="0"/>
          <w:marTop w:val="0"/>
          <w:marBottom w:val="0"/>
          <w:divBdr>
            <w:top w:val="none" w:sz="0" w:space="0" w:color="auto"/>
            <w:left w:val="none" w:sz="0" w:space="0" w:color="auto"/>
            <w:bottom w:val="none" w:sz="0" w:space="0" w:color="auto"/>
            <w:right w:val="none" w:sz="0" w:space="0" w:color="auto"/>
          </w:divBdr>
          <w:divsChild>
            <w:div w:id="1217813392">
              <w:marLeft w:val="0"/>
              <w:marRight w:val="0"/>
              <w:marTop w:val="0"/>
              <w:marBottom w:val="0"/>
              <w:divBdr>
                <w:top w:val="none" w:sz="0" w:space="0" w:color="auto"/>
                <w:left w:val="none" w:sz="0" w:space="0" w:color="auto"/>
                <w:bottom w:val="none" w:sz="0" w:space="0" w:color="auto"/>
                <w:right w:val="none" w:sz="0" w:space="0" w:color="auto"/>
              </w:divBdr>
              <w:divsChild>
                <w:div w:id="285888506">
                  <w:marLeft w:val="0"/>
                  <w:marRight w:val="0"/>
                  <w:marTop w:val="0"/>
                  <w:marBottom w:val="0"/>
                  <w:divBdr>
                    <w:top w:val="none" w:sz="0" w:space="0" w:color="auto"/>
                    <w:left w:val="none" w:sz="0" w:space="0" w:color="auto"/>
                    <w:bottom w:val="none" w:sz="0" w:space="0" w:color="auto"/>
                    <w:right w:val="none" w:sz="0" w:space="0" w:color="auto"/>
                  </w:divBdr>
                  <w:divsChild>
                    <w:div w:id="2071612462">
                      <w:marLeft w:val="0"/>
                      <w:marRight w:val="0"/>
                      <w:marTop w:val="0"/>
                      <w:marBottom w:val="0"/>
                      <w:divBdr>
                        <w:top w:val="none" w:sz="0" w:space="0" w:color="auto"/>
                        <w:left w:val="none" w:sz="0" w:space="0" w:color="auto"/>
                        <w:bottom w:val="none" w:sz="0" w:space="0" w:color="auto"/>
                        <w:right w:val="none" w:sz="0" w:space="0" w:color="auto"/>
                      </w:divBdr>
                      <w:divsChild>
                        <w:div w:id="1949968487">
                          <w:marLeft w:val="0"/>
                          <w:marRight w:val="0"/>
                          <w:marTop w:val="0"/>
                          <w:marBottom w:val="0"/>
                          <w:divBdr>
                            <w:top w:val="none" w:sz="0" w:space="0" w:color="auto"/>
                            <w:left w:val="none" w:sz="0" w:space="0" w:color="auto"/>
                            <w:bottom w:val="none" w:sz="0" w:space="0" w:color="auto"/>
                            <w:right w:val="none" w:sz="0" w:space="0" w:color="auto"/>
                          </w:divBdr>
                          <w:divsChild>
                            <w:div w:id="168651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641031">
      <w:bodyDiv w:val="1"/>
      <w:marLeft w:val="0"/>
      <w:marRight w:val="0"/>
      <w:marTop w:val="0"/>
      <w:marBottom w:val="0"/>
      <w:divBdr>
        <w:top w:val="none" w:sz="0" w:space="0" w:color="auto"/>
        <w:left w:val="none" w:sz="0" w:space="0" w:color="auto"/>
        <w:bottom w:val="none" w:sz="0" w:space="0" w:color="auto"/>
        <w:right w:val="none" w:sz="0" w:space="0" w:color="auto"/>
      </w:divBdr>
      <w:divsChild>
        <w:div w:id="464126673">
          <w:marLeft w:val="0"/>
          <w:marRight w:val="0"/>
          <w:marTop w:val="0"/>
          <w:marBottom w:val="0"/>
          <w:divBdr>
            <w:top w:val="none" w:sz="0" w:space="0" w:color="auto"/>
            <w:left w:val="none" w:sz="0" w:space="0" w:color="auto"/>
            <w:bottom w:val="none" w:sz="0" w:space="0" w:color="auto"/>
            <w:right w:val="none" w:sz="0" w:space="0" w:color="auto"/>
          </w:divBdr>
          <w:divsChild>
            <w:div w:id="1660697465">
              <w:marLeft w:val="0"/>
              <w:marRight w:val="0"/>
              <w:marTop w:val="0"/>
              <w:marBottom w:val="0"/>
              <w:divBdr>
                <w:top w:val="none" w:sz="0" w:space="0" w:color="auto"/>
                <w:left w:val="none" w:sz="0" w:space="0" w:color="auto"/>
                <w:bottom w:val="none" w:sz="0" w:space="0" w:color="auto"/>
                <w:right w:val="none" w:sz="0" w:space="0" w:color="auto"/>
              </w:divBdr>
              <w:divsChild>
                <w:div w:id="179055568">
                  <w:marLeft w:val="0"/>
                  <w:marRight w:val="0"/>
                  <w:marTop w:val="0"/>
                  <w:marBottom w:val="0"/>
                  <w:divBdr>
                    <w:top w:val="none" w:sz="0" w:space="0" w:color="auto"/>
                    <w:left w:val="none" w:sz="0" w:space="0" w:color="auto"/>
                    <w:bottom w:val="none" w:sz="0" w:space="0" w:color="auto"/>
                    <w:right w:val="none" w:sz="0" w:space="0" w:color="auto"/>
                  </w:divBdr>
                  <w:divsChild>
                    <w:div w:id="1308242958">
                      <w:marLeft w:val="0"/>
                      <w:marRight w:val="0"/>
                      <w:marTop w:val="0"/>
                      <w:marBottom w:val="0"/>
                      <w:divBdr>
                        <w:top w:val="none" w:sz="0" w:space="0" w:color="auto"/>
                        <w:left w:val="none" w:sz="0" w:space="0" w:color="auto"/>
                        <w:bottom w:val="none" w:sz="0" w:space="0" w:color="auto"/>
                        <w:right w:val="none" w:sz="0" w:space="0" w:color="auto"/>
                      </w:divBdr>
                      <w:divsChild>
                        <w:div w:id="848063918">
                          <w:marLeft w:val="0"/>
                          <w:marRight w:val="0"/>
                          <w:marTop w:val="0"/>
                          <w:marBottom w:val="0"/>
                          <w:divBdr>
                            <w:top w:val="none" w:sz="0" w:space="0" w:color="auto"/>
                            <w:left w:val="none" w:sz="0" w:space="0" w:color="auto"/>
                            <w:bottom w:val="none" w:sz="0" w:space="0" w:color="auto"/>
                            <w:right w:val="none" w:sz="0" w:space="0" w:color="auto"/>
                          </w:divBdr>
                          <w:divsChild>
                            <w:div w:id="734468856">
                              <w:marLeft w:val="0"/>
                              <w:marRight w:val="0"/>
                              <w:marTop w:val="0"/>
                              <w:marBottom w:val="0"/>
                              <w:divBdr>
                                <w:top w:val="none" w:sz="0" w:space="0" w:color="auto"/>
                                <w:left w:val="none" w:sz="0" w:space="0" w:color="auto"/>
                                <w:bottom w:val="none" w:sz="0" w:space="0" w:color="auto"/>
                                <w:right w:val="none" w:sz="0" w:space="0" w:color="auto"/>
                              </w:divBdr>
                              <w:divsChild>
                                <w:div w:id="334655847">
                                  <w:marLeft w:val="0"/>
                                  <w:marRight w:val="0"/>
                                  <w:marTop w:val="0"/>
                                  <w:marBottom w:val="0"/>
                                  <w:divBdr>
                                    <w:top w:val="none" w:sz="0" w:space="0" w:color="auto"/>
                                    <w:left w:val="none" w:sz="0" w:space="0" w:color="auto"/>
                                    <w:bottom w:val="none" w:sz="0" w:space="0" w:color="auto"/>
                                    <w:right w:val="none" w:sz="0" w:space="0" w:color="auto"/>
                                  </w:divBdr>
                                  <w:divsChild>
                                    <w:div w:id="775977896">
                                      <w:marLeft w:val="0"/>
                                      <w:marRight w:val="0"/>
                                      <w:marTop w:val="0"/>
                                      <w:marBottom w:val="0"/>
                                      <w:divBdr>
                                        <w:top w:val="none" w:sz="0" w:space="0" w:color="auto"/>
                                        <w:left w:val="none" w:sz="0" w:space="0" w:color="auto"/>
                                        <w:bottom w:val="none" w:sz="0" w:space="0" w:color="auto"/>
                                        <w:right w:val="none" w:sz="0" w:space="0" w:color="auto"/>
                                      </w:divBdr>
                                      <w:divsChild>
                                        <w:div w:id="787429201">
                                          <w:marLeft w:val="0"/>
                                          <w:marRight w:val="0"/>
                                          <w:marTop w:val="0"/>
                                          <w:marBottom w:val="0"/>
                                          <w:divBdr>
                                            <w:top w:val="none" w:sz="0" w:space="0" w:color="auto"/>
                                            <w:left w:val="none" w:sz="0" w:space="0" w:color="auto"/>
                                            <w:bottom w:val="none" w:sz="0" w:space="0" w:color="auto"/>
                                            <w:right w:val="none" w:sz="0" w:space="0" w:color="auto"/>
                                          </w:divBdr>
                                          <w:divsChild>
                                            <w:div w:id="771169690">
                                              <w:marLeft w:val="0"/>
                                              <w:marRight w:val="0"/>
                                              <w:marTop w:val="0"/>
                                              <w:marBottom w:val="0"/>
                                              <w:divBdr>
                                                <w:top w:val="none" w:sz="0" w:space="0" w:color="auto"/>
                                                <w:left w:val="none" w:sz="0" w:space="0" w:color="auto"/>
                                                <w:bottom w:val="none" w:sz="0" w:space="0" w:color="auto"/>
                                                <w:right w:val="none" w:sz="0" w:space="0" w:color="auto"/>
                                              </w:divBdr>
                                              <w:divsChild>
                                                <w:div w:id="1476025295">
                                                  <w:marLeft w:val="0"/>
                                                  <w:marRight w:val="0"/>
                                                  <w:marTop w:val="0"/>
                                                  <w:marBottom w:val="0"/>
                                                  <w:divBdr>
                                                    <w:top w:val="none" w:sz="0" w:space="0" w:color="auto"/>
                                                    <w:left w:val="none" w:sz="0" w:space="0" w:color="auto"/>
                                                    <w:bottom w:val="none" w:sz="0" w:space="0" w:color="auto"/>
                                                    <w:right w:val="none" w:sz="0" w:space="0" w:color="auto"/>
                                                  </w:divBdr>
                                                  <w:divsChild>
                                                    <w:div w:id="1183395051">
                                                      <w:marLeft w:val="0"/>
                                                      <w:marRight w:val="0"/>
                                                      <w:marTop w:val="0"/>
                                                      <w:marBottom w:val="0"/>
                                                      <w:divBdr>
                                                        <w:top w:val="none" w:sz="0" w:space="0" w:color="auto"/>
                                                        <w:left w:val="none" w:sz="0" w:space="0" w:color="auto"/>
                                                        <w:bottom w:val="none" w:sz="0" w:space="0" w:color="auto"/>
                                                        <w:right w:val="none" w:sz="0" w:space="0" w:color="auto"/>
                                                      </w:divBdr>
                                                      <w:divsChild>
                                                        <w:div w:id="129494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165195">
          <w:marLeft w:val="0"/>
          <w:marRight w:val="0"/>
          <w:marTop w:val="0"/>
          <w:marBottom w:val="0"/>
          <w:divBdr>
            <w:top w:val="none" w:sz="0" w:space="0" w:color="auto"/>
            <w:left w:val="none" w:sz="0" w:space="0" w:color="auto"/>
            <w:bottom w:val="none" w:sz="0" w:space="0" w:color="auto"/>
            <w:right w:val="none" w:sz="0" w:space="0" w:color="auto"/>
          </w:divBdr>
          <w:divsChild>
            <w:div w:id="1620143078">
              <w:marLeft w:val="0"/>
              <w:marRight w:val="0"/>
              <w:marTop w:val="0"/>
              <w:marBottom w:val="0"/>
              <w:divBdr>
                <w:top w:val="none" w:sz="0" w:space="0" w:color="auto"/>
                <w:left w:val="none" w:sz="0" w:space="0" w:color="auto"/>
                <w:bottom w:val="none" w:sz="0" w:space="0" w:color="auto"/>
                <w:right w:val="none" w:sz="0" w:space="0" w:color="auto"/>
              </w:divBdr>
              <w:divsChild>
                <w:div w:id="5941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527495">
      <w:bodyDiv w:val="1"/>
      <w:marLeft w:val="0"/>
      <w:marRight w:val="0"/>
      <w:marTop w:val="0"/>
      <w:marBottom w:val="0"/>
      <w:divBdr>
        <w:top w:val="none" w:sz="0" w:space="0" w:color="auto"/>
        <w:left w:val="none" w:sz="0" w:space="0" w:color="auto"/>
        <w:bottom w:val="none" w:sz="0" w:space="0" w:color="auto"/>
        <w:right w:val="none" w:sz="0" w:space="0" w:color="auto"/>
      </w:divBdr>
      <w:divsChild>
        <w:div w:id="857424456">
          <w:marLeft w:val="0"/>
          <w:marRight w:val="0"/>
          <w:marTop w:val="0"/>
          <w:marBottom w:val="0"/>
          <w:divBdr>
            <w:top w:val="none" w:sz="0" w:space="0" w:color="auto"/>
            <w:left w:val="none" w:sz="0" w:space="0" w:color="auto"/>
            <w:bottom w:val="none" w:sz="0" w:space="0" w:color="auto"/>
            <w:right w:val="none" w:sz="0" w:space="0" w:color="auto"/>
          </w:divBdr>
          <w:divsChild>
            <w:div w:id="2005281146">
              <w:marLeft w:val="0"/>
              <w:marRight w:val="0"/>
              <w:marTop w:val="0"/>
              <w:marBottom w:val="0"/>
              <w:divBdr>
                <w:top w:val="none" w:sz="0" w:space="0" w:color="auto"/>
                <w:left w:val="none" w:sz="0" w:space="0" w:color="auto"/>
                <w:bottom w:val="none" w:sz="0" w:space="0" w:color="auto"/>
                <w:right w:val="none" w:sz="0" w:space="0" w:color="auto"/>
              </w:divBdr>
              <w:divsChild>
                <w:div w:id="2140490430">
                  <w:marLeft w:val="0"/>
                  <w:marRight w:val="0"/>
                  <w:marTop w:val="0"/>
                  <w:marBottom w:val="0"/>
                  <w:divBdr>
                    <w:top w:val="none" w:sz="0" w:space="0" w:color="auto"/>
                    <w:left w:val="none" w:sz="0" w:space="0" w:color="auto"/>
                    <w:bottom w:val="none" w:sz="0" w:space="0" w:color="auto"/>
                    <w:right w:val="none" w:sz="0" w:space="0" w:color="auto"/>
                  </w:divBdr>
                  <w:divsChild>
                    <w:div w:id="1031958315">
                      <w:marLeft w:val="0"/>
                      <w:marRight w:val="0"/>
                      <w:marTop w:val="0"/>
                      <w:marBottom w:val="0"/>
                      <w:divBdr>
                        <w:top w:val="none" w:sz="0" w:space="0" w:color="auto"/>
                        <w:left w:val="none" w:sz="0" w:space="0" w:color="auto"/>
                        <w:bottom w:val="none" w:sz="0" w:space="0" w:color="auto"/>
                        <w:right w:val="none" w:sz="0" w:space="0" w:color="auto"/>
                      </w:divBdr>
                      <w:divsChild>
                        <w:div w:id="1699087508">
                          <w:marLeft w:val="0"/>
                          <w:marRight w:val="0"/>
                          <w:marTop w:val="0"/>
                          <w:marBottom w:val="0"/>
                          <w:divBdr>
                            <w:top w:val="none" w:sz="0" w:space="0" w:color="auto"/>
                            <w:left w:val="none" w:sz="0" w:space="0" w:color="auto"/>
                            <w:bottom w:val="none" w:sz="0" w:space="0" w:color="auto"/>
                            <w:right w:val="none" w:sz="0" w:space="0" w:color="auto"/>
                          </w:divBdr>
                          <w:divsChild>
                            <w:div w:id="13235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29483">
          <w:marLeft w:val="0"/>
          <w:marRight w:val="0"/>
          <w:marTop w:val="0"/>
          <w:marBottom w:val="0"/>
          <w:divBdr>
            <w:top w:val="none" w:sz="0" w:space="0" w:color="auto"/>
            <w:left w:val="none" w:sz="0" w:space="0" w:color="auto"/>
            <w:bottom w:val="none" w:sz="0" w:space="0" w:color="auto"/>
            <w:right w:val="none" w:sz="0" w:space="0" w:color="auto"/>
          </w:divBdr>
          <w:divsChild>
            <w:div w:id="2007201817">
              <w:marLeft w:val="0"/>
              <w:marRight w:val="0"/>
              <w:marTop w:val="0"/>
              <w:marBottom w:val="0"/>
              <w:divBdr>
                <w:top w:val="none" w:sz="0" w:space="0" w:color="auto"/>
                <w:left w:val="none" w:sz="0" w:space="0" w:color="auto"/>
                <w:bottom w:val="none" w:sz="0" w:space="0" w:color="auto"/>
                <w:right w:val="none" w:sz="0" w:space="0" w:color="auto"/>
              </w:divBdr>
              <w:divsChild>
                <w:div w:id="1517772152">
                  <w:marLeft w:val="0"/>
                  <w:marRight w:val="0"/>
                  <w:marTop w:val="0"/>
                  <w:marBottom w:val="0"/>
                  <w:divBdr>
                    <w:top w:val="none" w:sz="0" w:space="0" w:color="auto"/>
                    <w:left w:val="none" w:sz="0" w:space="0" w:color="auto"/>
                    <w:bottom w:val="none" w:sz="0" w:space="0" w:color="auto"/>
                    <w:right w:val="none" w:sz="0" w:space="0" w:color="auto"/>
                  </w:divBdr>
                  <w:divsChild>
                    <w:div w:id="2092502029">
                      <w:marLeft w:val="0"/>
                      <w:marRight w:val="0"/>
                      <w:marTop w:val="0"/>
                      <w:marBottom w:val="0"/>
                      <w:divBdr>
                        <w:top w:val="none" w:sz="0" w:space="0" w:color="auto"/>
                        <w:left w:val="none" w:sz="0" w:space="0" w:color="auto"/>
                        <w:bottom w:val="none" w:sz="0" w:space="0" w:color="auto"/>
                        <w:right w:val="none" w:sz="0" w:space="0" w:color="auto"/>
                      </w:divBdr>
                      <w:divsChild>
                        <w:div w:id="1097290484">
                          <w:marLeft w:val="0"/>
                          <w:marRight w:val="0"/>
                          <w:marTop w:val="0"/>
                          <w:marBottom w:val="0"/>
                          <w:divBdr>
                            <w:top w:val="none" w:sz="0" w:space="0" w:color="auto"/>
                            <w:left w:val="none" w:sz="0" w:space="0" w:color="auto"/>
                            <w:bottom w:val="none" w:sz="0" w:space="0" w:color="auto"/>
                            <w:right w:val="none" w:sz="0" w:space="0" w:color="auto"/>
                          </w:divBdr>
                          <w:divsChild>
                            <w:div w:id="19271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349302">
      <w:bodyDiv w:val="1"/>
      <w:marLeft w:val="0"/>
      <w:marRight w:val="0"/>
      <w:marTop w:val="0"/>
      <w:marBottom w:val="0"/>
      <w:divBdr>
        <w:top w:val="none" w:sz="0" w:space="0" w:color="auto"/>
        <w:left w:val="none" w:sz="0" w:space="0" w:color="auto"/>
        <w:bottom w:val="none" w:sz="0" w:space="0" w:color="auto"/>
        <w:right w:val="none" w:sz="0" w:space="0" w:color="auto"/>
      </w:divBdr>
      <w:divsChild>
        <w:div w:id="956982471">
          <w:marLeft w:val="0"/>
          <w:marRight w:val="0"/>
          <w:marTop w:val="0"/>
          <w:marBottom w:val="0"/>
          <w:divBdr>
            <w:top w:val="none" w:sz="0" w:space="0" w:color="auto"/>
            <w:left w:val="none" w:sz="0" w:space="0" w:color="auto"/>
            <w:bottom w:val="none" w:sz="0" w:space="0" w:color="auto"/>
            <w:right w:val="none" w:sz="0" w:space="0" w:color="auto"/>
          </w:divBdr>
          <w:divsChild>
            <w:div w:id="1207334882">
              <w:marLeft w:val="0"/>
              <w:marRight w:val="0"/>
              <w:marTop w:val="0"/>
              <w:marBottom w:val="0"/>
              <w:divBdr>
                <w:top w:val="none" w:sz="0" w:space="0" w:color="auto"/>
                <w:left w:val="none" w:sz="0" w:space="0" w:color="auto"/>
                <w:bottom w:val="none" w:sz="0" w:space="0" w:color="auto"/>
                <w:right w:val="none" w:sz="0" w:space="0" w:color="auto"/>
              </w:divBdr>
              <w:divsChild>
                <w:div w:id="427698975">
                  <w:marLeft w:val="0"/>
                  <w:marRight w:val="0"/>
                  <w:marTop w:val="0"/>
                  <w:marBottom w:val="0"/>
                  <w:divBdr>
                    <w:top w:val="none" w:sz="0" w:space="0" w:color="auto"/>
                    <w:left w:val="none" w:sz="0" w:space="0" w:color="auto"/>
                    <w:bottom w:val="none" w:sz="0" w:space="0" w:color="auto"/>
                    <w:right w:val="none" w:sz="0" w:space="0" w:color="auto"/>
                  </w:divBdr>
                  <w:divsChild>
                    <w:div w:id="1505245022">
                      <w:marLeft w:val="0"/>
                      <w:marRight w:val="0"/>
                      <w:marTop w:val="0"/>
                      <w:marBottom w:val="0"/>
                      <w:divBdr>
                        <w:top w:val="none" w:sz="0" w:space="0" w:color="auto"/>
                        <w:left w:val="none" w:sz="0" w:space="0" w:color="auto"/>
                        <w:bottom w:val="none" w:sz="0" w:space="0" w:color="auto"/>
                        <w:right w:val="none" w:sz="0" w:space="0" w:color="auto"/>
                      </w:divBdr>
                      <w:divsChild>
                        <w:div w:id="1791851487">
                          <w:marLeft w:val="0"/>
                          <w:marRight w:val="0"/>
                          <w:marTop w:val="0"/>
                          <w:marBottom w:val="0"/>
                          <w:divBdr>
                            <w:top w:val="none" w:sz="0" w:space="0" w:color="auto"/>
                            <w:left w:val="none" w:sz="0" w:space="0" w:color="auto"/>
                            <w:bottom w:val="none" w:sz="0" w:space="0" w:color="auto"/>
                            <w:right w:val="none" w:sz="0" w:space="0" w:color="auto"/>
                          </w:divBdr>
                          <w:divsChild>
                            <w:div w:id="91262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055301">
          <w:marLeft w:val="0"/>
          <w:marRight w:val="0"/>
          <w:marTop w:val="0"/>
          <w:marBottom w:val="0"/>
          <w:divBdr>
            <w:top w:val="none" w:sz="0" w:space="0" w:color="auto"/>
            <w:left w:val="none" w:sz="0" w:space="0" w:color="auto"/>
            <w:bottom w:val="none" w:sz="0" w:space="0" w:color="auto"/>
            <w:right w:val="none" w:sz="0" w:space="0" w:color="auto"/>
          </w:divBdr>
          <w:divsChild>
            <w:div w:id="281233916">
              <w:marLeft w:val="0"/>
              <w:marRight w:val="0"/>
              <w:marTop w:val="0"/>
              <w:marBottom w:val="0"/>
              <w:divBdr>
                <w:top w:val="none" w:sz="0" w:space="0" w:color="auto"/>
                <w:left w:val="none" w:sz="0" w:space="0" w:color="auto"/>
                <w:bottom w:val="none" w:sz="0" w:space="0" w:color="auto"/>
                <w:right w:val="none" w:sz="0" w:space="0" w:color="auto"/>
              </w:divBdr>
              <w:divsChild>
                <w:div w:id="1871724252">
                  <w:marLeft w:val="0"/>
                  <w:marRight w:val="0"/>
                  <w:marTop w:val="0"/>
                  <w:marBottom w:val="0"/>
                  <w:divBdr>
                    <w:top w:val="none" w:sz="0" w:space="0" w:color="auto"/>
                    <w:left w:val="none" w:sz="0" w:space="0" w:color="auto"/>
                    <w:bottom w:val="none" w:sz="0" w:space="0" w:color="auto"/>
                    <w:right w:val="none" w:sz="0" w:space="0" w:color="auto"/>
                  </w:divBdr>
                  <w:divsChild>
                    <w:div w:id="67391363">
                      <w:marLeft w:val="0"/>
                      <w:marRight w:val="0"/>
                      <w:marTop w:val="0"/>
                      <w:marBottom w:val="0"/>
                      <w:divBdr>
                        <w:top w:val="none" w:sz="0" w:space="0" w:color="auto"/>
                        <w:left w:val="none" w:sz="0" w:space="0" w:color="auto"/>
                        <w:bottom w:val="none" w:sz="0" w:space="0" w:color="auto"/>
                        <w:right w:val="none" w:sz="0" w:space="0" w:color="auto"/>
                      </w:divBdr>
                      <w:divsChild>
                        <w:div w:id="561253263">
                          <w:marLeft w:val="0"/>
                          <w:marRight w:val="0"/>
                          <w:marTop w:val="0"/>
                          <w:marBottom w:val="0"/>
                          <w:divBdr>
                            <w:top w:val="none" w:sz="0" w:space="0" w:color="auto"/>
                            <w:left w:val="none" w:sz="0" w:space="0" w:color="auto"/>
                            <w:bottom w:val="none" w:sz="0" w:space="0" w:color="auto"/>
                            <w:right w:val="none" w:sz="0" w:space="0" w:color="auto"/>
                          </w:divBdr>
                          <w:divsChild>
                            <w:div w:id="114087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957462">
      <w:bodyDiv w:val="1"/>
      <w:marLeft w:val="0"/>
      <w:marRight w:val="0"/>
      <w:marTop w:val="0"/>
      <w:marBottom w:val="0"/>
      <w:divBdr>
        <w:top w:val="none" w:sz="0" w:space="0" w:color="auto"/>
        <w:left w:val="none" w:sz="0" w:space="0" w:color="auto"/>
        <w:bottom w:val="none" w:sz="0" w:space="0" w:color="auto"/>
        <w:right w:val="none" w:sz="0" w:space="0" w:color="auto"/>
      </w:divBdr>
      <w:divsChild>
        <w:div w:id="206114369">
          <w:marLeft w:val="0"/>
          <w:marRight w:val="0"/>
          <w:marTop w:val="0"/>
          <w:marBottom w:val="0"/>
          <w:divBdr>
            <w:top w:val="none" w:sz="0" w:space="0" w:color="auto"/>
            <w:left w:val="none" w:sz="0" w:space="0" w:color="auto"/>
            <w:bottom w:val="none" w:sz="0" w:space="0" w:color="auto"/>
            <w:right w:val="none" w:sz="0" w:space="0" w:color="auto"/>
          </w:divBdr>
          <w:divsChild>
            <w:div w:id="1897207193">
              <w:marLeft w:val="0"/>
              <w:marRight w:val="0"/>
              <w:marTop w:val="0"/>
              <w:marBottom w:val="0"/>
              <w:divBdr>
                <w:top w:val="none" w:sz="0" w:space="0" w:color="auto"/>
                <w:left w:val="none" w:sz="0" w:space="0" w:color="auto"/>
                <w:bottom w:val="none" w:sz="0" w:space="0" w:color="auto"/>
                <w:right w:val="none" w:sz="0" w:space="0" w:color="auto"/>
              </w:divBdr>
              <w:divsChild>
                <w:div w:id="506022386">
                  <w:marLeft w:val="0"/>
                  <w:marRight w:val="0"/>
                  <w:marTop w:val="0"/>
                  <w:marBottom w:val="0"/>
                  <w:divBdr>
                    <w:top w:val="none" w:sz="0" w:space="0" w:color="auto"/>
                    <w:left w:val="none" w:sz="0" w:space="0" w:color="auto"/>
                    <w:bottom w:val="none" w:sz="0" w:space="0" w:color="auto"/>
                    <w:right w:val="none" w:sz="0" w:space="0" w:color="auto"/>
                  </w:divBdr>
                  <w:divsChild>
                    <w:div w:id="1853951388">
                      <w:marLeft w:val="0"/>
                      <w:marRight w:val="0"/>
                      <w:marTop w:val="0"/>
                      <w:marBottom w:val="0"/>
                      <w:divBdr>
                        <w:top w:val="none" w:sz="0" w:space="0" w:color="auto"/>
                        <w:left w:val="none" w:sz="0" w:space="0" w:color="auto"/>
                        <w:bottom w:val="none" w:sz="0" w:space="0" w:color="auto"/>
                        <w:right w:val="none" w:sz="0" w:space="0" w:color="auto"/>
                      </w:divBdr>
                      <w:divsChild>
                        <w:div w:id="1075056430">
                          <w:marLeft w:val="0"/>
                          <w:marRight w:val="0"/>
                          <w:marTop w:val="0"/>
                          <w:marBottom w:val="0"/>
                          <w:divBdr>
                            <w:top w:val="none" w:sz="0" w:space="0" w:color="auto"/>
                            <w:left w:val="none" w:sz="0" w:space="0" w:color="auto"/>
                            <w:bottom w:val="none" w:sz="0" w:space="0" w:color="auto"/>
                            <w:right w:val="none" w:sz="0" w:space="0" w:color="auto"/>
                          </w:divBdr>
                          <w:divsChild>
                            <w:div w:id="18953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208259">
      <w:bodyDiv w:val="1"/>
      <w:marLeft w:val="0"/>
      <w:marRight w:val="0"/>
      <w:marTop w:val="0"/>
      <w:marBottom w:val="0"/>
      <w:divBdr>
        <w:top w:val="none" w:sz="0" w:space="0" w:color="auto"/>
        <w:left w:val="none" w:sz="0" w:space="0" w:color="auto"/>
        <w:bottom w:val="none" w:sz="0" w:space="0" w:color="auto"/>
        <w:right w:val="none" w:sz="0" w:space="0" w:color="auto"/>
      </w:divBdr>
      <w:divsChild>
        <w:div w:id="2119596987">
          <w:marLeft w:val="0"/>
          <w:marRight w:val="0"/>
          <w:marTop w:val="0"/>
          <w:marBottom w:val="0"/>
          <w:divBdr>
            <w:top w:val="none" w:sz="0" w:space="0" w:color="auto"/>
            <w:left w:val="none" w:sz="0" w:space="0" w:color="auto"/>
            <w:bottom w:val="none" w:sz="0" w:space="0" w:color="auto"/>
            <w:right w:val="none" w:sz="0" w:space="0" w:color="auto"/>
          </w:divBdr>
          <w:divsChild>
            <w:div w:id="1722749076">
              <w:marLeft w:val="0"/>
              <w:marRight w:val="0"/>
              <w:marTop w:val="0"/>
              <w:marBottom w:val="0"/>
              <w:divBdr>
                <w:top w:val="none" w:sz="0" w:space="0" w:color="auto"/>
                <w:left w:val="none" w:sz="0" w:space="0" w:color="auto"/>
                <w:bottom w:val="none" w:sz="0" w:space="0" w:color="auto"/>
                <w:right w:val="none" w:sz="0" w:space="0" w:color="auto"/>
              </w:divBdr>
              <w:divsChild>
                <w:div w:id="1152794474">
                  <w:marLeft w:val="0"/>
                  <w:marRight w:val="0"/>
                  <w:marTop w:val="0"/>
                  <w:marBottom w:val="0"/>
                  <w:divBdr>
                    <w:top w:val="none" w:sz="0" w:space="0" w:color="auto"/>
                    <w:left w:val="none" w:sz="0" w:space="0" w:color="auto"/>
                    <w:bottom w:val="none" w:sz="0" w:space="0" w:color="auto"/>
                    <w:right w:val="none" w:sz="0" w:space="0" w:color="auto"/>
                  </w:divBdr>
                  <w:divsChild>
                    <w:div w:id="1992715884">
                      <w:marLeft w:val="0"/>
                      <w:marRight w:val="0"/>
                      <w:marTop w:val="0"/>
                      <w:marBottom w:val="0"/>
                      <w:divBdr>
                        <w:top w:val="none" w:sz="0" w:space="0" w:color="auto"/>
                        <w:left w:val="none" w:sz="0" w:space="0" w:color="auto"/>
                        <w:bottom w:val="none" w:sz="0" w:space="0" w:color="auto"/>
                        <w:right w:val="none" w:sz="0" w:space="0" w:color="auto"/>
                      </w:divBdr>
                      <w:divsChild>
                        <w:div w:id="1917133526">
                          <w:marLeft w:val="0"/>
                          <w:marRight w:val="0"/>
                          <w:marTop w:val="0"/>
                          <w:marBottom w:val="0"/>
                          <w:divBdr>
                            <w:top w:val="none" w:sz="0" w:space="0" w:color="auto"/>
                            <w:left w:val="none" w:sz="0" w:space="0" w:color="auto"/>
                            <w:bottom w:val="none" w:sz="0" w:space="0" w:color="auto"/>
                            <w:right w:val="none" w:sz="0" w:space="0" w:color="auto"/>
                          </w:divBdr>
                          <w:divsChild>
                            <w:div w:id="7988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566199">
          <w:marLeft w:val="0"/>
          <w:marRight w:val="0"/>
          <w:marTop w:val="0"/>
          <w:marBottom w:val="0"/>
          <w:divBdr>
            <w:top w:val="none" w:sz="0" w:space="0" w:color="auto"/>
            <w:left w:val="none" w:sz="0" w:space="0" w:color="auto"/>
            <w:bottom w:val="none" w:sz="0" w:space="0" w:color="auto"/>
            <w:right w:val="none" w:sz="0" w:space="0" w:color="auto"/>
          </w:divBdr>
          <w:divsChild>
            <w:div w:id="1959486180">
              <w:marLeft w:val="0"/>
              <w:marRight w:val="0"/>
              <w:marTop w:val="0"/>
              <w:marBottom w:val="0"/>
              <w:divBdr>
                <w:top w:val="none" w:sz="0" w:space="0" w:color="auto"/>
                <w:left w:val="none" w:sz="0" w:space="0" w:color="auto"/>
                <w:bottom w:val="none" w:sz="0" w:space="0" w:color="auto"/>
                <w:right w:val="none" w:sz="0" w:space="0" w:color="auto"/>
              </w:divBdr>
              <w:divsChild>
                <w:div w:id="1349721503">
                  <w:marLeft w:val="0"/>
                  <w:marRight w:val="0"/>
                  <w:marTop w:val="0"/>
                  <w:marBottom w:val="0"/>
                  <w:divBdr>
                    <w:top w:val="none" w:sz="0" w:space="0" w:color="auto"/>
                    <w:left w:val="none" w:sz="0" w:space="0" w:color="auto"/>
                    <w:bottom w:val="none" w:sz="0" w:space="0" w:color="auto"/>
                    <w:right w:val="none" w:sz="0" w:space="0" w:color="auto"/>
                  </w:divBdr>
                  <w:divsChild>
                    <w:div w:id="323632578">
                      <w:marLeft w:val="0"/>
                      <w:marRight w:val="0"/>
                      <w:marTop w:val="0"/>
                      <w:marBottom w:val="0"/>
                      <w:divBdr>
                        <w:top w:val="none" w:sz="0" w:space="0" w:color="auto"/>
                        <w:left w:val="none" w:sz="0" w:space="0" w:color="auto"/>
                        <w:bottom w:val="none" w:sz="0" w:space="0" w:color="auto"/>
                        <w:right w:val="none" w:sz="0" w:space="0" w:color="auto"/>
                      </w:divBdr>
                      <w:divsChild>
                        <w:div w:id="216863092">
                          <w:marLeft w:val="0"/>
                          <w:marRight w:val="0"/>
                          <w:marTop w:val="0"/>
                          <w:marBottom w:val="0"/>
                          <w:divBdr>
                            <w:top w:val="none" w:sz="0" w:space="0" w:color="auto"/>
                            <w:left w:val="none" w:sz="0" w:space="0" w:color="auto"/>
                            <w:bottom w:val="none" w:sz="0" w:space="0" w:color="auto"/>
                            <w:right w:val="none" w:sz="0" w:space="0" w:color="auto"/>
                          </w:divBdr>
                          <w:divsChild>
                            <w:div w:id="167387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883233">
      <w:bodyDiv w:val="1"/>
      <w:marLeft w:val="0"/>
      <w:marRight w:val="0"/>
      <w:marTop w:val="0"/>
      <w:marBottom w:val="0"/>
      <w:divBdr>
        <w:top w:val="none" w:sz="0" w:space="0" w:color="auto"/>
        <w:left w:val="none" w:sz="0" w:space="0" w:color="auto"/>
        <w:bottom w:val="none" w:sz="0" w:space="0" w:color="auto"/>
        <w:right w:val="none" w:sz="0" w:space="0" w:color="auto"/>
      </w:divBdr>
    </w:div>
    <w:div w:id="1920600816">
      <w:bodyDiv w:val="1"/>
      <w:marLeft w:val="0"/>
      <w:marRight w:val="0"/>
      <w:marTop w:val="0"/>
      <w:marBottom w:val="0"/>
      <w:divBdr>
        <w:top w:val="none" w:sz="0" w:space="0" w:color="auto"/>
        <w:left w:val="none" w:sz="0" w:space="0" w:color="auto"/>
        <w:bottom w:val="none" w:sz="0" w:space="0" w:color="auto"/>
        <w:right w:val="none" w:sz="0" w:space="0" w:color="auto"/>
      </w:divBdr>
      <w:divsChild>
        <w:div w:id="2123646403">
          <w:marLeft w:val="0"/>
          <w:marRight w:val="0"/>
          <w:marTop w:val="0"/>
          <w:marBottom w:val="0"/>
          <w:divBdr>
            <w:top w:val="none" w:sz="0" w:space="0" w:color="auto"/>
            <w:left w:val="none" w:sz="0" w:space="0" w:color="auto"/>
            <w:bottom w:val="none" w:sz="0" w:space="0" w:color="auto"/>
            <w:right w:val="none" w:sz="0" w:space="0" w:color="auto"/>
          </w:divBdr>
          <w:divsChild>
            <w:div w:id="227811567">
              <w:marLeft w:val="0"/>
              <w:marRight w:val="0"/>
              <w:marTop w:val="0"/>
              <w:marBottom w:val="0"/>
              <w:divBdr>
                <w:top w:val="none" w:sz="0" w:space="0" w:color="auto"/>
                <w:left w:val="none" w:sz="0" w:space="0" w:color="auto"/>
                <w:bottom w:val="none" w:sz="0" w:space="0" w:color="auto"/>
                <w:right w:val="none" w:sz="0" w:space="0" w:color="auto"/>
              </w:divBdr>
              <w:divsChild>
                <w:div w:id="721253441">
                  <w:marLeft w:val="0"/>
                  <w:marRight w:val="0"/>
                  <w:marTop w:val="0"/>
                  <w:marBottom w:val="0"/>
                  <w:divBdr>
                    <w:top w:val="none" w:sz="0" w:space="0" w:color="auto"/>
                    <w:left w:val="none" w:sz="0" w:space="0" w:color="auto"/>
                    <w:bottom w:val="none" w:sz="0" w:space="0" w:color="auto"/>
                    <w:right w:val="none" w:sz="0" w:space="0" w:color="auto"/>
                  </w:divBdr>
                  <w:divsChild>
                    <w:div w:id="1082333273">
                      <w:marLeft w:val="0"/>
                      <w:marRight w:val="0"/>
                      <w:marTop w:val="0"/>
                      <w:marBottom w:val="0"/>
                      <w:divBdr>
                        <w:top w:val="none" w:sz="0" w:space="0" w:color="auto"/>
                        <w:left w:val="none" w:sz="0" w:space="0" w:color="auto"/>
                        <w:bottom w:val="none" w:sz="0" w:space="0" w:color="auto"/>
                        <w:right w:val="none" w:sz="0" w:space="0" w:color="auto"/>
                      </w:divBdr>
                      <w:divsChild>
                        <w:div w:id="1496722780">
                          <w:marLeft w:val="0"/>
                          <w:marRight w:val="0"/>
                          <w:marTop w:val="0"/>
                          <w:marBottom w:val="0"/>
                          <w:divBdr>
                            <w:top w:val="none" w:sz="0" w:space="0" w:color="auto"/>
                            <w:left w:val="none" w:sz="0" w:space="0" w:color="auto"/>
                            <w:bottom w:val="none" w:sz="0" w:space="0" w:color="auto"/>
                            <w:right w:val="none" w:sz="0" w:space="0" w:color="auto"/>
                          </w:divBdr>
                          <w:divsChild>
                            <w:div w:id="718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8534">
          <w:marLeft w:val="0"/>
          <w:marRight w:val="0"/>
          <w:marTop w:val="0"/>
          <w:marBottom w:val="0"/>
          <w:divBdr>
            <w:top w:val="none" w:sz="0" w:space="0" w:color="auto"/>
            <w:left w:val="none" w:sz="0" w:space="0" w:color="auto"/>
            <w:bottom w:val="none" w:sz="0" w:space="0" w:color="auto"/>
            <w:right w:val="none" w:sz="0" w:space="0" w:color="auto"/>
          </w:divBdr>
          <w:divsChild>
            <w:div w:id="842748327">
              <w:marLeft w:val="0"/>
              <w:marRight w:val="0"/>
              <w:marTop w:val="0"/>
              <w:marBottom w:val="0"/>
              <w:divBdr>
                <w:top w:val="none" w:sz="0" w:space="0" w:color="auto"/>
                <w:left w:val="none" w:sz="0" w:space="0" w:color="auto"/>
                <w:bottom w:val="none" w:sz="0" w:space="0" w:color="auto"/>
                <w:right w:val="none" w:sz="0" w:space="0" w:color="auto"/>
              </w:divBdr>
              <w:divsChild>
                <w:div w:id="1473019604">
                  <w:marLeft w:val="0"/>
                  <w:marRight w:val="0"/>
                  <w:marTop w:val="0"/>
                  <w:marBottom w:val="0"/>
                  <w:divBdr>
                    <w:top w:val="none" w:sz="0" w:space="0" w:color="auto"/>
                    <w:left w:val="none" w:sz="0" w:space="0" w:color="auto"/>
                    <w:bottom w:val="none" w:sz="0" w:space="0" w:color="auto"/>
                    <w:right w:val="none" w:sz="0" w:space="0" w:color="auto"/>
                  </w:divBdr>
                  <w:divsChild>
                    <w:div w:id="164052852">
                      <w:marLeft w:val="0"/>
                      <w:marRight w:val="0"/>
                      <w:marTop w:val="0"/>
                      <w:marBottom w:val="0"/>
                      <w:divBdr>
                        <w:top w:val="none" w:sz="0" w:space="0" w:color="auto"/>
                        <w:left w:val="none" w:sz="0" w:space="0" w:color="auto"/>
                        <w:bottom w:val="none" w:sz="0" w:space="0" w:color="auto"/>
                        <w:right w:val="none" w:sz="0" w:space="0" w:color="auto"/>
                      </w:divBdr>
                      <w:divsChild>
                        <w:div w:id="1054154704">
                          <w:marLeft w:val="0"/>
                          <w:marRight w:val="0"/>
                          <w:marTop w:val="0"/>
                          <w:marBottom w:val="0"/>
                          <w:divBdr>
                            <w:top w:val="none" w:sz="0" w:space="0" w:color="auto"/>
                            <w:left w:val="none" w:sz="0" w:space="0" w:color="auto"/>
                            <w:bottom w:val="none" w:sz="0" w:space="0" w:color="auto"/>
                            <w:right w:val="none" w:sz="0" w:space="0" w:color="auto"/>
                          </w:divBdr>
                          <w:divsChild>
                            <w:div w:id="140556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119543">
      <w:bodyDiv w:val="1"/>
      <w:marLeft w:val="0"/>
      <w:marRight w:val="0"/>
      <w:marTop w:val="0"/>
      <w:marBottom w:val="0"/>
      <w:divBdr>
        <w:top w:val="none" w:sz="0" w:space="0" w:color="auto"/>
        <w:left w:val="none" w:sz="0" w:space="0" w:color="auto"/>
        <w:bottom w:val="none" w:sz="0" w:space="0" w:color="auto"/>
        <w:right w:val="none" w:sz="0" w:space="0" w:color="auto"/>
      </w:divBdr>
      <w:divsChild>
        <w:div w:id="299653705">
          <w:marLeft w:val="0"/>
          <w:marRight w:val="0"/>
          <w:marTop w:val="0"/>
          <w:marBottom w:val="0"/>
          <w:divBdr>
            <w:top w:val="none" w:sz="0" w:space="0" w:color="auto"/>
            <w:left w:val="none" w:sz="0" w:space="0" w:color="auto"/>
            <w:bottom w:val="none" w:sz="0" w:space="0" w:color="auto"/>
            <w:right w:val="none" w:sz="0" w:space="0" w:color="auto"/>
          </w:divBdr>
          <w:divsChild>
            <w:div w:id="2101757477">
              <w:marLeft w:val="0"/>
              <w:marRight w:val="0"/>
              <w:marTop w:val="0"/>
              <w:marBottom w:val="0"/>
              <w:divBdr>
                <w:top w:val="none" w:sz="0" w:space="0" w:color="auto"/>
                <w:left w:val="none" w:sz="0" w:space="0" w:color="auto"/>
                <w:bottom w:val="none" w:sz="0" w:space="0" w:color="auto"/>
                <w:right w:val="none" w:sz="0" w:space="0" w:color="auto"/>
              </w:divBdr>
              <w:divsChild>
                <w:div w:id="503938584">
                  <w:marLeft w:val="0"/>
                  <w:marRight w:val="0"/>
                  <w:marTop w:val="0"/>
                  <w:marBottom w:val="0"/>
                  <w:divBdr>
                    <w:top w:val="none" w:sz="0" w:space="0" w:color="auto"/>
                    <w:left w:val="none" w:sz="0" w:space="0" w:color="auto"/>
                    <w:bottom w:val="none" w:sz="0" w:space="0" w:color="auto"/>
                    <w:right w:val="none" w:sz="0" w:space="0" w:color="auto"/>
                  </w:divBdr>
                  <w:divsChild>
                    <w:div w:id="90853422">
                      <w:marLeft w:val="0"/>
                      <w:marRight w:val="0"/>
                      <w:marTop w:val="0"/>
                      <w:marBottom w:val="0"/>
                      <w:divBdr>
                        <w:top w:val="none" w:sz="0" w:space="0" w:color="auto"/>
                        <w:left w:val="none" w:sz="0" w:space="0" w:color="auto"/>
                        <w:bottom w:val="none" w:sz="0" w:space="0" w:color="auto"/>
                        <w:right w:val="none" w:sz="0" w:space="0" w:color="auto"/>
                      </w:divBdr>
                      <w:divsChild>
                        <w:div w:id="508718605">
                          <w:marLeft w:val="0"/>
                          <w:marRight w:val="0"/>
                          <w:marTop w:val="0"/>
                          <w:marBottom w:val="0"/>
                          <w:divBdr>
                            <w:top w:val="none" w:sz="0" w:space="0" w:color="auto"/>
                            <w:left w:val="none" w:sz="0" w:space="0" w:color="auto"/>
                            <w:bottom w:val="none" w:sz="0" w:space="0" w:color="auto"/>
                            <w:right w:val="none" w:sz="0" w:space="0" w:color="auto"/>
                          </w:divBdr>
                          <w:divsChild>
                            <w:div w:id="524094639">
                              <w:marLeft w:val="0"/>
                              <w:marRight w:val="0"/>
                              <w:marTop w:val="0"/>
                              <w:marBottom w:val="0"/>
                              <w:divBdr>
                                <w:top w:val="none" w:sz="0" w:space="0" w:color="auto"/>
                                <w:left w:val="none" w:sz="0" w:space="0" w:color="auto"/>
                                <w:bottom w:val="none" w:sz="0" w:space="0" w:color="auto"/>
                                <w:right w:val="none" w:sz="0" w:space="0" w:color="auto"/>
                              </w:divBdr>
                              <w:divsChild>
                                <w:div w:id="1917935490">
                                  <w:marLeft w:val="0"/>
                                  <w:marRight w:val="0"/>
                                  <w:marTop w:val="0"/>
                                  <w:marBottom w:val="0"/>
                                  <w:divBdr>
                                    <w:top w:val="none" w:sz="0" w:space="0" w:color="auto"/>
                                    <w:left w:val="none" w:sz="0" w:space="0" w:color="auto"/>
                                    <w:bottom w:val="none" w:sz="0" w:space="0" w:color="auto"/>
                                    <w:right w:val="none" w:sz="0" w:space="0" w:color="auto"/>
                                  </w:divBdr>
                                  <w:divsChild>
                                    <w:div w:id="721708279">
                                      <w:marLeft w:val="0"/>
                                      <w:marRight w:val="0"/>
                                      <w:marTop w:val="0"/>
                                      <w:marBottom w:val="0"/>
                                      <w:divBdr>
                                        <w:top w:val="none" w:sz="0" w:space="0" w:color="auto"/>
                                        <w:left w:val="none" w:sz="0" w:space="0" w:color="auto"/>
                                        <w:bottom w:val="none" w:sz="0" w:space="0" w:color="auto"/>
                                        <w:right w:val="none" w:sz="0" w:space="0" w:color="auto"/>
                                      </w:divBdr>
                                      <w:divsChild>
                                        <w:div w:id="1381245692">
                                          <w:marLeft w:val="0"/>
                                          <w:marRight w:val="0"/>
                                          <w:marTop w:val="0"/>
                                          <w:marBottom w:val="0"/>
                                          <w:divBdr>
                                            <w:top w:val="none" w:sz="0" w:space="0" w:color="auto"/>
                                            <w:left w:val="none" w:sz="0" w:space="0" w:color="auto"/>
                                            <w:bottom w:val="none" w:sz="0" w:space="0" w:color="auto"/>
                                            <w:right w:val="none" w:sz="0" w:space="0" w:color="auto"/>
                                          </w:divBdr>
                                          <w:divsChild>
                                            <w:div w:id="1685277396">
                                              <w:marLeft w:val="0"/>
                                              <w:marRight w:val="0"/>
                                              <w:marTop w:val="0"/>
                                              <w:marBottom w:val="0"/>
                                              <w:divBdr>
                                                <w:top w:val="none" w:sz="0" w:space="0" w:color="auto"/>
                                                <w:left w:val="none" w:sz="0" w:space="0" w:color="auto"/>
                                                <w:bottom w:val="none" w:sz="0" w:space="0" w:color="auto"/>
                                                <w:right w:val="none" w:sz="0" w:space="0" w:color="auto"/>
                                              </w:divBdr>
                                              <w:divsChild>
                                                <w:div w:id="1454249144">
                                                  <w:marLeft w:val="0"/>
                                                  <w:marRight w:val="0"/>
                                                  <w:marTop w:val="0"/>
                                                  <w:marBottom w:val="0"/>
                                                  <w:divBdr>
                                                    <w:top w:val="none" w:sz="0" w:space="0" w:color="auto"/>
                                                    <w:left w:val="none" w:sz="0" w:space="0" w:color="auto"/>
                                                    <w:bottom w:val="none" w:sz="0" w:space="0" w:color="auto"/>
                                                    <w:right w:val="none" w:sz="0" w:space="0" w:color="auto"/>
                                                  </w:divBdr>
                                                  <w:divsChild>
                                                    <w:div w:id="428743327">
                                                      <w:marLeft w:val="0"/>
                                                      <w:marRight w:val="0"/>
                                                      <w:marTop w:val="0"/>
                                                      <w:marBottom w:val="0"/>
                                                      <w:divBdr>
                                                        <w:top w:val="none" w:sz="0" w:space="0" w:color="auto"/>
                                                        <w:left w:val="none" w:sz="0" w:space="0" w:color="auto"/>
                                                        <w:bottom w:val="none" w:sz="0" w:space="0" w:color="auto"/>
                                                        <w:right w:val="none" w:sz="0" w:space="0" w:color="auto"/>
                                                      </w:divBdr>
                                                      <w:divsChild>
                                                        <w:div w:id="1672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5762183">
          <w:marLeft w:val="0"/>
          <w:marRight w:val="0"/>
          <w:marTop w:val="0"/>
          <w:marBottom w:val="0"/>
          <w:divBdr>
            <w:top w:val="none" w:sz="0" w:space="0" w:color="auto"/>
            <w:left w:val="none" w:sz="0" w:space="0" w:color="auto"/>
            <w:bottom w:val="none" w:sz="0" w:space="0" w:color="auto"/>
            <w:right w:val="none" w:sz="0" w:space="0" w:color="auto"/>
          </w:divBdr>
          <w:divsChild>
            <w:div w:id="1910579251">
              <w:marLeft w:val="0"/>
              <w:marRight w:val="0"/>
              <w:marTop w:val="0"/>
              <w:marBottom w:val="0"/>
              <w:divBdr>
                <w:top w:val="none" w:sz="0" w:space="0" w:color="auto"/>
                <w:left w:val="none" w:sz="0" w:space="0" w:color="auto"/>
                <w:bottom w:val="none" w:sz="0" w:space="0" w:color="auto"/>
                <w:right w:val="none" w:sz="0" w:space="0" w:color="auto"/>
              </w:divBdr>
              <w:divsChild>
                <w:div w:id="87196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opik.io/blogs/what-is-a-longitudinal-study-definition-types-and-examp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C9415-FEDB-4374-9F2C-995189EC2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6641</Words>
  <Characters>37858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Massa-Harris-McFeely</dc:creator>
  <cp:lastModifiedBy>Ian Massa-Harris-McFeely</cp:lastModifiedBy>
  <cp:revision>34</cp:revision>
  <dcterms:created xsi:type="dcterms:W3CDTF">2024-08-15T14:59:00Z</dcterms:created>
  <dcterms:modified xsi:type="dcterms:W3CDTF">2024-08-15T15:28:00Z</dcterms:modified>
</cp:coreProperties>
</file>