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280F5" w14:textId="33C7B7D1"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F443252" wp14:editId="0FE3AEDC">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F016E5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4F1FAC3"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xmlns="">
            <w:pict>
              <v:rect w14:anchorId="5F443252" id="Rectangle 35" o:spid="_x0000_s1026"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" filled="f" stroked="f">
                <v:textbox inset="0,0,0,0">
                  <w:txbxContent>
                    <w:p w14:paraId="4F016E5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4F1FAC3"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67A0156"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549647E" wp14:editId="0BA10A99">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FA31E55" w14:textId="77777777" w:rsidR="00530E16" w:rsidRDefault="004468F8">
                            <w:pPr>
                              <w:spacing w:after="0" w:line="240" w:lineRule="auto"/>
                              <w:textDirection w:val="btLr"/>
                            </w:pPr>
                            <w:r>
                              <w:rPr>
                                <w:rFonts w:ascii="Play" w:eastAsia="Play" w:hAnsi="Play" w:cs="Play"/>
                                <w:color w:val="262626"/>
                                <w:sz w:val="72"/>
                              </w:rPr>
                              <w:t>Individual Report</w:t>
                            </w:r>
                          </w:p>
                          <w:p w14:paraId="03EDD2AF" w14:textId="77777777" w:rsidR="00883B0C" w:rsidRPr="00883B0C" w:rsidRDefault="00883B0C" w:rsidP="00883B0C">
                            <w:pPr>
                              <w:rPr>
                                <w:color w:val="404040"/>
                                <w:sz w:val="36"/>
                              </w:rPr>
                            </w:pPr>
                            <w:r w:rsidRPr="00883B0C">
                              <w:rPr>
                                <w:color w:val="404040"/>
                                <w:sz w:val="36"/>
                              </w:rPr>
                              <w:t>Module Name: Digital Skills and Research Methods</w:t>
                            </w:r>
                          </w:p>
                          <w:p w14:paraId="55B831A7" w14:textId="77777777" w:rsidR="00883B0C" w:rsidRPr="00883B0C" w:rsidRDefault="00883B0C" w:rsidP="00883B0C">
                            <w:pPr>
                              <w:rPr>
                                <w:color w:val="404040"/>
                                <w:sz w:val="36"/>
                              </w:rPr>
                            </w:pPr>
                            <w:r w:rsidRPr="00883B0C">
                              <w:rPr>
                                <w:color w:val="404040"/>
                                <w:sz w:val="36"/>
                              </w:rPr>
                              <w:t>Module Code: LCHS 4007</w:t>
                            </w:r>
                          </w:p>
                          <w:p w14:paraId="1655C8B5" w14:textId="77777777" w:rsidR="00883B0C" w:rsidRPr="00883B0C" w:rsidRDefault="00883B0C" w:rsidP="00883B0C">
                            <w:pPr>
                              <w:rPr>
                                <w:color w:val="404040"/>
                                <w:sz w:val="36"/>
                              </w:rPr>
                            </w:pPr>
                            <w:r w:rsidRPr="00883B0C">
                              <w:rPr>
                                <w:color w:val="404040"/>
                                <w:sz w:val="36"/>
                              </w:rPr>
                              <w:t>Student name: Rosa Monteiro da Costa Mbunga</w:t>
                            </w:r>
                          </w:p>
                          <w:p w14:paraId="740196F3" w14:textId="77777777" w:rsidR="00883B0C" w:rsidRPr="00883B0C" w:rsidRDefault="00883B0C" w:rsidP="00883B0C">
                            <w:pPr>
                              <w:rPr>
                                <w:color w:val="404040"/>
                                <w:sz w:val="36"/>
                              </w:rPr>
                            </w:pPr>
                            <w:r w:rsidRPr="00883B0C">
                              <w:rPr>
                                <w:color w:val="404040"/>
                                <w:sz w:val="36"/>
                              </w:rPr>
                              <w:t>Student ID:2514992</w:t>
                            </w:r>
                          </w:p>
                          <w:p w14:paraId="0F78CD58" w14:textId="77777777" w:rsidR="00883B0C" w:rsidRDefault="00883B0C" w:rsidP="00883B0C">
                            <w:pPr>
                              <w:rPr>
                                <w:rFonts w:ascii="Arial" w:eastAsia="Arial" w:hAnsi="Arial" w:cs="Arial"/>
                                <w:b/>
                                <w:bCs/>
                                <w:color w:val="404040"/>
                                <w:sz w:val="36"/>
                                <w:szCs w:val="40"/>
                              </w:rPr>
                            </w:pPr>
                            <w:r w:rsidRPr="00883B0C">
                              <w:rPr>
                                <w:color w:val="404040"/>
                                <w:sz w:val="36"/>
                              </w:rPr>
                              <w:t>Lecturer’s Name: Amitave Banik</w:t>
                            </w:r>
                            <w:r w:rsidRPr="00883B0C">
                              <w:rPr>
                                <w:rFonts w:ascii="Arial" w:eastAsia="Arial" w:hAnsi="Arial" w:cs="Arial"/>
                                <w:b/>
                                <w:bCs/>
                                <w:color w:val="404040"/>
                                <w:sz w:val="36"/>
                                <w:szCs w:val="40"/>
                              </w:rPr>
                              <w:t xml:space="preserve"> </w:t>
                            </w:r>
                          </w:p>
                          <w:p w14:paraId="27C14B2C" w14:textId="5DF89069" w:rsidR="00B17AF4" w:rsidRPr="00B17AF4" w:rsidRDefault="00B17AF4" w:rsidP="00883B0C">
                            <w:pPr>
                              <w:rPr>
                                <w:rFonts w:ascii="Arial" w:eastAsia="Arial" w:hAnsi="Arial" w:cs="Arial"/>
                                <w:b/>
                                <w:bCs/>
                                <w:color w:val="FF0000"/>
                                <w:sz w:val="40"/>
                                <w:szCs w:val="40"/>
                              </w:rPr>
                            </w:pPr>
                          </w:p>
                          <w:p w14:paraId="70A90DB9" w14:textId="77777777" w:rsidR="00B17AF4" w:rsidRDefault="00B17AF4">
                            <w:pPr>
                              <w:spacing w:before="120" w:line="277" w:lineRule="auto"/>
                              <w:textDirection w:val="btLr"/>
                            </w:pPr>
                          </w:p>
                        </w:txbxContent>
                      </wps:txbx>
                      <wps:bodyPr spcFirstLastPara="1" wrap="square" lIns="0" tIns="0" rIns="0" bIns="0" anchor="t" anchorCtr="0">
                        <a:noAutofit/>
                      </wps:bodyPr>
                    </wps:wsp>
                  </a:graphicData>
                </a:graphic>
              </wp:anchor>
            </w:drawing>
          </mc:Choice>
          <mc:Fallback xmlns="">
            <w:pict>
              <v:rect w14:anchorId="2549647E" id="Rectangle 33" o:spid="_x0000_s1027"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wXX67YBAABSAwAADgAAAAAAAAAAAAAAAAAuAgAAZHJz&#10;L2Uyb0RvYy54bWxQSwECLQAUAAYACAAAACEABQnxYeIAAAAMAQAADwAAAAAAAAAAAAAAAAAQBAAA&#10;ZHJzL2Rvd25yZXYueG1sUEsFBgAAAAAEAAQA8wAAAB8FAAAAAA==&#10;" filled="f" stroked="f">
                <v:textbox inset="0,0,0,0">
                  <w:txbxContent>
                    <w:p w14:paraId="3FA31E55" w14:textId="77777777" w:rsidR="00530E16" w:rsidRDefault="004468F8">
                      <w:pPr>
                        <w:spacing w:after="0" w:line="240" w:lineRule="auto"/>
                        <w:textDirection w:val="btLr"/>
                      </w:pPr>
                      <w:r>
                        <w:rPr>
                          <w:rFonts w:ascii="Play" w:eastAsia="Play" w:hAnsi="Play" w:cs="Play"/>
                          <w:color w:val="262626"/>
                          <w:sz w:val="72"/>
                        </w:rPr>
                        <w:t>Individual Report</w:t>
                      </w:r>
                    </w:p>
                    <w:p w14:paraId="03EDD2AF" w14:textId="77777777" w:rsidR="00883B0C" w:rsidRPr="00883B0C" w:rsidRDefault="00883B0C" w:rsidP="00883B0C">
                      <w:pPr>
                        <w:rPr>
                          <w:color w:val="404040"/>
                          <w:sz w:val="36"/>
                        </w:rPr>
                      </w:pPr>
                      <w:r w:rsidRPr="00883B0C">
                        <w:rPr>
                          <w:color w:val="404040"/>
                          <w:sz w:val="36"/>
                        </w:rPr>
                        <w:t>Module Name: Digital Skills and Research Methods</w:t>
                      </w:r>
                    </w:p>
                    <w:p w14:paraId="55B831A7" w14:textId="77777777" w:rsidR="00883B0C" w:rsidRPr="00883B0C" w:rsidRDefault="00883B0C" w:rsidP="00883B0C">
                      <w:pPr>
                        <w:rPr>
                          <w:color w:val="404040"/>
                          <w:sz w:val="36"/>
                        </w:rPr>
                      </w:pPr>
                      <w:r w:rsidRPr="00883B0C">
                        <w:rPr>
                          <w:color w:val="404040"/>
                          <w:sz w:val="36"/>
                        </w:rPr>
                        <w:t>Module Code: LCHS 4007</w:t>
                      </w:r>
                    </w:p>
                    <w:p w14:paraId="1655C8B5" w14:textId="77777777" w:rsidR="00883B0C" w:rsidRPr="00883B0C" w:rsidRDefault="00883B0C" w:rsidP="00883B0C">
                      <w:pPr>
                        <w:rPr>
                          <w:color w:val="404040"/>
                          <w:sz w:val="36"/>
                        </w:rPr>
                      </w:pPr>
                      <w:r w:rsidRPr="00883B0C">
                        <w:rPr>
                          <w:color w:val="404040"/>
                          <w:sz w:val="36"/>
                        </w:rPr>
                        <w:t>Student name: Rosa Monteiro da Costa Mbunga</w:t>
                      </w:r>
                    </w:p>
                    <w:p w14:paraId="740196F3" w14:textId="77777777" w:rsidR="00883B0C" w:rsidRPr="00883B0C" w:rsidRDefault="00883B0C" w:rsidP="00883B0C">
                      <w:pPr>
                        <w:rPr>
                          <w:color w:val="404040"/>
                          <w:sz w:val="36"/>
                        </w:rPr>
                      </w:pPr>
                      <w:r w:rsidRPr="00883B0C">
                        <w:rPr>
                          <w:color w:val="404040"/>
                          <w:sz w:val="36"/>
                        </w:rPr>
                        <w:t>Student ID:2514992</w:t>
                      </w:r>
                    </w:p>
                    <w:p w14:paraId="0F78CD58" w14:textId="77777777" w:rsidR="00883B0C" w:rsidRDefault="00883B0C" w:rsidP="00883B0C">
                      <w:pPr>
                        <w:rPr>
                          <w:rFonts w:ascii="Arial" w:eastAsia="Arial" w:hAnsi="Arial" w:cs="Arial"/>
                          <w:b/>
                          <w:bCs/>
                          <w:color w:val="404040"/>
                          <w:sz w:val="36"/>
                          <w:szCs w:val="40"/>
                        </w:rPr>
                      </w:pPr>
                      <w:r w:rsidRPr="00883B0C">
                        <w:rPr>
                          <w:color w:val="404040"/>
                          <w:sz w:val="36"/>
                        </w:rPr>
                        <w:t xml:space="preserve">Lecturer’s Name: </w:t>
                      </w:r>
                      <w:proofErr w:type="spellStart"/>
                      <w:r w:rsidRPr="00883B0C">
                        <w:rPr>
                          <w:color w:val="404040"/>
                          <w:sz w:val="36"/>
                        </w:rPr>
                        <w:t>Amitave</w:t>
                      </w:r>
                      <w:proofErr w:type="spellEnd"/>
                      <w:r w:rsidRPr="00883B0C">
                        <w:rPr>
                          <w:color w:val="404040"/>
                          <w:sz w:val="36"/>
                        </w:rPr>
                        <w:t xml:space="preserve"> Banik</w:t>
                      </w:r>
                      <w:r w:rsidRPr="00883B0C">
                        <w:rPr>
                          <w:rFonts w:ascii="Arial" w:eastAsia="Arial" w:hAnsi="Arial" w:cs="Arial"/>
                          <w:b/>
                          <w:bCs/>
                          <w:color w:val="404040"/>
                          <w:sz w:val="36"/>
                          <w:szCs w:val="40"/>
                        </w:rPr>
                        <w:t xml:space="preserve"> </w:t>
                      </w:r>
                    </w:p>
                    <w:p w14:paraId="27C14B2C" w14:textId="5DF89069" w:rsidR="00B17AF4" w:rsidRPr="00B17AF4" w:rsidRDefault="00B17AF4" w:rsidP="00883B0C">
                      <w:pPr>
                        <w:rPr>
                          <w:rFonts w:ascii="Arial" w:eastAsia="Arial" w:hAnsi="Arial" w:cs="Arial"/>
                          <w:b/>
                          <w:bCs/>
                          <w:color w:val="FF0000"/>
                          <w:sz w:val="40"/>
                          <w:szCs w:val="40"/>
                        </w:rPr>
                      </w:pPr>
                    </w:p>
                    <w:p w14:paraId="70A90DB9" w14:textId="77777777" w:rsidR="00B17AF4" w:rsidRDefault="00B17AF4">
                      <w:pPr>
                        <w:spacing w:before="120" w:line="277" w:lineRule="auto"/>
                        <w:textDirection w:val="btLr"/>
                      </w:pPr>
                    </w:p>
                  </w:txbxContent>
                </v:textbox>
                <w10:wrap anchorx="page" anchory="page"/>
              </v:rect>
            </w:pict>
          </mc:Fallback>
        </mc:AlternateContent>
      </w:r>
      <w:r>
        <w:br w:type="page"/>
      </w:r>
    </w:p>
    <w:p w14:paraId="1191FAEA" w14:textId="77777777" w:rsidR="00530E16" w:rsidRDefault="00530E16">
      <w:pPr>
        <w:rPr>
          <w:rFonts w:ascii="Arial" w:eastAsia="Arial" w:hAnsi="Arial" w:cs="Arial"/>
        </w:rPr>
      </w:pPr>
    </w:p>
    <w:p w14:paraId="28539F1A"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2B0B75D9" w14:textId="49906C1F"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0943B5">
              <w:rPr>
                <w:rStyle w:val="Hyperlink"/>
                <w:noProof/>
              </w:rPr>
              <w:t>Workforce Shortage</w:t>
            </w:r>
            <w:r w:rsidR="00DB181C">
              <w:rPr>
                <w:noProof/>
                <w:webHidden/>
              </w:rPr>
              <w:tab/>
            </w:r>
            <w:r w:rsidR="000943B5">
              <w:rPr>
                <w:noProof/>
                <w:webHidden/>
              </w:rPr>
              <w:t>1</w:t>
            </w:r>
          </w:hyperlink>
        </w:p>
        <w:p w14:paraId="71B4D1A8" w14:textId="0032BCF0"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sidR="000943B5">
              <w:rPr>
                <w:noProof/>
                <w:webHidden/>
              </w:rPr>
              <w:t>1</w:t>
            </w:r>
          </w:hyperlink>
        </w:p>
        <w:p w14:paraId="40DC1357" w14:textId="17C57182"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sidR="000943B5">
              <w:rPr>
                <w:noProof/>
                <w:webHidden/>
              </w:rPr>
              <w:t>1</w:t>
            </w:r>
          </w:hyperlink>
        </w:p>
        <w:p w14:paraId="55DECD71" w14:textId="0C648F89"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sidR="00753E63">
              <w:rPr>
                <w:noProof/>
                <w:webHidden/>
              </w:rPr>
              <w:t>1</w:t>
            </w:r>
          </w:hyperlink>
        </w:p>
        <w:p w14:paraId="5F7C43E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3D463602" w14:textId="1891B64C"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 </w:t>
            </w:r>
            <w:r w:rsidRPr="005D132F">
              <w:rPr>
                <w:rStyle w:val="Hyperlink"/>
                <w:rFonts w:cs="Arial"/>
                <w:bCs/>
                <w:noProof/>
                <w:kern w:val="2"/>
                <w:lang w:eastAsia="en-US"/>
                <w14:ligatures w14:val="standardContextual"/>
              </w:rPr>
              <w:t>Research Methodologies</w:t>
            </w:r>
            <w:r>
              <w:rPr>
                <w:noProof/>
                <w:webHidden/>
              </w:rPr>
              <w:tab/>
            </w:r>
            <w:r w:rsidR="000943B5">
              <w:rPr>
                <w:noProof/>
                <w:webHidden/>
              </w:rPr>
              <w:t>3</w:t>
            </w:r>
          </w:hyperlink>
        </w:p>
        <w:p w14:paraId="4992C7F0" w14:textId="2521A903" w:rsidR="00DB181C" w:rsidRDefault="000943B5">
          <w:pPr>
            <w:pStyle w:val="TOC2"/>
            <w:tabs>
              <w:tab w:val="right" w:leader="dot" w:pos="9016"/>
            </w:tabs>
            <w:rPr>
              <w:rFonts w:asciiTheme="minorHAnsi" w:eastAsiaTheme="minorEastAsia" w:hAnsiTheme="minorHAnsi" w:cstheme="minorBidi"/>
              <w:noProof/>
              <w:sz w:val="22"/>
              <w:szCs w:val="22"/>
            </w:rPr>
          </w:pPr>
          <w:hyperlink w:anchor="_Toc213674536" w:history="1">
            <w:r>
              <w:rPr>
                <w:rStyle w:val="Hyperlink"/>
                <w:rFonts w:cs="Arial"/>
                <w:noProof/>
                <w:kern w:val="2"/>
                <w:lang w:eastAsia="en-US"/>
                <w14:ligatures w14:val="standardContextual"/>
              </w:rPr>
              <w:t>O</w:t>
            </w:r>
            <w:r w:rsidR="00DB181C" w:rsidRPr="005D132F">
              <w:rPr>
                <w:rStyle w:val="Hyperlink"/>
                <w:rFonts w:cs="Arial"/>
                <w:noProof/>
                <w:kern w:val="2"/>
                <w:lang w:eastAsia="en-US"/>
                <w14:ligatures w14:val="standardContextual"/>
              </w:rPr>
              <w:t>verview of quantitative and qualitative research.</w:t>
            </w:r>
            <w:r w:rsidR="00DB181C">
              <w:rPr>
                <w:noProof/>
                <w:webHidden/>
              </w:rPr>
              <w:tab/>
            </w:r>
            <w:r>
              <w:rPr>
                <w:noProof/>
                <w:webHidden/>
              </w:rPr>
              <w:t>3</w:t>
            </w:r>
          </w:hyperlink>
        </w:p>
        <w:p w14:paraId="1F0D1A88" w14:textId="5E8315BE"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 xml:space="preserve"> </w:t>
            </w:r>
            <w:r w:rsidR="000943B5">
              <w:rPr>
                <w:rStyle w:val="Hyperlink"/>
                <w:noProof/>
                <w:lang w:eastAsia="en-US"/>
              </w:rPr>
              <w:t>t</w:t>
            </w:r>
            <w:r w:rsidRPr="005D132F">
              <w:rPr>
                <w:rStyle w:val="Hyperlink"/>
                <w:noProof/>
                <w:lang w:eastAsia="en-US"/>
              </w:rPr>
              <w:t>ype of research methodology</w:t>
            </w:r>
            <w:r w:rsidR="000943B5">
              <w:rPr>
                <w:rStyle w:val="Hyperlink"/>
                <w:noProof/>
                <w:lang w:eastAsia="en-US"/>
              </w:rPr>
              <w:t xml:space="preserve"> </w:t>
            </w:r>
            <w:r w:rsidRPr="005D132F">
              <w:rPr>
                <w:rStyle w:val="Hyperlink"/>
                <w:noProof/>
                <w:lang w:eastAsia="en-US"/>
              </w:rPr>
              <w:t xml:space="preserve">use for </w:t>
            </w:r>
            <w:r w:rsidR="00DF30CE">
              <w:rPr>
                <w:rStyle w:val="Hyperlink"/>
                <w:noProof/>
                <w:lang w:eastAsia="en-US"/>
              </w:rPr>
              <w:t>my</w:t>
            </w:r>
            <w:r w:rsidRPr="005D132F">
              <w:rPr>
                <w:rStyle w:val="Hyperlink"/>
                <w:noProof/>
                <w:lang w:eastAsia="en-US"/>
              </w:rPr>
              <w:t xml:space="preserve">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54BF8CCD" w14:textId="0AC59A38"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Data Collection</w:t>
            </w:r>
            <w:r>
              <w:rPr>
                <w:noProof/>
                <w:webHidden/>
              </w:rPr>
              <w:tab/>
            </w:r>
            <w:r w:rsidR="00753E63">
              <w:rPr>
                <w:noProof/>
                <w:webHidden/>
              </w:rPr>
              <w:t>3</w:t>
            </w:r>
          </w:hyperlink>
        </w:p>
        <w:p w14:paraId="5389738E" w14:textId="3E836C35"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sidR="00753E63">
              <w:rPr>
                <w:noProof/>
                <w:webHidden/>
              </w:rPr>
              <w:t>3</w:t>
            </w:r>
          </w:hyperlink>
        </w:p>
        <w:p w14:paraId="5B22FBAE" w14:textId="100BD6E6"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 xml:space="preserve"> </w:t>
            </w:r>
            <w:r w:rsidR="000943B5">
              <w:rPr>
                <w:rStyle w:val="Hyperlink"/>
                <w:noProof/>
                <w:lang w:eastAsia="en-US"/>
              </w:rPr>
              <w:t>F</w:t>
            </w:r>
            <w:r w:rsidRPr="005D132F">
              <w:rPr>
                <w:rStyle w:val="Hyperlink"/>
                <w:noProof/>
                <w:lang w:eastAsia="en-US"/>
              </w:rPr>
              <w:t xml:space="preserve">orm of data will be used to address </w:t>
            </w:r>
            <w:r w:rsidR="000943B5">
              <w:rPr>
                <w:rStyle w:val="Hyperlink"/>
                <w:noProof/>
                <w:lang w:eastAsia="en-US"/>
              </w:rPr>
              <w:t>the</w:t>
            </w:r>
            <w:r w:rsidRPr="005D132F">
              <w:rPr>
                <w:rStyle w:val="Hyperlink"/>
                <w:noProof/>
                <w:lang w:eastAsia="en-US"/>
              </w:rPr>
              <w:t xml:space="preserve"> research problem, and why?</w:t>
            </w:r>
            <w:r>
              <w:rPr>
                <w:noProof/>
                <w:webHidden/>
              </w:rPr>
              <w:tab/>
            </w:r>
            <w:r w:rsidR="000943B5">
              <w:rPr>
                <w:noProof/>
                <w:webHidden/>
              </w:rPr>
              <w:t>4</w:t>
            </w:r>
          </w:hyperlink>
        </w:p>
        <w:p w14:paraId="681E2E08" w14:textId="7BBC2200"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sidR="000943B5">
              <w:rPr>
                <w:noProof/>
                <w:webHidden/>
              </w:rPr>
              <w:t>4</w:t>
            </w:r>
          </w:hyperlink>
        </w:p>
        <w:p w14:paraId="68D8D15B" w14:textId="463C9309"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sidR="000943B5">
              <w:rPr>
                <w:noProof/>
                <w:webHidden/>
              </w:rPr>
              <w:t>5</w:t>
            </w:r>
          </w:hyperlink>
        </w:p>
        <w:p w14:paraId="60E471D7" w14:textId="77777777" w:rsidR="00530E16" w:rsidRPr="00CF650B" w:rsidRDefault="004468F8">
          <w:r>
            <w:fldChar w:fldCharType="end"/>
          </w:r>
        </w:p>
      </w:sdtContent>
    </w:sdt>
    <w:p w14:paraId="36F02085" w14:textId="77777777" w:rsidR="00530E16" w:rsidRDefault="00530E16">
      <w:pPr>
        <w:rPr>
          <w:rFonts w:ascii="Arial" w:eastAsia="Arial" w:hAnsi="Arial" w:cs="Arial"/>
        </w:rPr>
      </w:pPr>
    </w:p>
    <w:p w14:paraId="351C58DF" w14:textId="77777777" w:rsidR="00530E16" w:rsidRDefault="00530E16">
      <w:pPr>
        <w:rPr>
          <w:rFonts w:ascii="Arial" w:eastAsia="Arial" w:hAnsi="Arial" w:cs="Arial"/>
        </w:rPr>
      </w:pPr>
    </w:p>
    <w:p w14:paraId="1B8A3297" w14:textId="77777777" w:rsidR="00530E16" w:rsidRDefault="00530E16">
      <w:pPr>
        <w:rPr>
          <w:rFonts w:ascii="Arial" w:eastAsia="Arial" w:hAnsi="Arial" w:cs="Arial"/>
        </w:rPr>
      </w:pPr>
    </w:p>
    <w:p w14:paraId="1FC37A96" w14:textId="77777777" w:rsidR="00530E16" w:rsidRDefault="00530E16">
      <w:pPr>
        <w:rPr>
          <w:rFonts w:ascii="Arial" w:eastAsia="Arial" w:hAnsi="Arial" w:cs="Arial"/>
        </w:rPr>
      </w:pPr>
    </w:p>
    <w:p w14:paraId="29429B05" w14:textId="77777777" w:rsidR="00530E16" w:rsidRDefault="00530E16">
      <w:pPr>
        <w:rPr>
          <w:rFonts w:ascii="Arial" w:eastAsia="Arial" w:hAnsi="Arial" w:cs="Arial"/>
        </w:rPr>
      </w:pPr>
    </w:p>
    <w:p w14:paraId="7B41D013" w14:textId="77777777" w:rsidR="00530E16" w:rsidRDefault="00530E16">
      <w:pPr>
        <w:rPr>
          <w:rFonts w:ascii="Arial" w:eastAsia="Arial" w:hAnsi="Arial" w:cs="Arial"/>
        </w:rPr>
      </w:pPr>
    </w:p>
    <w:p w14:paraId="26D87120" w14:textId="77777777" w:rsidR="00530E16" w:rsidRDefault="00530E16">
      <w:pPr>
        <w:rPr>
          <w:rFonts w:ascii="Arial" w:eastAsia="Arial" w:hAnsi="Arial" w:cs="Arial"/>
        </w:rPr>
      </w:pPr>
    </w:p>
    <w:p w14:paraId="587894CB" w14:textId="77777777" w:rsidR="00530E16" w:rsidRDefault="00530E16">
      <w:pPr>
        <w:rPr>
          <w:rFonts w:ascii="Arial" w:eastAsia="Arial" w:hAnsi="Arial" w:cs="Arial"/>
        </w:rPr>
      </w:pPr>
    </w:p>
    <w:p w14:paraId="24F1041E" w14:textId="77777777" w:rsidR="00530E16" w:rsidRDefault="00530E16">
      <w:pPr>
        <w:rPr>
          <w:rFonts w:ascii="Arial" w:eastAsia="Arial" w:hAnsi="Arial" w:cs="Arial"/>
        </w:rPr>
      </w:pPr>
    </w:p>
    <w:p w14:paraId="4D37BA9B" w14:textId="77777777" w:rsidR="00530E16" w:rsidRDefault="00530E16">
      <w:pPr>
        <w:rPr>
          <w:rFonts w:ascii="Arial" w:eastAsia="Arial" w:hAnsi="Arial" w:cs="Arial"/>
        </w:rPr>
      </w:pPr>
    </w:p>
    <w:p w14:paraId="6DFE9FA0" w14:textId="77777777" w:rsidR="00530E16" w:rsidRDefault="00530E16">
      <w:pPr>
        <w:rPr>
          <w:rFonts w:ascii="Arial" w:eastAsia="Arial" w:hAnsi="Arial" w:cs="Arial"/>
        </w:rPr>
      </w:pPr>
    </w:p>
    <w:p w14:paraId="5C3EBCBA" w14:textId="77777777" w:rsidR="00530E16" w:rsidRDefault="00530E16">
      <w:pPr>
        <w:rPr>
          <w:rFonts w:ascii="Arial" w:eastAsia="Arial" w:hAnsi="Arial" w:cs="Arial"/>
        </w:rPr>
      </w:pPr>
    </w:p>
    <w:p w14:paraId="6DDB124B" w14:textId="77777777" w:rsidR="00530E16" w:rsidRDefault="00530E16">
      <w:pPr>
        <w:rPr>
          <w:rFonts w:ascii="Arial" w:eastAsia="Arial" w:hAnsi="Arial" w:cs="Arial"/>
        </w:rPr>
      </w:pPr>
    </w:p>
    <w:p w14:paraId="0859C893" w14:textId="77777777" w:rsidR="00530E16" w:rsidRDefault="00530E16">
      <w:pPr>
        <w:rPr>
          <w:rFonts w:ascii="Arial" w:eastAsia="Arial" w:hAnsi="Arial" w:cs="Arial"/>
        </w:rPr>
      </w:pPr>
    </w:p>
    <w:p w14:paraId="777076A8" w14:textId="77777777" w:rsidR="002A1842" w:rsidRDefault="002A1842">
      <w:pPr>
        <w:rPr>
          <w:rFonts w:ascii="Arial" w:eastAsia="Arial" w:hAnsi="Arial" w:cs="Arial"/>
        </w:rPr>
        <w:sectPr w:rsidR="002A1842">
          <w:footerReference w:type="default" r:id="rId9"/>
          <w:footerReference w:type="first" r:id="rId10"/>
          <w:pgSz w:w="11906" w:h="16838"/>
          <w:pgMar w:top="1440" w:right="1440" w:bottom="1440" w:left="1440" w:header="708" w:footer="708" w:gutter="0"/>
          <w:pgNumType w:start="0"/>
          <w:cols w:space="720"/>
          <w:titlePg/>
        </w:sectPr>
      </w:pPr>
    </w:p>
    <w:p w14:paraId="30850145" w14:textId="77777777" w:rsidR="00530E16" w:rsidRDefault="00530E16">
      <w:pPr>
        <w:rPr>
          <w:rFonts w:ascii="Arial" w:eastAsia="Arial" w:hAnsi="Arial" w:cs="Arial"/>
        </w:rPr>
      </w:pPr>
    </w:p>
    <w:p w14:paraId="0E3C1FF5" w14:textId="32AFE067" w:rsidR="00716B30" w:rsidRPr="000943B5" w:rsidRDefault="00DF30CE" w:rsidP="000943B5">
      <w:pPr>
        <w:pStyle w:val="Heading1"/>
        <w:jc w:val="center"/>
        <w:rPr>
          <w:rFonts w:ascii="Arial" w:hAnsi="Arial" w:cs="Arial"/>
          <w:b/>
          <w:bCs/>
          <w:color w:val="000000" w:themeColor="text1"/>
          <w:sz w:val="28"/>
          <w:szCs w:val="28"/>
        </w:rPr>
      </w:pPr>
      <w:r>
        <w:rPr>
          <w:rFonts w:ascii="Arial" w:hAnsi="Arial" w:cs="Arial"/>
          <w:b/>
          <w:bCs/>
          <w:color w:val="000000" w:themeColor="text1"/>
          <w:sz w:val="28"/>
          <w:szCs w:val="28"/>
        </w:rPr>
        <w:t xml:space="preserve">Research topic: </w:t>
      </w:r>
      <w:r w:rsidR="00434DD4" w:rsidRPr="000943B5">
        <w:rPr>
          <w:rFonts w:ascii="Arial" w:hAnsi="Arial" w:cs="Arial"/>
          <w:b/>
          <w:bCs/>
          <w:color w:val="000000" w:themeColor="text1"/>
          <w:sz w:val="28"/>
          <w:szCs w:val="28"/>
        </w:rPr>
        <w:t>Workforce Shortage</w:t>
      </w:r>
    </w:p>
    <w:p w14:paraId="798E7FD1" w14:textId="3292ECA3" w:rsidR="00530E16" w:rsidRPr="00BA7BD6" w:rsidRDefault="00434DD4">
      <w:pPr>
        <w:pStyle w:val="Heading1"/>
        <w:rPr>
          <w:rFonts w:ascii="Arial" w:hAnsi="Arial" w:cs="Arial"/>
        </w:rPr>
      </w:pPr>
      <w:r w:rsidRPr="00BA7BD6">
        <w:rPr>
          <w:rFonts w:ascii="Arial" w:hAnsi="Arial" w:cs="Arial"/>
        </w:rPr>
        <w:t xml:space="preserve"> </w:t>
      </w:r>
      <w:r w:rsidR="00BA7BD6" w:rsidRPr="00BA7BD6">
        <w:rPr>
          <w:rFonts w:ascii="Arial" w:hAnsi="Arial" w:cs="Arial"/>
          <w:b/>
          <w:bCs/>
          <w:color w:val="000000" w:themeColor="text1"/>
          <w:sz w:val="32"/>
          <w:szCs w:val="32"/>
        </w:rPr>
        <w:t>Introduction</w:t>
      </w:r>
    </w:p>
    <w:p w14:paraId="55E9832B" w14:textId="2D0BA313" w:rsidR="004468F8" w:rsidRDefault="000943B5" w:rsidP="007B35DB">
      <w:pPr>
        <w:pStyle w:val="Heading1"/>
        <w:jc w:val="both"/>
      </w:pPr>
      <w:r w:rsidRPr="000943B5">
        <w:rPr>
          <w:rFonts w:ascii="Arial" w:hAnsi="Arial" w:cs="Arial"/>
          <w:color w:val="auto"/>
          <w:sz w:val="22"/>
          <w:szCs w:val="22"/>
        </w:rPr>
        <w:t>The UK health and social care sector is also facing a significant shortage of workforce, which is impacting the consistency and quality of care offered. Ageing of population, increasing service requirements, challenges on attracting new employees, and the rising levels of employees retiring has fuelled this problem. Consequently, the remaining personnel get overworked, more patients are in the queue, and increased pressure arises, which raises the question of safety and the overall level of care. To address this current issue, it is imperative to have better workforce planning, increased training opportunities, and better working conditions to attract and retain professionals.</w:t>
      </w:r>
      <w:r w:rsidR="00AE51AD">
        <w:rPr>
          <w:rFonts w:ascii="Arial" w:hAnsi="Arial" w:cs="Arial"/>
          <w:sz w:val="22"/>
          <w:szCs w:val="22"/>
        </w:rPr>
        <w:br/>
      </w:r>
    </w:p>
    <w:p w14:paraId="2F3D20E5" w14:textId="41D0FBB0" w:rsidR="005D4DE3" w:rsidRPr="00DF30CE" w:rsidRDefault="00BA7BD6" w:rsidP="007B35DB">
      <w:pPr>
        <w:jc w:val="both"/>
        <w:rPr>
          <w:rFonts w:ascii="Arial" w:hAnsi="Arial" w:cs="Arial"/>
          <w:sz w:val="28"/>
          <w:szCs w:val="28"/>
        </w:rPr>
      </w:pPr>
      <w:bookmarkStart w:id="0" w:name="_Toc213674532"/>
      <w:r w:rsidRPr="00DF30CE">
        <w:rPr>
          <w:rFonts w:ascii="Arial" w:hAnsi="Arial" w:cs="Arial"/>
          <w:b/>
          <w:bCs/>
          <w:color w:val="000000" w:themeColor="text1"/>
          <w:sz w:val="28"/>
          <w:szCs w:val="28"/>
        </w:rPr>
        <w:t>Problem Statement</w:t>
      </w:r>
      <w:bookmarkEnd w:id="0"/>
    </w:p>
    <w:p w14:paraId="4C14A16A" w14:textId="77777777" w:rsidR="00BA7BD6" w:rsidRDefault="000943B5" w:rsidP="007B35DB">
      <w:pPr>
        <w:jc w:val="both"/>
        <w:rPr>
          <w:rFonts w:ascii="Arial" w:eastAsiaTheme="majorEastAsia" w:hAnsi="Arial" w:cs="Arial"/>
          <w:sz w:val="22"/>
          <w:szCs w:val="22"/>
        </w:rPr>
      </w:pPr>
      <w:r w:rsidRPr="000943B5">
        <w:rPr>
          <w:rFonts w:ascii="Arial" w:eastAsiaTheme="majorEastAsia" w:hAnsi="Arial" w:cs="Arial"/>
          <w:sz w:val="22"/>
          <w:szCs w:val="22"/>
        </w:rPr>
        <w:t>The Adult Social Care (ASC) and the National Health Service (NHS) are under a critical structural challenge in the UK that is characterized by ubiquitous staffing shortfalls. In this crisis, chronic failure of recruitment and retention are also observed that directly affect the delivery of services and patient safety. By March 2024, the NHS in England indicated that there were 100,658 vacancies, which validates the strain in operations in acute care settings. The ASC sector is under the same pressure as the 111,000 vacant posts were registered in 2024/25 2 which show the 7% vacancy rate. It is worsened by a very high turnover rate of 24.7% in the autonomous social care area 2 resulting in the continuous loss of knowledge and disjointed care continuity.</w:t>
      </w:r>
      <w:r w:rsidR="00BA7BD6">
        <w:rPr>
          <w:rFonts w:ascii="Arial" w:eastAsiaTheme="majorEastAsia" w:hAnsi="Arial" w:cs="Arial"/>
          <w:sz w:val="22"/>
          <w:szCs w:val="22"/>
        </w:rPr>
        <w:br/>
      </w:r>
      <w:r w:rsidR="00BA7BD6">
        <w:rPr>
          <w:rFonts w:ascii="Arial" w:eastAsiaTheme="majorEastAsia" w:hAnsi="Arial" w:cs="Arial"/>
          <w:sz w:val="22"/>
          <w:szCs w:val="22"/>
        </w:rPr>
        <w:br/>
      </w:r>
    </w:p>
    <w:p w14:paraId="7E904CB5" w14:textId="4CECA28B" w:rsidR="004468F8" w:rsidRDefault="00BA7BD6" w:rsidP="00E56E9D">
      <w:r w:rsidRPr="00DF30CE">
        <w:rPr>
          <w:rFonts w:ascii="Arial" w:hAnsi="Arial" w:cs="Arial"/>
          <w:b/>
          <w:bCs/>
          <w:color w:val="000000" w:themeColor="text1"/>
          <w:sz w:val="28"/>
          <w:szCs w:val="28"/>
        </w:rPr>
        <w:t>Justification</w:t>
      </w:r>
      <w:r>
        <w:rPr>
          <w:rFonts w:ascii="Arial" w:eastAsiaTheme="majorEastAsia" w:hAnsi="Arial" w:cs="Arial"/>
          <w:sz w:val="22"/>
          <w:szCs w:val="22"/>
        </w:rPr>
        <w:br/>
      </w:r>
      <w:r w:rsidR="000943B5" w:rsidRPr="000943B5">
        <w:rPr>
          <w:rFonts w:ascii="Arial" w:eastAsiaTheme="majorEastAsia" w:hAnsi="Arial" w:cs="Arial"/>
          <w:sz w:val="22"/>
          <w:szCs w:val="22"/>
        </w:rPr>
        <w:t xml:space="preserve"> In the future, the structural deficit is expected to increase exponentially; the ASC industry alone is projected to demand nearly 470,000 new positions by 2040 just to absorb the demographic pressures.2 With the present situation, it is still reliant on international recruitment, and by 2022/23, about 21 percent of the NHS and 19 percent of ASC workforce will consist of foreign nationals. The consequences impact on all the stakeholders. Low staffing subjects the patients to high mortality and lapsed care. The resultant issue affecting employees, including nurses, physicians, and caregivers, is the increased work load, professional burnout, and well-being damages, which directly causes attrition. Finally, the high turnover rates of temporary employee allocation to cover temporary vacancies are causing health care Organisations to spend a lot of money and to operate in a way that is inefficient. Low level of staffing is no longer an administration issue, but a simple foreseeable threat to patient safety. The strengthen of epidemiological researches showing a close interrelation between the number of registered nurse staffing and patient mortality is also proven. One study of European acute hospitals (UK one of them) found that the higher the patient allocation to a registered nurse, the higher the risk that the patient would die within </w:t>
      </w:r>
      <w:r w:rsidR="000943B5" w:rsidRPr="000943B5">
        <w:rPr>
          <w:rFonts w:ascii="Arial" w:eastAsiaTheme="majorEastAsia" w:hAnsi="Arial" w:cs="Arial"/>
          <w:sz w:val="22"/>
          <w:szCs w:val="22"/>
        </w:rPr>
        <w:lastRenderedPageBreak/>
        <w:t>30 days of the time of admission increased by 7 percent. In addition, understaffing is usually the cause of the so-called missed care that encompasses such basic nursing tasks as oversight, missed medication uptake, and inadequate cleanliness. A 10 percent alteration in the number of missed care indicated by the registered nurses (10 percent upward or downward) will lead to 16 percent likelihood that the patient will pass away within 30 days of attending to him/her.</w:t>
      </w:r>
      <w:r w:rsidR="000943B5">
        <w:rPr>
          <w:rFonts w:ascii="Arial" w:eastAsiaTheme="majorEastAsia" w:hAnsi="Arial" w:cs="Arial"/>
          <w:sz w:val="22"/>
          <w:szCs w:val="22"/>
        </w:rPr>
        <w:t xml:space="preserve"> </w:t>
      </w:r>
      <w:r w:rsidR="000943B5" w:rsidRPr="000943B5">
        <w:rPr>
          <w:rFonts w:ascii="Arial" w:eastAsia="Arial" w:hAnsi="Arial" w:cs="Arial"/>
          <w:b/>
          <w:bCs/>
          <w:sz w:val="22"/>
          <w:szCs w:val="22"/>
        </w:rPr>
        <w:t>POST</w:t>
      </w:r>
      <w:r w:rsidR="00D73559">
        <w:rPr>
          <w:rFonts w:ascii="Arial" w:eastAsia="Arial" w:hAnsi="Arial" w:cs="Arial"/>
          <w:b/>
          <w:bCs/>
          <w:sz w:val="22"/>
          <w:szCs w:val="22"/>
        </w:rPr>
        <w:t>(</w:t>
      </w:r>
      <w:r w:rsidR="000943B5" w:rsidRPr="000943B5">
        <w:rPr>
          <w:rFonts w:ascii="Arial" w:eastAsia="Arial" w:hAnsi="Arial" w:cs="Arial"/>
          <w:b/>
          <w:bCs/>
          <w:sz w:val="22"/>
          <w:szCs w:val="22"/>
        </w:rPr>
        <w:t xml:space="preserve"> 2024)</w:t>
      </w:r>
      <w:r w:rsidR="00872F94">
        <w:br/>
      </w:r>
    </w:p>
    <w:p w14:paraId="00DBAE8C" w14:textId="77777777" w:rsidR="004468F8" w:rsidRDefault="004468F8" w:rsidP="004468F8"/>
    <w:p w14:paraId="06C3EED4" w14:textId="6A94BD32" w:rsidR="004468F8" w:rsidRPr="00DF30CE" w:rsidRDefault="00BA7BD6" w:rsidP="004468F8">
      <w:pPr>
        <w:rPr>
          <w:rFonts w:ascii="Arial" w:hAnsi="Arial" w:cs="Arial"/>
          <w:sz w:val="28"/>
          <w:szCs w:val="28"/>
        </w:rPr>
      </w:pPr>
      <w:r w:rsidRPr="00DF30CE">
        <w:rPr>
          <w:rFonts w:ascii="Arial" w:hAnsi="Arial" w:cs="Arial"/>
          <w:b/>
          <w:bCs/>
          <w:color w:val="000000" w:themeColor="text1"/>
          <w:sz w:val="28"/>
          <w:szCs w:val="28"/>
        </w:rPr>
        <w:t>Information Sources and Justification</w:t>
      </w:r>
    </w:p>
    <w:p w14:paraId="3DD10C11" w14:textId="06C24737" w:rsidR="00872F94" w:rsidRPr="000943B5" w:rsidRDefault="000943B5" w:rsidP="00872F94">
      <w:pPr>
        <w:rPr>
          <w:rFonts w:ascii="Arial" w:hAnsi="Arial" w:cs="Arial"/>
          <w:sz w:val="22"/>
          <w:szCs w:val="22"/>
        </w:rPr>
      </w:pPr>
      <w:r>
        <w:rPr>
          <w:rFonts w:ascii="Arial" w:hAnsi="Arial" w:cs="Arial"/>
          <w:sz w:val="22"/>
          <w:szCs w:val="22"/>
        </w:rPr>
        <w:t>The r</w:t>
      </w:r>
      <w:r w:rsidR="00872F94" w:rsidRPr="000943B5">
        <w:rPr>
          <w:rFonts w:ascii="Arial" w:hAnsi="Arial" w:cs="Arial"/>
          <w:sz w:val="22"/>
          <w:szCs w:val="22"/>
        </w:rPr>
        <w:t>elevant Information Sources Discussion.</w:t>
      </w:r>
    </w:p>
    <w:p w14:paraId="2C0EFEB9" w14:textId="115CDE5B" w:rsidR="00872F94" w:rsidRPr="000943B5" w:rsidRDefault="00872F94" w:rsidP="00872F94">
      <w:pPr>
        <w:rPr>
          <w:rFonts w:ascii="Arial" w:hAnsi="Arial" w:cs="Arial"/>
          <w:sz w:val="22"/>
          <w:szCs w:val="22"/>
        </w:rPr>
      </w:pPr>
      <w:r w:rsidRPr="000943B5">
        <w:rPr>
          <w:rFonts w:ascii="Arial" w:hAnsi="Arial" w:cs="Arial"/>
          <w:sz w:val="22"/>
          <w:szCs w:val="22"/>
        </w:rPr>
        <w:t>The proposed research has authoritative sources that prove the scale, clinical causality and policy context of the workforce crisis.</w:t>
      </w:r>
    </w:p>
    <w:p w14:paraId="564EC6EA" w14:textId="7B04E243" w:rsidR="00872F94" w:rsidRPr="000943B5" w:rsidRDefault="000943B5" w:rsidP="00872F94">
      <w:pPr>
        <w:rPr>
          <w:rFonts w:ascii="Arial" w:hAnsi="Arial" w:cs="Arial"/>
          <w:sz w:val="22"/>
          <w:szCs w:val="22"/>
        </w:rPr>
      </w:pPr>
      <w:r w:rsidRPr="000943B5">
        <w:rPr>
          <w:rFonts w:ascii="Arial" w:hAnsi="Arial" w:cs="Arial"/>
          <w:sz w:val="22"/>
          <w:szCs w:val="22"/>
        </w:rPr>
        <w:t xml:space="preserve">From </w:t>
      </w:r>
      <w:r w:rsidR="00872F94" w:rsidRPr="000943B5">
        <w:rPr>
          <w:rFonts w:ascii="Arial" w:hAnsi="Arial" w:cs="Arial"/>
          <w:sz w:val="22"/>
          <w:szCs w:val="22"/>
        </w:rPr>
        <w:t xml:space="preserve">Source </w:t>
      </w:r>
      <w:r w:rsidRPr="000943B5">
        <w:rPr>
          <w:rFonts w:ascii="Arial" w:hAnsi="Arial" w:cs="Arial"/>
          <w:sz w:val="22"/>
          <w:szCs w:val="22"/>
        </w:rPr>
        <w:t xml:space="preserve">1 </w:t>
      </w:r>
      <w:r w:rsidR="00872F94" w:rsidRPr="000943B5">
        <w:rPr>
          <w:rFonts w:ascii="Arial" w:hAnsi="Arial" w:cs="Arial"/>
          <w:sz w:val="22"/>
          <w:szCs w:val="22"/>
        </w:rPr>
        <w:t xml:space="preserve"> </w:t>
      </w:r>
      <w:r w:rsidR="00872F94" w:rsidRPr="000943B5">
        <w:rPr>
          <w:rFonts w:ascii="Arial" w:hAnsi="Arial" w:cs="Arial"/>
          <w:b/>
          <w:bCs/>
          <w:sz w:val="22"/>
          <w:szCs w:val="22"/>
        </w:rPr>
        <w:t xml:space="preserve">Skills for Care </w:t>
      </w:r>
      <w:r>
        <w:rPr>
          <w:rFonts w:ascii="Arial" w:hAnsi="Arial" w:cs="Arial"/>
          <w:b/>
          <w:bCs/>
          <w:sz w:val="22"/>
          <w:szCs w:val="22"/>
        </w:rPr>
        <w:t>(</w:t>
      </w:r>
      <w:r w:rsidRPr="000943B5">
        <w:rPr>
          <w:rFonts w:ascii="Arial" w:hAnsi="Arial" w:cs="Arial"/>
          <w:b/>
          <w:bCs/>
          <w:sz w:val="22"/>
          <w:szCs w:val="22"/>
        </w:rPr>
        <w:t>2024</w:t>
      </w:r>
      <w:r>
        <w:rPr>
          <w:rFonts w:ascii="Arial" w:hAnsi="Arial" w:cs="Arial"/>
          <w:b/>
          <w:bCs/>
          <w:sz w:val="22"/>
          <w:szCs w:val="22"/>
        </w:rPr>
        <w:t>)</w:t>
      </w:r>
      <w:r>
        <w:rPr>
          <w:rFonts w:ascii="Arial" w:hAnsi="Arial" w:cs="Arial"/>
          <w:sz w:val="22"/>
          <w:szCs w:val="22"/>
        </w:rPr>
        <w:t xml:space="preserve"> </w:t>
      </w:r>
      <w:r w:rsidR="00872F94" w:rsidRPr="000943B5">
        <w:rPr>
          <w:rFonts w:ascii="Arial" w:hAnsi="Arial" w:cs="Arial"/>
          <w:sz w:val="22"/>
          <w:szCs w:val="22"/>
        </w:rPr>
        <w:t>Report- State of the Adult Social Care Workforce.</w:t>
      </w:r>
    </w:p>
    <w:p w14:paraId="2731D254" w14:textId="77777777" w:rsidR="00872F94" w:rsidRPr="000943B5" w:rsidRDefault="00872F94" w:rsidP="00872F94">
      <w:pPr>
        <w:rPr>
          <w:rFonts w:ascii="Arial" w:hAnsi="Arial" w:cs="Arial"/>
          <w:sz w:val="22"/>
          <w:szCs w:val="22"/>
        </w:rPr>
      </w:pPr>
      <w:r w:rsidRPr="000943B5">
        <w:rPr>
          <w:rFonts w:ascii="Arial" w:hAnsi="Arial" w:cs="Arial"/>
          <w:sz w:val="22"/>
          <w:szCs w:val="22"/>
        </w:rPr>
        <w:t xml:space="preserve">This is an annual report which presents certain decisive, industry-specific sovereign statistics accessible with regard to adult social care within England. It also measures the enormous proportion of deficit of 111,000 empty positions and the rate of turnover was 24.7 percent in the independent sector. It defines the very important scale of the future challenge of staffing, forecasting the need in 470,000 new positions in 2040. This source has been chosen as it is the main authoritative source on the non-NHS part of the crisis, they determine the quantitative frame of reference in evaluating the retention phenomenon and the instability of community care services as a whole.   </w:t>
      </w:r>
    </w:p>
    <w:p w14:paraId="537BBE32" w14:textId="3971E513" w:rsidR="00872F94" w:rsidRPr="000943B5" w:rsidRDefault="000943B5" w:rsidP="00872F94">
      <w:pPr>
        <w:rPr>
          <w:rFonts w:ascii="Arial" w:hAnsi="Arial" w:cs="Arial"/>
          <w:sz w:val="22"/>
          <w:szCs w:val="22"/>
        </w:rPr>
      </w:pPr>
      <w:r w:rsidRPr="000943B5">
        <w:rPr>
          <w:rFonts w:ascii="Arial" w:hAnsi="Arial" w:cs="Arial"/>
          <w:sz w:val="22"/>
          <w:szCs w:val="22"/>
        </w:rPr>
        <w:t>from</w:t>
      </w:r>
      <w:r w:rsidR="00872F94" w:rsidRPr="000943B5">
        <w:rPr>
          <w:rFonts w:ascii="Arial" w:hAnsi="Arial" w:cs="Arial"/>
          <w:sz w:val="22"/>
          <w:szCs w:val="22"/>
        </w:rPr>
        <w:t xml:space="preserve"> Source 2 Royal College of Nursing </w:t>
      </w:r>
      <w:r w:rsidR="00872F94" w:rsidRPr="000943B5">
        <w:rPr>
          <w:rFonts w:ascii="Arial" w:hAnsi="Arial" w:cs="Arial"/>
          <w:b/>
          <w:bCs/>
          <w:sz w:val="22"/>
          <w:szCs w:val="22"/>
        </w:rPr>
        <w:t>RCN</w:t>
      </w:r>
      <w:r w:rsidR="00D73559">
        <w:rPr>
          <w:rFonts w:ascii="Arial" w:hAnsi="Arial" w:cs="Arial"/>
          <w:b/>
          <w:bCs/>
          <w:sz w:val="22"/>
          <w:szCs w:val="22"/>
        </w:rPr>
        <w:t>(</w:t>
      </w:r>
      <w:r w:rsidRPr="000943B5">
        <w:rPr>
          <w:rFonts w:ascii="Arial" w:hAnsi="Arial" w:cs="Arial"/>
          <w:b/>
          <w:bCs/>
          <w:sz w:val="22"/>
          <w:szCs w:val="22"/>
        </w:rPr>
        <w:t>2023</w:t>
      </w:r>
      <w:r w:rsidR="00D73559">
        <w:rPr>
          <w:rFonts w:ascii="Arial" w:hAnsi="Arial" w:cs="Arial"/>
          <w:b/>
          <w:bCs/>
          <w:sz w:val="22"/>
          <w:szCs w:val="22"/>
        </w:rPr>
        <w:t>)</w:t>
      </w:r>
      <w:r w:rsidR="00872F94" w:rsidRPr="000943B5">
        <w:rPr>
          <w:rFonts w:ascii="Arial" w:hAnsi="Arial" w:cs="Arial"/>
          <w:sz w:val="22"/>
          <w:szCs w:val="22"/>
        </w:rPr>
        <w:t xml:space="preserve"> Evidence Review on Staffing and Patient outcome.</w:t>
      </w:r>
    </w:p>
    <w:p w14:paraId="2ED7A1E4" w14:textId="32CAF425" w:rsidR="00872F94" w:rsidRPr="000943B5" w:rsidRDefault="00872F94" w:rsidP="00872F94">
      <w:pPr>
        <w:rPr>
          <w:rFonts w:ascii="Arial" w:hAnsi="Arial" w:cs="Arial"/>
          <w:sz w:val="22"/>
          <w:szCs w:val="22"/>
        </w:rPr>
      </w:pPr>
      <w:r w:rsidRPr="000943B5">
        <w:rPr>
          <w:rFonts w:ascii="Arial" w:hAnsi="Arial" w:cs="Arial"/>
          <w:sz w:val="22"/>
          <w:szCs w:val="22"/>
        </w:rPr>
        <w:t xml:space="preserve">This review gives us the empirical evidence to be able to associate poor staffing with clinical risk and poor cases. The paper not only refers to particular findings, e.g. the 7-percent mortality risk increase with higher workload among nurses, but also openly declares that low staff levels are correlated with mortality, lack of care quality, and care omissions. The reason why this source would be chosen is to provide the causal and ethical rationale that led to the exploration of this subject. It shifts the discussion not on mere resource management, but shows that the undermined patient safety is the direct and foreseeable outcome of staffing deficit.   </w:t>
      </w:r>
    </w:p>
    <w:p w14:paraId="216A7A1A" w14:textId="2BEE2E37" w:rsidR="00872F94" w:rsidRPr="000943B5" w:rsidRDefault="000943B5" w:rsidP="00872F94">
      <w:pPr>
        <w:rPr>
          <w:rFonts w:ascii="Arial" w:hAnsi="Arial" w:cs="Arial"/>
          <w:sz w:val="22"/>
          <w:szCs w:val="22"/>
        </w:rPr>
      </w:pPr>
      <w:r w:rsidRPr="000943B5">
        <w:rPr>
          <w:rFonts w:ascii="Arial" w:hAnsi="Arial" w:cs="Arial"/>
          <w:sz w:val="22"/>
          <w:szCs w:val="22"/>
        </w:rPr>
        <w:t xml:space="preserve">From </w:t>
      </w:r>
      <w:r w:rsidR="00872F94" w:rsidRPr="000943B5">
        <w:rPr>
          <w:rFonts w:ascii="Arial" w:hAnsi="Arial" w:cs="Arial"/>
          <w:sz w:val="22"/>
          <w:szCs w:val="22"/>
        </w:rPr>
        <w:t>Source</w:t>
      </w:r>
      <w:r w:rsidRPr="000943B5">
        <w:rPr>
          <w:rFonts w:ascii="Arial" w:hAnsi="Arial" w:cs="Arial"/>
          <w:sz w:val="22"/>
          <w:szCs w:val="22"/>
        </w:rPr>
        <w:t xml:space="preserve"> 3</w:t>
      </w:r>
      <w:r w:rsidR="00872F94" w:rsidRPr="000943B5">
        <w:rPr>
          <w:rFonts w:ascii="Arial" w:hAnsi="Arial" w:cs="Arial"/>
          <w:sz w:val="22"/>
          <w:szCs w:val="22"/>
        </w:rPr>
        <w:t xml:space="preserve"> </w:t>
      </w:r>
      <w:r>
        <w:rPr>
          <w:rFonts w:ascii="Arial" w:hAnsi="Arial" w:cs="Arial"/>
          <w:sz w:val="22"/>
          <w:szCs w:val="22"/>
        </w:rPr>
        <w:t xml:space="preserve">a </w:t>
      </w:r>
      <w:r w:rsidR="00872F94" w:rsidRPr="000943B5">
        <w:rPr>
          <w:rFonts w:ascii="Arial" w:hAnsi="Arial" w:cs="Arial"/>
          <w:sz w:val="22"/>
          <w:szCs w:val="22"/>
        </w:rPr>
        <w:t xml:space="preserve"> 'Closing the Gap' Report </w:t>
      </w:r>
      <w:r w:rsidR="00872F94" w:rsidRPr="000943B5">
        <w:rPr>
          <w:rFonts w:ascii="Arial" w:hAnsi="Arial" w:cs="Arial"/>
          <w:b/>
          <w:bCs/>
          <w:sz w:val="22"/>
          <w:szCs w:val="22"/>
        </w:rPr>
        <w:t>Health Foundation</w:t>
      </w:r>
      <w:r>
        <w:rPr>
          <w:rFonts w:ascii="Arial" w:hAnsi="Arial" w:cs="Arial"/>
          <w:b/>
          <w:bCs/>
          <w:sz w:val="22"/>
          <w:szCs w:val="22"/>
        </w:rPr>
        <w:t xml:space="preserve"> (</w:t>
      </w:r>
      <w:r w:rsidRPr="000943B5">
        <w:rPr>
          <w:rFonts w:ascii="Arial" w:hAnsi="Arial" w:cs="Arial"/>
          <w:b/>
          <w:bCs/>
          <w:sz w:val="22"/>
          <w:szCs w:val="22"/>
        </w:rPr>
        <w:t>2019</w:t>
      </w:r>
      <w:r>
        <w:rPr>
          <w:rFonts w:ascii="Arial" w:hAnsi="Arial" w:cs="Arial"/>
          <w:b/>
          <w:bCs/>
          <w:sz w:val="22"/>
          <w:szCs w:val="22"/>
        </w:rPr>
        <w:t xml:space="preserve"> )</w:t>
      </w:r>
    </w:p>
    <w:p w14:paraId="0CDAFBDC" w14:textId="00429208" w:rsidR="00872F94" w:rsidRDefault="00872F94" w:rsidP="000943B5">
      <w:r w:rsidRPr="000943B5">
        <w:rPr>
          <w:rFonts w:ascii="Arial" w:hAnsi="Arial" w:cs="Arial"/>
          <w:sz w:val="22"/>
          <w:szCs w:val="22"/>
        </w:rPr>
        <w:t>The level of analysis, which this joint report offers, placed the research into the context of well-established policy debate on the high level, and the relevance of the whole policy changes at the systemic level (such as pay, training, working conditions) require critical analytical context.3 The interdependence of the NHS and social care with each other.</w:t>
      </w:r>
      <w:r w:rsidR="00DD663B" w:rsidRPr="000943B5">
        <w:rPr>
          <w:rFonts w:ascii="Arial" w:hAnsi="Arial" w:cs="Arial"/>
          <w:sz w:val="22"/>
          <w:szCs w:val="22"/>
        </w:rPr>
        <w:br/>
      </w:r>
      <w:r w:rsidR="00DD663B" w:rsidRPr="000943B5">
        <w:rPr>
          <w:rFonts w:ascii="Arial" w:hAnsi="Arial" w:cs="Arial"/>
          <w:sz w:val="22"/>
          <w:szCs w:val="22"/>
        </w:rPr>
        <w:br/>
      </w:r>
      <w:r w:rsidR="00DD663B">
        <w:br/>
      </w:r>
    </w:p>
    <w:p w14:paraId="47FCD42E" w14:textId="77777777" w:rsidR="00872F94" w:rsidRPr="009F60D1" w:rsidRDefault="00872F94" w:rsidP="00872F94">
      <w:pPr>
        <w:pStyle w:val="Default"/>
        <w:rPr>
          <w:rFonts w:ascii="Arial" w:hAnsi="Arial" w:cs="Arial"/>
          <w:color w:val="FF0000"/>
          <w:sz w:val="22"/>
          <w:szCs w:val="22"/>
        </w:rPr>
      </w:pPr>
    </w:p>
    <w:p w14:paraId="514F7B04" w14:textId="4E78C4A5" w:rsidR="00C752FB" w:rsidRPr="00377F05" w:rsidRDefault="00BA7BD6" w:rsidP="00C752FB">
      <w:pPr>
        <w:rPr>
          <w:rFonts w:ascii="Arial" w:hAnsi="Arial" w:cs="Arial"/>
          <w:color w:val="000000" w:themeColor="text1"/>
          <w:sz w:val="28"/>
          <w:szCs w:val="28"/>
        </w:rPr>
      </w:pPr>
      <w:r w:rsidRPr="00DF30CE">
        <w:rPr>
          <w:rFonts w:ascii="Arial" w:hAnsi="Arial" w:cs="Arial"/>
          <w:b/>
          <w:bCs/>
          <w:color w:val="000000" w:themeColor="text1"/>
          <w:sz w:val="28"/>
          <w:szCs w:val="28"/>
        </w:rPr>
        <w:lastRenderedPageBreak/>
        <w:t xml:space="preserve">Overview of quantitative and qualitative research </w:t>
      </w:r>
      <w:r w:rsidR="00C752FB">
        <w:rPr>
          <w:rFonts w:ascii="Arial" w:eastAsia="Arial" w:hAnsi="Arial" w:cs="Arial"/>
          <w:b/>
          <w:bCs/>
          <w:sz w:val="22"/>
          <w:szCs w:val="22"/>
        </w:rPr>
        <w:br/>
      </w:r>
    </w:p>
    <w:tbl>
      <w:tblPr>
        <w:tblStyle w:val="TableGrid"/>
        <w:tblW w:w="0" w:type="auto"/>
        <w:tblLook w:val="04A0" w:firstRow="1" w:lastRow="0" w:firstColumn="1" w:lastColumn="0" w:noHBand="0" w:noVBand="1"/>
      </w:tblPr>
      <w:tblGrid>
        <w:gridCol w:w="4508"/>
        <w:gridCol w:w="4508"/>
      </w:tblGrid>
      <w:tr w:rsidR="00C752FB" w14:paraId="6D1A1D6C" w14:textId="77777777" w:rsidTr="00121AA6">
        <w:tc>
          <w:tcPr>
            <w:tcW w:w="4508" w:type="dxa"/>
          </w:tcPr>
          <w:p w14:paraId="712F3672" w14:textId="77777777" w:rsidR="00C752FB" w:rsidRPr="007F101B" w:rsidRDefault="00C752FB" w:rsidP="00C752FB">
            <w:pPr>
              <w:jc w:val="center"/>
              <w:rPr>
                <w:rFonts w:ascii="Arial" w:hAnsi="Arial" w:cs="Arial"/>
                <w:b/>
                <w:bCs/>
                <w:color w:val="000000" w:themeColor="text1"/>
                <w:sz w:val="22"/>
                <w:szCs w:val="22"/>
              </w:rPr>
            </w:pPr>
            <w:r w:rsidRPr="007F101B">
              <w:rPr>
                <w:rFonts w:ascii="Arial" w:hAnsi="Arial" w:cs="Arial"/>
                <w:b/>
                <w:bCs/>
                <w:color w:val="000000" w:themeColor="text1"/>
                <w:sz w:val="22"/>
                <w:szCs w:val="22"/>
              </w:rPr>
              <w:t>Quantitative Method</w:t>
            </w:r>
          </w:p>
        </w:tc>
        <w:tc>
          <w:tcPr>
            <w:tcW w:w="4508" w:type="dxa"/>
          </w:tcPr>
          <w:p w14:paraId="3B48A621" w14:textId="2AF4F3AA" w:rsidR="00C752FB" w:rsidRPr="007F101B" w:rsidRDefault="00C752FB" w:rsidP="00C752FB">
            <w:pPr>
              <w:jc w:val="center"/>
              <w:rPr>
                <w:rFonts w:ascii="Arial" w:hAnsi="Arial" w:cs="Arial"/>
                <w:b/>
                <w:bCs/>
                <w:color w:val="000000" w:themeColor="text1"/>
                <w:sz w:val="22"/>
                <w:szCs w:val="22"/>
              </w:rPr>
            </w:pPr>
            <w:r w:rsidRPr="007F101B">
              <w:rPr>
                <w:rFonts w:ascii="Arial" w:hAnsi="Arial" w:cs="Arial"/>
                <w:b/>
                <w:bCs/>
                <w:color w:val="000000" w:themeColor="text1"/>
                <w:sz w:val="22"/>
                <w:szCs w:val="22"/>
              </w:rPr>
              <w:t>Qualitative Method</w:t>
            </w:r>
          </w:p>
        </w:tc>
      </w:tr>
      <w:tr w:rsidR="00C752FB" w:rsidRPr="00767C8D" w14:paraId="33EE2637" w14:textId="77777777" w:rsidTr="00121AA6">
        <w:tc>
          <w:tcPr>
            <w:tcW w:w="4508" w:type="dxa"/>
          </w:tcPr>
          <w:p w14:paraId="1DE7A57B" w14:textId="3A8B65C9" w:rsidR="00C752FB" w:rsidRDefault="00C752FB" w:rsidP="00121AA6">
            <w:pPr>
              <w:rPr>
                <w:rFonts w:ascii="Arial" w:hAnsi="Arial" w:cs="Arial"/>
                <w:color w:val="000000" w:themeColor="text1"/>
                <w:sz w:val="22"/>
                <w:szCs w:val="22"/>
              </w:rPr>
            </w:pPr>
            <w:r>
              <w:rPr>
                <w:rFonts w:ascii="Arial" w:hAnsi="Arial" w:cs="Arial"/>
                <w:color w:val="000000" w:themeColor="text1"/>
                <w:sz w:val="22"/>
                <w:szCs w:val="22"/>
              </w:rPr>
              <w:t xml:space="preserve">numerical data and statistical such collected through </w:t>
            </w:r>
            <w:r w:rsidR="00377F05">
              <w:rPr>
                <w:rFonts w:ascii="Arial" w:hAnsi="Arial" w:cs="Arial"/>
                <w:color w:val="000000" w:themeColor="text1"/>
                <w:sz w:val="22"/>
                <w:szCs w:val="22"/>
              </w:rPr>
              <w:t xml:space="preserve">surveys, questionnaires </w:t>
            </w:r>
            <w:r>
              <w:rPr>
                <w:rFonts w:ascii="Arial" w:hAnsi="Arial" w:cs="Arial"/>
                <w:color w:val="000000" w:themeColor="text1"/>
                <w:sz w:val="22"/>
                <w:szCs w:val="22"/>
              </w:rPr>
              <w:t>and epidemiological studies.</w:t>
            </w:r>
          </w:p>
        </w:tc>
        <w:tc>
          <w:tcPr>
            <w:tcW w:w="4508" w:type="dxa"/>
          </w:tcPr>
          <w:p w14:paraId="5AC4333A" w14:textId="32D6A2ED" w:rsidR="00C752FB" w:rsidRPr="00767C8D" w:rsidRDefault="00C752FB" w:rsidP="00121AA6">
            <w:pPr>
              <w:rPr>
                <w:rFonts w:ascii="Arial" w:hAnsi="Arial" w:cs="Arial"/>
                <w:color w:val="000000" w:themeColor="text1"/>
                <w:sz w:val="22"/>
                <w:szCs w:val="22"/>
              </w:rPr>
            </w:pPr>
            <w:r w:rsidRPr="00767C8D">
              <w:rPr>
                <w:rFonts w:ascii="Arial" w:hAnsi="Arial" w:cs="Arial"/>
                <w:color w:val="000000" w:themeColor="text1"/>
                <w:sz w:val="22"/>
                <w:szCs w:val="22"/>
              </w:rPr>
              <w:t>non-numerical data</w:t>
            </w:r>
            <w:r>
              <w:rPr>
                <w:rFonts w:ascii="Arial" w:hAnsi="Arial" w:cs="Arial"/>
                <w:color w:val="000000" w:themeColor="text1"/>
                <w:sz w:val="22"/>
                <w:szCs w:val="22"/>
              </w:rPr>
              <w:t xml:space="preserve"> gathered using interviews and focus groups etc.</w:t>
            </w:r>
          </w:p>
        </w:tc>
      </w:tr>
      <w:tr w:rsidR="00C752FB" w:rsidRPr="00767C8D" w14:paraId="04A5841B" w14:textId="77777777" w:rsidTr="00121AA6">
        <w:tc>
          <w:tcPr>
            <w:tcW w:w="4508" w:type="dxa"/>
          </w:tcPr>
          <w:p w14:paraId="523CE645" w14:textId="27A458ED" w:rsidR="00C752FB" w:rsidRPr="00767C8D" w:rsidRDefault="00C752FB" w:rsidP="00121AA6">
            <w:pPr>
              <w:rPr>
                <w:rFonts w:ascii="Arial" w:hAnsi="Arial" w:cs="Arial"/>
                <w:color w:val="000000" w:themeColor="text1"/>
                <w:sz w:val="22"/>
                <w:szCs w:val="22"/>
              </w:rPr>
            </w:pPr>
            <w:r>
              <w:rPr>
                <w:rFonts w:ascii="Arial" w:hAnsi="Arial" w:cs="Arial"/>
                <w:color w:val="000000" w:themeColor="text1"/>
                <w:sz w:val="22"/>
                <w:szCs w:val="22"/>
              </w:rPr>
              <w:t>Measure variables and also tests hypotheses.</w:t>
            </w:r>
          </w:p>
        </w:tc>
        <w:tc>
          <w:tcPr>
            <w:tcW w:w="4508" w:type="dxa"/>
          </w:tcPr>
          <w:p w14:paraId="055ABA30" w14:textId="69FA2D0A" w:rsidR="00C752FB" w:rsidRPr="00767C8D" w:rsidRDefault="00C752FB" w:rsidP="00121AA6">
            <w:pPr>
              <w:rPr>
                <w:rFonts w:ascii="Arial" w:hAnsi="Arial" w:cs="Arial"/>
                <w:color w:val="000000" w:themeColor="text1"/>
                <w:sz w:val="22"/>
                <w:szCs w:val="22"/>
              </w:rPr>
            </w:pPr>
            <w:r>
              <w:rPr>
                <w:rFonts w:ascii="Arial" w:hAnsi="Arial" w:cs="Arial"/>
                <w:color w:val="000000" w:themeColor="text1"/>
                <w:sz w:val="22"/>
                <w:szCs w:val="22"/>
              </w:rPr>
              <w:t xml:space="preserve">Explores subjective experiences and phenomena. </w:t>
            </w:r>
          </w:p>
        </w:tc>
      </w:tr>
      <w:tr w:rsidR="00C752FB" w:rsidRPr="00767C8D" w14:paraId="71A481DB" w14:textId="77777777" w:rsidTr="00121AA6">
        <w:tc>
          <w:tcPr>
            <w:tcW w:w="4508" w:type="dxa"/>
          </w:tcPr>
          <w:p w14:paraId="5CC9A9EB" w14:textId="4E63F17E" w:rsidR="00C752FB" w:rsidRPr="00767C8D" w:rsidRDefault="00C752FB" w:rsidP="00121AA6">
            <w:pPr>
              <w:rPr>
                <w:rFonts w:ascii="Arial" w:hAnsi="Arial" w:cs="Arial"/>
                <w:color w:val="000000" w:themeColor="text1"/>
                <w:sz w:val="22"/>
                <w:szCs w:val="22"/>
              </w:rPr>
            </w:pPr>
            <w:r>
              <w:rPr>
                <w:rFonts w:ascii="Arial" w:hAnsi="Arial" w:cs="Arial"/>
                <w:color w:val="000000" w:themeColor="text1"/>
                <w:sz w:val="22"/>
                <w:szCs w:val="22"/>
              </w:rPr>
              <w:t>Use for large Scale samples</w:t>
            </w:r>
          </w:p>
        </w:tc>
        <w:tc>
          <w:tcPr>
            <w:tcW w:w="4508" w:type="dxa"/>
          </w:tcPr>
          <w:p w14:paraId="3F88795C" w14:textId="265665C9" w:rsidR="00C752FB" w:rsidRPr="00767C8D" w:rsidRDefault="00C752FB" w:rsidP="00121AA6">
            <w:pPr>
              <w:rPr>
                <w:rFonts w:ascii="Arial" w:hAnsi="Arial" w:cs="Arial"/>
                <w:color w:val="000000" w:themeColor="text1"/>
                <w:sz w:val="22"/>
                <w:szCs w:val="22"/>
              </w:rPr>
            </w:pPr>
            <w:r>
              <w:rPr>
                <w:rFonts w:ascii="Arial" w:hAnsi="Arial" w:cs="Arial"/>
                <w:color w:val="000000" w:themeColor="text1"/>
                <w:sz w:val="22"/>
                <w:szCs w:val="22"/>
              </w:rPr>
              <w:t xml:space="preserve">Use for </w:t>
            </w:r>
            <w:r w:rsidR="00377F05">
              <w:rPr>
                <w:rFonts w:ascii="Arial" w:hAnsi="Arial" w:cs="Arial"/>
                <w:color w:val="000000" w:themeColor="text1"/>
                <w:sz w:val="22"/>
                <w:szCs w:val="22"/>
              </w:rPr>
              <w:t>small and flexible samples</w:t>
            </w:r>
            <w:r>
              <w:rPr>
                <w:rFonts w:ascii="Arial" w:hAnsi="Arial" w:cs="Arial"/>
                <w:color w:val="000000" w:themeColor="text1"/>
                <w:sz w:val="22"/>
                <w:szCs w:val="22"/>
              </w:rPr>
              <w:t>.</w:t>
            </w:r>
          </w:p>
        </w:tc>
      </w:tr>
      <w:tr w:rsidR="00C752FB" w:rsidRPr="00767C8D" w14:paraId="6E72C026" w14:textId="77777777" w:rsidTr="00121AA6">
        <w:tc>
          <w:tcPr>
            <w:tcW w:w="4508" w:type="dxa"/>
          </w:tcPr>
          <w:p w14:paraId="4F169AAE" w14:textId="6252CD7D" w:rsidR="00C752FB" w:rsidRPr="00767C8D" w:rsidRDefault="00C752FB" w:rsidP="00121AA6">
            <w:pPr>
              <w:rPr>
                <w:rFonts w:ascii="Arial" w:hAnsi="Arial" w:cs="Arial"/>
                <w:color w:val="000000" w:themeColor="text1"/>
                <w:sz w:val="22"/>
                <w:szCs w:val="22"/>
              </w:rPr>
            </w:pPr>
            <w:r>
              <w:rPr>
                <w:rFonts w:ascii="Arial" w:hAnsi="Arial" w:cs="Arial"/>
                <w:color w:val="000000" w:themeColor="text1"/>
                <w:sz w:val="22"/>
                <w:szCs w:val="22"/>
              </w:rPr>
              <w:t>U</w:t>
            </w:r>
            <w:r w:rsidR="00377F05">
              <w:rPr>
                <w:rFonts w:ascii="Arial" w:hAnsi="Arial" w:cs="Arial"/>
                <w:color w:val="000000" w:themeColor="text1"/>
                <w:sz w:val="22"/>
                <w:szCs w:val="22"/>
              </w:rPr>
              <w:t>sed in the research</w:t>
            </w:r>
            <w:r>
              <w:rPr>
                <w:rFonts w:ascii="Arial" w:hAnsi="Arial" w:cs="Arial"/>
                <w:color w:val="000000" w:themeColor="text1"/>
                <w:sz w:val="22"/>
                <w:szCs w:val="22"/>
              </w:rPr>
              <w:t xml:space="preserve">, </w:t>
            </w:r>
            <w:r w:rsidR="00377F05">
              <w:rPr>
                <w:rFonts w:ascii="Arial" w:hAnsi="Arial" w:cs="Arial"/>
                <w:color w:val="000000" w:themeColor="text1"/>
                <w:sz w:val="22"/>
                <w:szCs w:val="22"/>
              </w:rPr>
              <w:t>it examines effects like nurse to patient ratios on the clinical outcomes.</w:t>
            </w:r>
          </w:p>
        </w:tc>
        <w:tc>
          <w:tcPr>
            <w:tcW w:w="4508" w:type="dxa"/>
          </w:tcPr>
          <w:p w14:paraId="3138E33F" w14:textId="1AF5C651" w:rsidR="00C752FB" w:rsidRPr="00767C8D" w:rsidRDefault="00377F05" w:rsidP="00121AA6">
            <w:pPr>
              <w:rPr>
                <w:rFonts w:ascii="Arial" w:hAnsi="Arial" w:cs="Arial"/>
                <w:color w:val="000000" w:themeColor="text1"/>
                <w:sz w:val="22"/>
                <w:szCs w:val="22"/>
              </w:rPr>
            </w:pPr>
            <w:r>
              <w:rPr>
                <w:rFonts w:ascii="Arial" w:hAnsi="Arial" w:cs="Arial"/>
                <w:color w:val="000000" w:themeColor="text1"/>
                <w:sz w:val="22"/>
                <w:szCs w:val="22"/>
              </w:rPr>
              <w:t>It explores staff burnout , jobs satisfaction and also career exit’</w:t>
            </w:r>
          </w:p>
        </w:tc>
      </w:tr>
      <w:tr w:rsidR="00C752FB" w:rsidRPr="00767C8D" w14:paraId="44D29FD8" w14:textId="77777777" w:rsidTr="00121AA6">
        <w:tc>
          <w:tcPr>
            <w:tcW w:w="4508" w:type="dxa"/>
          </w:tcPr>
          <w:p w14:paraId="434270F5" w14:textId="15D052F6" w:rsidR="00C752FB" w:rsidRDefault="00377F05" w:rsidP="00121AA6">
            <w:pPr>
              <w:rPr>
                <w:rFonts w:ascii="Arial" w:hAnsi="Arial" w:cs="Arial"/>
                <w:color w:val="000000" w:themeColor="text1"/>
                <w:sz w:val="22"/>
                <w:szCs w:val="22"/>
              </w:rPr>
            </w:pPr>
            <w:r>
              <w:rPr>
                <w:rFonts w:ascii="Arial" w:hAnsi="Arial" w:cs="Arial"/>
                <w:color w:val="000000" w:themeColor="text1"/>
                <w:sz w:val="22"/>
                <w:szCs w:val="22"/>
              </w:rPr>
              <w:t>More objective and structured.</w:t>
            </w:r>
          </w:p>
        </w:tc>
        <w:tc>
          <w:tcPr>
            <w:tcW w:w="4508" w:type="dxa"/>
          </w:tcPr>
          <w:p w14:paraId="66F44A48" w14:textId="2080DDD3" w:rsidR="00C752FB" w:rsidRDefault="00377F05" w:rsidP="00121AA6">
            <w:pPr>
              <w:rPr>
                <w:rFonts w:ascii="Arial" w:hAnsi="Arial" w:cs="Arial"/>
                <w:color w:val="000000" w:themeColor="text1"/>
                <w:sz w:val="22"/>
                <w:szCs w:val="22"/>
              </w:rPr>
            </w:pPr>
            <w:r>
              <w:rPr>
                <w:rFonts w:ascii="Arial" w:hAnsi="Arial" w:cs="Arial"/>
                <w:color w:val="000000" w:themeColor="text1"/>
                <w:sz w:val="22"/>
                <w:szCs w:val="22"/>
              </w:rPr>
              <w:t>More Subjective and interpretive.</w:t>
            </w:r>
          </w:p>
        </w:tc>
      </w:tr>
      <w:tr w:rsidR="00C752FB" w:rsidRPr="00767C8D" w14:paraId="7DFE2788" w14:textId="77777777" w:rsidTr="00121AA6">
        <w:tc>
          <w:tcPr>
            <w:tcW w:w="4508" w:type="dxa"/>
          </w:tcPr>
          <w:p w14:paraId="5F4B0CB1" w14:textId="4445889A" w:rsidR="00C752FB" w:rsidRPr="00767C8D" w:rsidRDefault="00377F05" w:rsidP="00121AA6">
            <w:pPr>
              <w:rPr>
                <w:rFonts w:ascii="Arial" w:hAnsi="Arial" w:cs="Arial"/>
                <w:color w:val="000000" w:themeColor="text1"/>
                <w:sz w:val="22"/>
                <w:szCs w:val="22"/>
              </w:rPr>
            </w:pPr>
            <w:r>
              <w:rPr>
                <w:rFonts w:ascii="Arial" w:hAnsi="Arial" w:cs="Arial"/>
                <w:color w:val="000000" w:themeColor="text1"/>
                <w:sz w:val="22"/>
                <w:szCs w:val="22"/>
              </w:rPr>
              <w:t>The statistical analysis of staffing level and patient safety.</w:t>
            </w:r>
          </w:p>
        </w:tc>
        <w:tc>
          <w:tcPr>
            <w:tcW w:w="4508" w:type="dxa"/>
          </w:tcPr>
          <w:p w14:paraId="5D32B95E" w14:textId="0D7F5174" w:rsidR="00C752FB" w:rsidRPr="00767C8D" w:rsidRDefault="00377F05" w:rsidP="00121AA6">
            <w:pPr>
              <w:rPr>
                <w:rFonts w:ascii="Arial" w:hAnsi="Arial" w:cs="Arial"/>
                <w:color w:val="000000" w:themeColor="text1"/>
                <w:sz w:val="22"/>
                <w:szCs w:val="22"/>
              </w:rPr>
            </w:pPr>
            <w:r>
              <w:rPr>
                <w:rFonts w:ascii="Arial" w:hAnsi="Arial" w:cs="Arial"/>
                <w:color w:val="000000" w:themeColor="text1"/>
                <w:sz w:val="22"/>
                <w:szCs w:val="22"/>
              </w:rPr>
              <w:t>It explore why healthcare workers experience burnout. NU(2023)</w:t>
            </w:r>
          </w:p>
        </w:tc>
      </w:tr>
    </w:tbl>
    <w:p w14:paraId="558B11E4" w14:textId="752EE6CB" w:rsidR="000943B5" w:rsidRPr="000943B5" w:rsidRDefault="00C752FB" w:rsidP="000943B5">
      <w:pPr>
        <w:spacing w:line="360" w:lineRule="auto"/>
        <w:jc w:val="both"/>
        <w:rPr>
          <w:rFonts w:ascii="Arial" w:hAnsi="Arial" w:cs="Arial"/>
          <w:sz w:val="22"/>
          <w:szCs w:val="22"/>
        </w:rPr>
      </w:pPr>
      <w:r w:rsidRPr="00767C8D">
        <w:rPr>
          <w:rFonts w:ascii="Arial" w:hAnsi="Arial" w:cs="Arial"/>
          <w:color w:val="000000" w:themeColor="text1"/>
          <w:sz w:val="22"/>
          <w:szCs w:val="22"/>
        </w:rPr>
        <w:br/>
      </w:r>
    </w:p>
    <w:p w14:paraId="0702F51B" w14:textId="77777777" w:rsidR="00DF30CE" w:rsidRPr="00DF30CE" w:rsidRDefault="00DF30CE" w:rsidP="000943B5">
      <w:pPr>
        <w:spacing w:line="360" w:lineRule="auto"/>
        <w:jc w:val="both"/>
        <w:rPr>
          <w:rFonts w:ascii="Arial" w:hAnsi="Arial" w:cs="Arial"/>
          <w:sz w:val="22"/>
          <w:szCs w:val="22"/>
        </w:rPr>
      </w:pPr>
    </w:p>
    <w:p w14:paraId="694CF015" w14:textId="48054674" w:rsidR="00DF30CE" w:rsidRPr="00DF30CE" w:rsidRDefault="00DF30CE" w:rsidP="000943B5">
      <w:pPr>
        <w:spacing w:line="360" w:lineRule="auto"/>
        <w:jc w:val="both"/>
        <w:rPr>
          <w:rFonts w:ascii="Arial" w:hAnsi="Arial" w:cs="Arial"/>
          <w:sz w:val="28"/>
          <w:szCs w:val="28"/>
        </w:rPr>
      </w:pPr>
      <w:r w:rsidRPr="00DF30CE">
        <w:rPr>
          <w:rFonts w:ascii="Arial" w:hAnsi="Arial" w:cs="Arial"/>
          <w:b/>
          <w:bCs/>
          <w:color w:val="000000" w:themeColor="text1"/>
          <w:sz w:val="32"/>
          <w:szCs w:val="32"/>
        </w:rPr>
        <w:t xml:space="preserve"> </w:t>
      </w:r>
      <w:r w:rsidRPr="00DF30CE">
        <w:rPr>
          <w:rFonts w:ascii="Arial" w:hAnsi="Arial" w:cs="Arial"/>
          <w:b/>
          <w:bCs/>
          <w:color w:val="000000" w:themeColor="text1"/>
          <w:sz w:val="28"/>
          <w:szCs w:val="28"/>
        </w:rPr>
        <w:t>Type of research methodology will i use for my research and why?</w:t>
      </w:r>
    </w:p>
    <w:p w14:paraId="533A467F" w14:textId="1781CAC7" w:rsidR="000943B5" w:rsidRPr="000943B5" w:rsidRDefault="000943B5" w:rsidP="000943B5">
      <w:pPr>
        <w:spacing w:line="360" w:lineRule="auto"/>
        <w:jc w:val="both"/>
        <w:rPr>
          <w:rFonts w:ascii="Arial" w:hAnsi="Arial" w:cs="Arial"/>
          <w:sz w:val="22"/>
          <w:szCs w:val="22"/>
        </w:rPr>
      </w:pPr>
      <w:r>
        <w:rPr>
          <w:rFonts w:ascii="Arial" w:hAnsi="Arial" w:cs="Arial"/>
          <w:sz w:val="22"/>
          <w:szCs w:val="22"/>
        </w:rPr>
        <w:t>For this research, a</w:t>
      </w:r>
      <w:r w:rsidRPr="000943B5">
        <w:rPr>
          <w:rFonts w:ascii="Arial" w:hAnsi="Arial" w:cs="Arial"/>
          <w:sz w:val="22"/>
          <w:szCs w:val="22"/>
        </w:rPr>
        <w:t xml:space="preserve"> Mixed Methods design is </w:t>
      </w:r>
      <w:r>
        <w:rPr>
          <w:rFonts w:ascii="Arial" w:hAnsi="Arial" w:cs="Arial"/>
          <w:sz w:val="22"/>
          <w:szCs w:val="22"/>
        </w:rPr>
        <w:t>needed</w:t>
      </w:r>
      <w:r w:rsidRPr="000943B5">
        <w:rPr>
          <w:rFonts w:ascii="Arial" w:hAnsi="Arial" w:cs="Arial"/>
          <w:sz w:val="22"/>
          <w:szCs w:val="22"/>
        </w:rPr>
        <w:t xml:space="preserve"> because the complementary strengths of the two approaches are necessary; the dual challenge requires establishing the objective, national scale of harm and developing context-specific policy solutions. The quantitative phase will first use administrative data to statistically confirm the relationship between staffing levels and severe patient outcomes, establishing the correlation between high turnover and adverse events. The qualitative phase is designed to explain the subjective drivers of attrition in high-turnover areas identified by quantitative data. Workforce data, particularly in social care, often fails to provide robust information on why staff leave. Integrating qualitative methods allows exploration of issues such as poor pay and insufficient workplace support on well-being and departure intentions, moving beyond turnover rates to identify actionable retention barriers. This integrated approach provides comprehensive, robust evidence necessary for impactful policy interventions.</w:t>
      </w:r>
    </w:p>
    <w:p w14:paraId="6683ED4C" w14:textId="77777777" w:rsidR="004468F8" w:rsidRDefault="004468F8">
      <w:pPr>
        <w:spacing w:line="360" w:lineRule="auto"/>
        <w:jc w:val="both"/>
        <w:rPr>
          <w:rFonts w:ascii="Arial" w:eastAsia="Arial" w:hAnsi="Arial" w:cs="Arial"/>
          <w:sz w:val="22"/>
          <w:szCs w:val="22"/>
        </w:rPr>
      </w:pPr>
    </w:p>
    <w:p w14:paraId="14DF417C" w14:textId="77777777" w:rsidR="000943B5" w:rsidRDefault="000943B5" w:rsidP="00B17AF4"/>
    <w:p w14:paraId="533AEBE6" w14:textId="4062925E" w:rsidR="000943B5" w:rsidRPr="00DF30CE" w:rsidRDefault="00DF30CE" w:rsidP="00B17AF4">
      <w:pPr>
        <w:rPr>
          <w:rFonts w:ascii="Arial" w:hAnsi="Arial" w:cs="Arial"/>
          <w:b/>
          <w:bCs/>
          <w:color w:val="000000" w:themeColor="text1"/>
          <w:sz w:val="28"/>
          <w:szCs w:val="28"/>
        </w:rPr>
      </w:pPr>
      <w:bookmarkStart w:id="1" w:name="_Toc213674539"/>
      <w:r w:rsidRPr="00DF30CE">
        <w:rPr>
          <w:rFonts w:ascii="Arial" w:hAnsi="Arial" w:cs="Arial"/>
          <w:b/>
          <w:bCs/>
          <w:color w:val="000000" w:themeColor="text1"/>
          <w:sz w:val="28"/>
          <w:szCs w:val="28"/>
        </w:rPr>
        <w:t>Overview of primary and secondary data collection</w:t>
      </w:r>
      <w:bookmarkEnd w:id="1"/>
      <w:r w:rsidRPr="00DF30CE">
        <w:rPr>
          <w:rFonts w:ascii="Arial" w:hAnsi="Arial" w:cs="Arial"/>
          <w:b/>
          <w:bCs/>
          <w:color w:val="000000" w:themeColor="text1"/>
          <w:sz w:val="28"/>
          <w:szCs w:val="28"/>
        </w:rPr>
        <w:t xml:space="preserve">  </w:t>
      </w:r>
    </w:p>
    <w:p w14:paraId="07A040F9" w14:textId="701F5F75" w:rsidR="00DF30CE" w:rsidRDefault="000943B5" w:rsidP="004468F8">
      <w:pPr>
        <w:rPr>
          <w:rFonts w:ascii="Arial" w:hAnsi="Arial" w:cs="Arial"/>
          <w:sz w:val="22"/>
          <w:szCs w:val="22"/>
        </w:rPr>
      </w:pPr>
      <w:r w:rsidRPr="000943B5">
        <w:rPr>
          <w:rFonts w:ascii="Arial" w:hAnsi="Arial" w:cs="Arial"/>
          <w:sz w:val="22"/>
          <w:szCs w:val="22"/>
        </w:rPr>
        <w:t>Data is collected by primary or secondary means.</w:t>
      </w:r>
      <w:r>
        <w:rPr>
          <w:rFonts w:ascii="Arial" w:hAnsi="Arial" w:cs="Arial"/>
          <w:sz w:val="22"/>
          <w:szCs w:val="22"/>
        </w:rPr>
        <w:br/>
      </w:r>
      <w:r w:rsidRPr="000943B5">
        <w:rPr>
          <w:rFonts w:ascii="Arial" w:hAnsi="Arial" w:cs="Arial"/>
          <w:sz w:val="22"/>
          <w:szCs w:val="22"/>
        </w:rPr>
        <w:t>Primary data refers to data gathered by the researcher through direct means of the research itself, e.g., through custom survey or new interviews to collect the required data. This data is generally very relevant to the research question and is resource</w:t>
      </w:r>
      <w:r>
        <w:rPr>
          <w:rFonts w:ascii="Arial" w:hAnsi="Arial" w:cs="Arial"/>
          <w:sz w:val="22"/>
          <w:szCs w:val="22"/>
        </w:rPr>
        <w:t xml:space="preserve"> i</w:t>
      </w:r>
      <w:r w:rsidRPr="000943B5">
        <w:rPr>
          <w:rFonts w:ascii="Arial" w:hAnsi="Arial" w:cs="Arial"/>
          <w:sz w:val="22"/>
          <w:szCs w:val="22"/>
        </w:rPr>
        <w:t xml:space="preserve">ntensive, taking a lot of </w:t>
      </w:r>
      <w:r w:rsidRPr="000943B5">
        <w:rPr>
          <w:rFonts w:ascii="Arial" w:hAnsi="Arial" w:cs="Arial"/>
          <w:sz w:val="22"/>
          <w:szCs w:val="22"/>
        </w:rPr>
        <w:lastRenderedPageBreak/>
        <w:t xml:space="preserve">time and money in recruitment and processing. </w:t>
      </w:r>
      <w:r>
        <w:rPr>
          <w:rFonts w:ascii="Arial" w:hAnsi="Arial" w:cs="Arial"/>
          <w:sz w:val="22"/>
          <w:szCs w:val="22"/>
        </w:rPr>
        <w:br/>
        <w:t xml:space="preserve">On another hand, </w:t>
      </w:r>
      <w:r w:rsidRPr="000943B5">
        <w:rPr>
          <w:rFonts w:ascii="Arial" w:hAnsi="Arial" w:cs="Arial"/>
          <w:sz w:val="22"/>
          <w:szCs w:val="22"/>
        </w:rPr>
        <w:t>Secondary data refers to data already collected and stored by other parties</w:t>
      </w:r>
      <w:r>
        <w:rPr>
          <w:rFonts w:ascii="Arial" w:hAnsi="Arial" w:cs="Arial"/>
          <w:sz w:val="22"/>
          <w:szCs w:val="22"/>
        </w:rPr>
        <w:t>. For example</w:t>
      </w:r>
      <w:r w:rsidRPr="000943B5">
        <w:rPr>
          <w:rFonts w:ascii="Arial" w:hAnsi="Arial" w:cs="Arial"/>
          <w:sz w:val="22"/>
          <w:szCs w:val="22"/>
        </w:rPr>
        <w:t xml:space="preserve">, NHS Digital, Skills for Care annual reports, or government census. </w:t>
      </w:r>
      <w:r>
        <w:rPr>
          <w:rFonts w:ascii="Arial" w:hAnsi="Arial" w:cs="Arial"/>
          <w:sz w:val="22"/>
          <w:szCs w:val="22"/>
        </w:rPr>
        <w:br/>
      </w:r>
      <w:r>
        <w:rPr>
          <w:rFonts w:ascii="Arial" w:hAnsi="Arial" w:cs="Arial"/>
          <w:sz w:val="22"/>
          <w:szCs w:val="22"/>
        </w:rPr>
        <w:br/>
      </w:r>
      <w:r w:rsidRPr="000943B5">
        <w:rPr>
          <w:rFonts w:ascii="Arial" w:hAnsi="Arial" w:cs="Arial"/>
          <w:sz w:val="22"/>
          <w:szCs w:val="22"/>
        </w:rPr>
        <w:t xml:space="preserve">Secondary data analysis is beneficial to large-scale research because it is economical and provides a chance to investigate large, long-known data and more diverse samples instantly. Moreover, secondary collection is not normally reactive, ensuring that behaviour under observation does not affect data collection. The suggested study will use Secondary Data Analysis as the main national quantitative evaluation tool and Targeted Primary Data collection as the secondary qualitative explanation tool. </w:t>
      </w:r>
      <w:r w:rsidRPr="000943B5">
        <w:rPr>
          <w:rFonts w:ascii="Arial" w:eastAsia="Arial" w:hAnsi="Arial" w:cs="Arial"/>
          <w:b/>
          <w:bCs/>
          <w:sz w:val="22"/>
          <w:szCs w:val="22"/>
        </w:rPr>
        <w:t>IWH</w:t>
      </w:r>
      <w:r>
        <w:rPr>
          <w:rFonts w:ascii="Arial" w:eastAsia="Arial" w:hAnsi="Arial" w:cs="Arial"/>
          <w:b/>
          <w:bCs/>
          <w:sz w:val="22"/>
          <w:szCs w:val="22"/>
        </w:rPr>
        <w:t xml:space="preserve"> </w:t>
      </w:r>
      <w:r w:rsidR="00D73559">
        <w:rPr>
          <w:rFonts w:ascii="Arial" w:eastAsia="Arial" w:hAnsi="Arial" w:cs="Arial"/>
          <w:b/>
          <w:bCs/>
          <w:sz w:val="22"/>
          <w:szCs w:val="22"/>
        </w:rPr>
        <w:t>(</w:t>
      </w:r>
      <w:r w:rsidRPr="000943B5">
        <w:rPr>
          <w:rFonts w:ascii="Arial" w:eastAsia="Arial" w:hAnsi="Arial" w:cs="Arial"/>
          <w:sz w:val="22"/>
          <w:szCs w:val="22"/>
        </w:rPr>
        <w:t>2015)</w:t>
      </w:r>
      <w:r>
        <w:rPr>
          <w:rFonts w:ascii="Arial" w:hAnsi="Arial" w:cs="Arial"/>
          <w:sz w:val="22"/>
          <w:szCs w:val="22"/>
        </w:rPr>
        <w:br/>
      </w:r>
      <w:bookmarkStart w:id="2" w:name="_Toc213674540"/>
    </w:p>
    <w:p w14:paraId="24FE32DF" w14:textId="27F427F8" w:rsidR="004468F8" w:rsidRPr="00DF30CE" w:rsidRDefault="00DF30CE" w:rsidP="004468F8">
      <w:pPr>
        <w:rPr>
          <w:rFonts w:ascii="Arial" w:hAnsi="Arial" w:cs="Arial"/>
          <w:sz w:val="22"/>
          <w:szCs w:val="22"/>
        </w:rPr>
      </w:pPr>
      <w:r w:rsidRPr="00DF30CE">
        <w:rPr>
          <w:rFonts w:ascii="Arial" w:hAnsi="Arial" w:cs="Arial"/>
          <w:b/>
          <w:bCs/>
          <w:color w:val="000000" w:themeColor="text1"/>
          <w:sz w:val="28"/>
          <w:szCs w:val="28"/>
        </w:rPr>
        <w:t xml:space="preserve"> form of data will </w:t>
      </w:r>
      <w:r>
        <w:rPr>
          <w:rFonts w:ascii="Arial" w:hAnsi="Arial" w:cs="Arial"/>
          <w:b/>
          <w:bCs/>
          <w:color w:val="000000" w:themeColor="text1"/>
          <w:sz w:val="28"/>
          <w:szCs w:val="28"/>
        </w:rPr>
        <w:t>be</w:t>
      </w:r>
      <w:r w:rsidRPr="00DF30CE">
        <w:rPr>
          <w:rFonts w:ascii="Arial" w:hAnsi="Arial" w:cs="Arial"/>
          <w:b/>
          <w:bCs/>
          <w:color w:val="000000" w:themeColor="text1"/>
          <w:sz w:val="28"/>
          <w:szCs w:val="28"/>
        </w:rPr>
        <w:t xml:space="preserve"> use to address my research problem, and why?</w:t>
      </w:r>
      <w:bookmarkEnd w:id="2"/>
      <w:r w:rsidR="000943B5">
        <w:rPr>
          <w:rFonts w:ascii="Arial" w:hAnsi="Arial" w:cs="Arial"/>
          <w:sz w:val="22"/>
          <w:szCs w:val="22"/>
        </w:rPr>
        <w:br/>
      </w:r>
      <w:r w:rsidR="000943B5" w:rsidRPr="000943B5">
        <w:rPr>
          <w:rFonts w:ascii="Arial" w:hAnsi="Arial" w:cs="Arial"/>
          <w:sz w:val="22"/>
          <w:szCs w:val="22"/>
        </w:rPr>
        <w:t>To deal with a national issue of scale and magnitude, it is important to use available Secondary Data. This will enable the study to gain statistical power because it will evaluate huge administrative datasets like national patient safety audit data and vacancy data, substantiating the system-wide correlation between staffing shortages and probability of safety risk. This strategy reduces time and money and capitalizes on validated, non-reactive data about staff flow and patient adverse event rates. Secondary data, however, cannot provide explanations of the contextual human factors that lead to high attrition.</w:t>
      </w:r>
    </w:p>
    <w:p w14:paraId="46F24A10" w14:textId="70804AAC" w:rsidR="00530E16" w:rsidRDefault="00530E16">
      <w:pPr>
        <w:pStyle w:val="Heading1"/>
        <w:jc w:val="both"/>
      </w:pPr>
    </w:p>
    <w:p w14:paraId="06ECAECD" w14:textId="77777777" w:rsidR="00DF30CE" w:rsidRPr="00DF30CE" w:rsidRDefault="00DF30CE" w:rsidP="00DF30CE">
      <w:pPr>
        <w:rPr>
          <w:rFonts w:ascii="Arial" w:hAnsi="Arial" w:cs="Arial"/>
          <w:b/>
          <w:bCs/>
          <w:color w:val="000000" w:themeColor="text1"/>
          <w:sz w:val="28"/>
          <w:szCs w:val="28"/>
        </w:rPr>
      </w:pPr>
      <w:bookmarkStart w:id="3" w:name="_Toc213674541"/>
      <w:bookmarkStart w:id="4" w:name="_Toc213674542"/>
      <w:r w:rsidRPr="00DF30CE">
        <w:rPr>
          <w:rFonts w:ascii="Arial" w:hAnsi="Arial" w:cs="Arial"/>
          <w:b/>
          <w:bCs/>
          <w:color w:val="000000" w:themeColor="text1"/>
          <w:sz w:val="28"/>
          <w:szCs w:val="28"/>
        </w:rPr>
        <w:t>Conclusion</w:t>
      </w:r>
      <w:bookmarkEnd w:id="3"/>
    </w:p>
    <w:p w14:paraId="2B6370A5" w14:textId="63D53F5D" w:rsidR="000943B5" w:rsidRPr="00DF30CE" w:rsidRDefault="000943B5" w:rsidP="00DF30CE">
      <w:r w:rsidRPr="000943B5">
        <w:rPr>
          <w:rFonts w:ascii="Arial" w:hAnsi="Arial" w:cs="Arial"/>
          <w:sz w:val="22"/>
          <w:szCs w:val="22"/>
        </w:rPr>
        <w:t>The UK health and social care sector is facing a dual-sector wide workforce shortage crisis that is chronic in vacancy rates and destabilizing in turnover. This shortage is a direct threat to patient safety using quantitative measures to show deaths predisposed to risk and events implying low quality of care. To tackle systemic complexity and gaps in data, especially in social care, the Mixed-Methods approach has to be embraced. This design uses Secondary Data analysis to measure safety risk, and Primary Qualitative Data to elaborate organizational and individual root causes of staff movement and burn out. To decrease the impact of the crisis and attain stability of health and social care services, it is necessary to introduce evidence-based policy changes, namely long-term funding, compensation increase, and better work conditions proposed by the  influential research organizations. This fundamental change in policy and investment approach requires rigorous research to inform and monitor.</w:t>
      </w:r>
    </w:p>
    <w:p w14:paraId="02F99274" w14:textId="77777777" w:rsidR="000943B5" w:rsidRDefault="000943B5" w:rsidP="000943B5"/>
    <w:p w14:paraId="71D97777" w14:textId="77777777" w:rsidR="000943B5" w:rsidRDefault="000943B5" w:rsidP="000943B5"/>
    <w:p w14:paraId="414372C3" w14:textId="77777777" w:rsidR="000943B5" w:rsidRDefault="000943B5" w:rsidP="000943B5"/>
    <w:p w14:paraId="2E78AB59" w14:textId="77777777" w:rsidR="000943B5" w:rsidRDefault="000943B5" w:rsidP="000943B5"/>
    <w:p w14:paraId="4C4BB2A3" w14:textId="77777777" w:rsidR="000943B5" w:rsidRPr="000943B5" w:rsidRDefault="000943B5" w:rsidP="000943B5"/>
    <w:p w14:paraId="292CB681" w14:textId="77777777" w:rsidR="000943B5" w:rsidRPr="00DF30CE" w:rsidRDefault="004468F8" w:rsidP="000943B5">
      <w:pPr>
        <w:rPr>
          <w:sz w:val="28"/>
          <w:szCs w:val="28"/>
        </w:rPr>
      </w:pPr>
      <w:r w:rsidRPr="00DF30CE">
        <w:rPr>
          <w:rFonts w:ascii="Arial" w:hAnsi="Arial" w:cs="Arial"/>
          <w:b/>
          <w:bCs/>
          <w:sz w:val="28"/>
          <w:szCs w:val="28"/>
        </w:rPr>
        <w:lastRenderedPageBreak/>
        <w:t>References</w:t>
      </w:r>
      <w:bookmarkEnd w:id="4"/>
    </w:p>
    <w:p w14:paraId="41F75F3E" w14:textId="0D036C35" w:rsidR="00D6186B" w:rsidRDefault="000943B5" w:rsidP="000943B5">
      <w:pPr>
        <w:rPr>
          <w:rFonts w:ascii="Arial" w:eastAsia="Arial" w:hAnsi="Arial" w:cs="Arial"/>
          <w:sz w:val="22"/>
          <w:szCs w:val="22"/>
        </w:rPr>
      </w:pPr>
      <w:r>
        <w:br/>
      </w:r>
      <w:r w:rsidR="00D6186B">
        <w:rPr>
          <w:rFonts w:ascii="Arial" w:eastAsia="Arial" w:hAnsi="Arial" w:cs="Arial"/>
          <w:b/>
          <w:bCs/>
          <w:sz w:val="22"/>
          <w:szCs w:val="22"/>
        </w:rPr>
        <w:t>-</w:t>
      </w:r>
      <w:r w:rsidRPr="00D6186B">
        <w:rPr>
          <w:rFonts w:ascii="Arial" w:eastAsia="Arial" w:hAnsi="Arial" w:cs="Arial"/>
          <w:sz w:val="22"/>
          <w:szCs w:val="22"/>
        </w:rPr>
        <w:t>Skills for Care</w:t>
      </w:r>
      <w:r w:rsidRPr="000943B5">
        <w:rPr>
          <w:rFonts w:ascii="Arial" w:eastAsia="Arial" w:hAnsi="Arial" w:cs="Arial"/>
          <w:sz w:val="22"/>
          <w:szCs w:val="22"/>
        </w:rPr>
        <w:t xml:space="preserve"> (2024) </w:t>
      </w:r>
      <w:r w:rsidRPr="000943B5">
        <w:rPr>
          <w:rFonts w:ascii="Arial" w:eastAsia="Arial" w:hAnsi="Arial" w:cs="Arial"/>
          <w:i/>
          <w:iCs/>
          <w:sz w:val="22"/>
          <w:szCs w:val="22"/>
        </w:rPr>
        <w:t>The State of the Adult Social Care Sector and Workforce in England 2024/25</w:t>
      </w:r>
      <w:r w:rsidRPr="000943B5">
        <w:rPr>
          <w:rFonts w:ascii="Arial" w:eastAsia="Arial" w:hAnsi="Arial" w:cs="Arial"/>
          <w:sz w:val="22"/>
          <w:szCs w:val="22"/>
        </w:rPr>
        <w:t>. Available at: www.caremanagementmatters.co.uk/annual-skills-for-care-state-of-workforce-report-published/</w:t>
      </w:r>
      <w:r w:rsidR="00DF30CE">
        <w:rPr>
          <w:rFonts w:ascii="Arial" w:eastAsia="Arial" w:hAnsi="Arial" w:cs="Arial"/>
          <w:sz w:val="22"/>
          <w:szCs w:val="22"/>
        </w:rPr>
        <w:t xml:space="preserve"> </w:t>
      </w:r>
      <w:r w:rsidR="00B56571">
        <w:rPr>
          <w:rFonts w:ascii="Arial" w:eastAsia="Arial" w:hAnsi="Arial" w:cs="Arial"/>
          <w:sz w:val="22"/>
          <w:szCs w:val="22"/>
        </w:rPr>
        <w:br/>
      </w:r>
      <w:r w:rsidR="00DF30CE">
        <w:rPr>
          <w:rFonts w:ascii="Arial" w:eastAsia="Arial" w:hAnsi="Arial" w:cs="Arial"/>
          <w:sz w:val="22"/>
          <w:szCs w:val="22"/>
        </w:rPr>
        <w:t xml:space="preserve">(Accessed: 10 December </w:t>
      </w:r>
      <w:r w:rsidR="00D6186B">
        <w:rPr>
          <w:rFonts w:ascii="Arial" w:eastAsia="Arial" w:hAnsi="Arial" w:cs="Arial"/>
          <w:sz w:val="22"/>
          <w:szCs w:val="22"/>
        </w:rPr>
        <w:t>2025</w:t>
      </w:r>
      <w:r w:rsidR="00DF30CE">
        <w:rPr>
          <w:rFonts w:ascii="Arial" w:eastAsia="Arial" w:hAnsi="Arial" w:cs="Arial"/>
          <w:sz w:val="22"/>
          <w:szCs w:val="22"/>
        </w:rPr>
        <w:t>)</w:t>
      </w:r>
      <w:r>
        <w:rPr>
          <w:rFonts w:ascii="Arial" w:eastAsia="Arial" w:hAnsi="Arial" w:cs="Arial"/>
          <w:sz w:val="22"/>
          <w:szCs w:val="22"/>
        </w:rPr>
        <w:br/>
      </w:r>
      <w:r>
        <w:rPr>
          <w:rFonts w:ascii="Arial" w:eastAsia="Arial" w:hAnsi="Arial" w:cs="Arial"/>
          <w:sz w:val="22"/>
          <w:szCs w:val="22"/>
        </w:rPr>
        <w:br/>
      </w:r>
      <w:r w:rsidR="00D6186B">
        <w:rPr>
          <w:rFonts w:ascii="Arial" w:eastAsia="Arial" w:hAnsi="Arial" w:cs="Arial"/>
          <w:b/>
          <w:bCs/>
          <w:sz w:val="22"/>
          <w:szCs w:val="22"/>
        </w:rPr>
        <w:t>-</w:t>
      </w:r>
      <w:r w:rsidRPr="00D6186B">
        <w:rPr>
          <w:rFonts w:ascii="Arial" w:eastAsia="Arial" w:hAnsi="Arial" w:cs="Arial"/>
          <w:sz w:val="22"/>
          <w:szCs w:val="22"/>
        </w:rPr>
        <w:t>Royal College of Nursing (RCN)</w:t>
      </w:r>
      <w:r w:rsidRPr="000943B5">
        <w:rPr>
          <w:rFonts w:ascii="Arial" w:eastAsia="Arial" w:hAnsi="Arial" w:cs="Arial"/>
          <w:sz w:val="22"/>
          <w:szCs w:val="22"/>
        </w:rPr>
        <w:t xml:space="preserve"> (2023) </w:t>
      </w:r>
      <w:r w:rsidRPr="000943B5">
        <w:rPr>
          <w:rFonts w:ascii="Arial" w:eastAsia="Arial" w:hAnsi="Arial" w:cs="Arial"/>
          <w:i/>
          <w:iCs/>
          <w:sz w:val="22"/>
          <w:szCs w:val="22"/>
        </w:rPr>
        <w:t>Registered nurse staffing: The evidence</w:t>
      </w:r>
      <w:r w:rsidRPr="000943B5">
        <w:rPr>
          <w:rFonts w:ascii="Arial" w:eastAsia="Arial" w:hAnsi="Arial" w:cs="Arial"/>
          <w:sz w:val="22"/>
          <w:szCs w:val="22"/>
        </w:rPr>
        <w:t xml:space="preserve">. Available at: </w:t>
      </w:r>
      <w:r>
        <w:rPr>
          <w:rFonts w:ascii="Arial" w:eastAsia="Arial" w:hAnsi="Arial" w:cs="Arial"/>
          <w:sz w:val="22"/>
          <w:szCs w:val="22"/>
        </w:rPr>
        <w:t>(</w:t>
      </w:r>
      <w:r w:rsidRPr="000943B5">
        <w:rPr>
          <w:rFonts w:ascii="Arial" w:eastAsia="Arial" w:hAnsi="Arial" w:cs="Arial"/>
          <w:sz w:val="22"/>
          <w:szCs w:val="22"/>
        </w:rPr>
        <w:t>https://www.rcn.org.uk/-/media/Royal-College-Of</w:t>
      </w:r>
      <w:r w:rsidR="00D6186B">
        <w:rPr>
          <w:rFonts w:ascii="Arial" w:eastAsia="Arial" w:hAnsi="Arial" w:cs="Arial"/>
          <w:sz w:val="22"/>
          <w:szCs w:val="22"/>
        </w:rPr>
        <w:t>-</w:t>
      </w:r>
      <w:r w:rsidRPr="000943B5">
        <w:rPr>
          <w:rFonts w:ascii="Arial" w:eastAsia="Arial" w:hAnsi="Arial" w:cs="Arial"/>
          <w:sz w:val="22"/>
          <w:szCs w:val="22"/>
        </w:rPr>
        <w:t>Nursing/Documents/Publications/2023/February/010-665.pdf?</w:t>
      </w:r>
      <w:r>
        <w:rPr>
          <w:rFonts w:ascii="Arial" w:eastAsia="Arial" w:hAnsi="Arial" w:cs="Arial"/>
          <w:sz w:val="22"/>
          <w:szCs w:val="22"/>
        </w:rPr>
        <w:t>)</w:t>
      </w:r>
      <w:r w:rsidR="00D6186B">
        <w:rPr>
          <w:rFonts w:ascii="Arial" w:eastAsia="Arial" w:hAnsi="Arial" w:cs="Arial"/>
          <w:sz w:val="22"/>
          <w:szCs w:val="22"/>
        </w:rPr>
        <w:t xml:space="preserve"> </w:t>
      </w:r>
    </w:p>
    <w:p w14:paraId="52B37465" w14:textId="283986DC" w:rsidR="000943B5" w:rsidRPr="000943B5" w:rsidRDefault="00D6186B" w:rsidP="000943B5">
      <w:pPr>
        <w:rPr>
          <w:rFonts w:ascii="Arial" w:eastAsia="Arial" w:hAnsi="Arial" w:cs="Arial"/>
          <w:sz w:val="22"/>
          <w:szCs w:val="22"/>
        </w:rPr>
      </w:pPr>
      <w:r>
        <w:rPr>
          <w:rFonts w:ascii="Arial" w:eastAsia="Arial" w:hAnsi="Arial" w:cs="Arial"/>
          <w:sz w:val="22"/>
          <w:szCs w:val="22"/>
        </w:rPr>
        <w:t>(Accessed: 10 December 2025)</w:t>
      </w:r>
    </w:p>
    <w:p w14:paraId="61D3E24C" w14:textId="49852746" w:rsidR="00530E16" w:rsidRPr="000943B5" w:rsidRDefault="00530E16" w:rsidP="000943B5">
      <w:pPr>
        <w:rPr>
          <w:rFonts w:ascii="Arial" w:eastAsia="Arial" w:hAnsi="Arial" w:cs="Arial"/>
          <w:sz w:val="22"/>
          <w:szCs w:val="22"/>
        </w:rPr>
      </w:pPr>
    </w:p>
    <w:p w14:paraId="3DF4F7A9" w14:textId="25A02DA2" w:rsidR="000943B5" w:rsidRPr="000943B5" w:rsidRDefault="00D6186B" w:rsidP="000943B5">
      <w:pPr>
        <w:rPr>
          <w:rFonts w:ascii="Arial" w:eastAsia="Arial" w:hAnsi="Arial" w:cs="Arial"/>
          <w:sz w:val="22"/>
          <w:szCs w:val="22"/>
        </w:rPr>
      </w:pPr>
      <w:r>
        <w:rPr>
          <w:rFonts w:ascii="Arial" w:eastAsia="Arial" w:hAnsi="Arial" w:cs="Arial"/>
          <w:b/>
          <w:bCs/>
          <w:sz w:val="22"/>
          <w:szCs w:val="22"/>
        </w:rPr>
        <w:t>-</w:t>
      </w:r>
      <w:r w:rsidR="00B17AF4" w:rsidRPr="00D6186B">
        <w:rPr>
          <w:rFonts w:ascii="Arial" w:eastAsia="Arial" w:hAnsi="Arial" w:cs="Arial"/>
          <w:sz w:val="22"/>
          <w:szCs w:val="22"/>
        </w:rPr>
        <w:t>Health Foundation, The King's Fund and Nuffield Trust</w:t>
      </w:r>
      <w:r w:rsidR="00B17AF4" w:rsidRPr="000943B5">
        <w:rPr>
          <w:rFonts w:ascii="Arial" w:eastAsia="Arial" w:hAnsi="Arial" w:cs="Arial"/>
          <w:sz w:val="22"/>
          <w:szCs w:val="22"/>
        </w:rPr>
        <w:t xml:space="preserve"> (2019) </w:t>
      </w:r>
      <w:r w:rsidR="00B17AF4" w:rsidRPr="000943B5">
        <w:rPr>
          <w:rFonts w:ascii="Arial" w:eastAsia="Arial" w:hAnsi="Arial" w:cs="Arial"/>
          <w:i/>
          <w:iCs/>
          <w:sz w:val="22"/>
          <w:szCs w:val="22"/>
        </w:rPr>
        <w:t>Closing the Gap: Key areas for action on the health and care workforce</w:t>
      </w:r>
      <w:r w:rsidR="00B17AF4" w:rsidRPr="000943B5">
        <w:rPr>
          <w:rFonts w:ascii="Arial" w:eastAsia="Arial" w:hAnsi="Arial" w:cs="Arial"/>
          <w:sz w:val="22"/>
          <w:szCs w:val="22"/>
        </w:rPr>
        <w:t>. Available at:</w:t>
      </w:r>
      <w:r w:rsidR="000943B5">
        <w:rPr>
          <w:rFonts w:ascii="Arial" w:eastAsia="Arial" w:hAnsi="Arial" w:cs="Arial"/>
          <w:sz w:val="22"/>
          <w:szCs w:val="22"/>
        </w:rPr>
        <w:t>(</w:t>
      </w:r>
      <w:r w:rsidR="00B17AF4" w:rsidRPr="000943B5">
        <w:rPr>
          <w:rFonts w:ascii="Arial" w:eastAsia="Arial" w:hAnsi="Arial" w:cs="Arial"/>
          <w:sz w:val="22"/>
          <w:szCs w:val="22"/>
        </w:rPr>
        <w:t xml:space="preserve"> </w:t>
      </w:r>
      <w:r w:rsidR="000943B5" w:rsidRPr="000943B5">
        <w:rPr>
          <w:rFonts w:ascii="Arial" w:eastAsia="Arial" w:hAnsi="Arial" w:cs="Arial"/>
          <w:sz w:val="22"/>
          <w:szCs w:val="22"/>
        </w:rPr>
        <w:t>www.health.org.uk/reports-and-analysis/reports/closing-the-gap</w:t>
      </w:r>
      <w:r w:rsidR="000943B5">
        <w:rPr>
          <w:rFonts w:ascii="Arial" w:eastAsia="Arial" w:hAnsi="Arial" w:cs="Arial"/>
          <w:sz w:val="22"/>
          <w:szCs w:val="22"/>
        </w:rPr>
        <w:t>)</w:t>
      </w:r>
      <w:r>
        <w:rPr>
          <w:rFonts w:ascii="Arial" w:eastAsia="Arial" w:hAnsi="Arial" w:cs="Arial"/>
          <w:sz w:val="22"/>
          <w:szCs w:val="22"/>
        </w:rPr>
        <w:t xml:space="preserve">  </w:t>
      </w:r>
      <w:r w:rsidR="00B56571">
        <w:rPr>
          <w:rFonts w:ascii="Arial" w:eastAsia="Arial" w:hAnsi="Arial" w:cs="Arial"/>
          <w:sz w:val="22"/>
          <w:szCs w:val="22"/>
        </w:rPr>
        <w:br/>
      </w:r>
      <w:r>
        <w:rPr>
          <w:rFonts w:ascii="Arial" w:eastAsia="Arial" w:hAnsi="Arial" w:cs="Arial"/>
          <w:sz w:val="22"/>
          <w:szCs w:val="22"/>
        </w:rPr>
        <w:t>(Accessed: 10 December 2025)</w:t>
      </w:r>
      <w:r w:rsidR="000943B5">
        <w:rPr>
          <w:rFonts w:ascii="Arial" w:eastAsia="Arial" w:hAnsi="Arial" w:cs="Arial"/>
          <w:sz w:val="22"/>
          <w:szCs w:val="22"/>
        </w:rPr>
        <w:br/>
      </w:r>
      <w:r w:rsidR="000943B5">
        <w:rPr>
          <w:rFonts w:ascii="Arial" w:eastAsia="Arial" w:hAnsi="Arial" w:cs="Arial"/>
          <w:sz w:val="22"/>
          <w:szCs w:val="22"/>
        </w:rPr>
        <w:br/>
      </w:r>
      <w:r>
        <w:rPr>
          <w:rFonts w:ascii="Arial" w:eastAsia="Arial" w:hAnsi="Arial" w:cs="Arial"/>
          <w:b/>
          <w:bCs/>
          <w:sz w:val="22"/>
          <w:szCs w:val="22"/>
        </w:rPr>
        <w:t>-</w:t>
      </w:r>
      <w:r w:rsidR="000943B5" w:rsidRPr="00D6186B">
        <w:rPr>
          <w:rFonts w:ascii="Arial" w:eastAsia="Arial" w:hAnsi="Arial" w:cs="Arial"/>
          <w:sz w:val="22"/>
          <w:szCs w:val="22"/>
        </w:rPr>
        <w:t xml:space="preserve">National </w:t>
      </w:r>
      <w:proofErr w:type="gramStart"/>
      <w:r w:rsidR="000943B5" w:rsidRPr="00D6186B">
        <w:rPr>
          <w:rFonts w:ascii="Arial" w:eastAsia="Arial" w:hAnsi="Arial" w:cs="Arial"/>
          <w:sz w:val="22"/>
          <w:szCs w:val="22"/>
        </w:rPr>
        <w:t>University</w:t>
      </w:r>
      <w:r w:rsidRPr="00D6186B">
        <w:rPr>
          <w:rFonts w:ascii="Arial" w:eastAsia="Arial" w:hAnsi="Arial" w:cs="Arial"/>
          <w:sz w:val="22"/>
          <w:szCs w:val="22"/>
        </w:rPr>
        <w:t>[</w:t>
      </w:r>
      <w:proofErr w:type="gramEnd"/>
      <w:r w:rsidRPr="00D6186B">
        <w:rPr>
          <w:rFonts w:ascii="Arial" w:eastAsia="Arial" w:hAnsi="Arial" w:cs="Arial"/>
          <w:sz w:val="22"/>
          <w:szCs w:val="22"/>
        </w:rPr>
        <w:t>NU]</w:t>
      </w:r>
      <w:r w:rsidR="000943B5" w:rsidRPr="000943B5">
        <w:rPr>
          <w:rFonts w:ascii="Arial" w:eastAsia="Arial" w:hAnsi="Arial" w:cs="Arial"/>
          <w:sz w:val="22"/>
          <w:szCs w:val="22"/>
        </w:rPr>
        <w:t xml:space="preserve"> (</w:t>
      </w:r>
      <w:r w:rsidR="000943B5">
        <w:rPr>
          <w:rFonts w:ascii="Arial" w:eastAsia="Arial" w:hAnsi="Arial" w:cs="Arial"/>
          <w:sz w:val="22"/>
          <w:szCs w:val="22"/>
        </w:rPr>
        <w:t>2023</w:t>
      </w:r>
      <w:r w:rsidR="000943B5" w:rsidRPr="000943B5">
        <w:rPr>
          <w:rFonts w:ascii="Arial" w:eastAsia="Arial" w:hAnsi="Arial" w:cs="Arial"/>
          <w:sz w:val="22"/>
          <w:szCs w:val="22"/>
        </w:rPr>
        <w:t xml:space="preserve">) </w:t>
      </w:r>
      <w:r w:rsidR="000943B5" w:rsidRPr="000943B5">
        <w:rPr>
          <w:rFonts w:ascii="Arial" w:eastAsia="Arial" w:hAnsi="Arial" w:cs="Arial"/>
          <w:i/>
          <w:iCs/>
          <w:sz w:val="22"/>
          <w:szCs w:val="22"/>
        </w:rPr>
        <w:t xml:space="preserve">What Is Qualitative vs. Quantitative </w:t>
      </w:r>
      <w:proofErr w:type="gramStart"/>
      <w:r w:rsidR="000943B5" w:rsidRPr="000943B5">
        <w:rPr>
          <w:rFonts w:ascii="Arial" w:eastAsia="Arial" w:hAnsi="Arial" w:cs="Arial"/>
          <w:i/>
          <w:iCs/>
          <w:sz w:val="22"/>
          <w:szCs w:val="22"/>
        </w:rPr>
        <w:t>Study?</w:t>
      </w:r>
      <w:r w:rsidR="000943B5" w:rsidRPr="000943B5">
        <w:rPr>
          <w:rFonts w:ascii="Arial" w:eastAsia="Arial" w:hAnsi="Arial" w:cs="Arial"/>
          <w:sz w:val="22"/>
          <w:szCs w:val="22"/>
        </w:rPr>
        <w:t>.</w:t>
      </w:r>
      <w:proofErr w:type="gramEnd"/>
      <w:r w:rsidR="000943B5" w:rsidRPr="000943B5">
        <w:rPr>
          <w:rFonts w:ascii="Arial" w:eastAsia="Arial" w:hAnsi="Arial" w:cs="Arial"/>
          <w:sz w:val="22"/>
          <w:szCs w:val="22"/>
        </w:rPr>
        <w:t xml:space="preserve"> Available at:</w:t>
      </w:r>
      <w:r w:rsidR="000943B5" w:rsidRPr="000943B5">
        <w:t xml:space="preserve"> </w:t>
      </w:r>
      <w:r w:rsidR="000943B5" w:rsidRPr="000943B5">
        <w:rPr>
          <w:rFonts w:ascii="Arial" w:eastAsia="Arial" w:hAnsi="Arial" w:cs="Arial"/>
          <w:sz w:val="22"/>
          <w:szCs w:val="22"/>
        </w:rPr>
        <w:t xml:space="preserve">https://www.nu.edu/blog/qualitative-vs-quantitative-study/ </w:t>
      </w:r>
      <w:r>
        <w:rPr>
          <w:rFonts w:ascii="Arial" w:eastAsia="Arial" w:hAnsi="Arial" w:cs="Arial"/>
          <w:sz w:val="22"/>
          <w:szCs w:val="22"/>
        </w:rPr>
        <w:t xml:space="preserve"> </w:t>
      </w:r>
      <w:r w:rsidR="00B56571">
        <w:rPr>
          <w:rFonts w:ascii="Arial" w:eastAsia="Arial" w:hAnsi="Arial" w:cs="Arial"/>
          <w:sz w:val="22"/>
          <w:szCs w:val="22"/>
        </w:rPr>
        <w:br/>
      </w:r>
      <w:r>
        <w:rPr>
          <w:rFonts w:ascii="Arial" w:eastAsia="Arial" w:hAnsi="Arial" w:cs="Arial"/>
          <w:sz w:val="22"/>
          <w:szCs w:val="22"/>
        </w:rPr>
        <w:t>(Accessed: 10 December 2025)</w:t>
      </w:r>
    </w:p>
    <w:p w14:paraId="7A999592" w14:textId="79CDEEC0" w:rsidR="00B17AF4" w:rsidRPr="000943B5" w:rsidRDefault="00B17AF4" w:rsidP="00B17AF4">
      <w:pPr>
        <w:rPr>
          <w:rFonts w:ascii="Arial" w:eastAsia="Arial" w:hAnsi="Arial" w:cs="Arial"/>
          <w:sz w:val="22"/>
          <w:szCs w:val="22"/>
        </w:rPr>
      </w:pPr>
    </w:p>
    <w:p w14:paraId="710C04C9" w14:textId="3C961D5F" w:rsidR="00B17AF4" w:rsidRDefault="00D6186B" w:rsidP="000943B5">
      <w:pPr>
        <w:spacing w:line="360" w:lineRule="auto"/>
        <w:rPr>
          <w:rFonts w:ascii="Arial" w:eastAsia="Arial" w:hAnsi="Arial" w:cs="Arial"/>
          <w:sz w:val="22"/>
          <w:szCs w:val="22"/>
        </w:rPr>
      </w:pPr>
      <w:r>
        <w:rPr>
          <w:rFonts w:ascii="Arial" w:eastAsia="Arial" w:hAnsi="Arial" w:cs="Arial"/>
          <w:b/>
          <w:bCs/>
          <w:sz w:val="22"/>
          <w:szCs w:val="22"/>
        </w:rPr>
        <w:t>-</w:t>
      </w:r>
      <w:r w:rsidR="00B17AF4" w:rsidRPr="00D6186B">
        <w:rPr>
          <w:rFonts w:ascii="Arial" w:eastAsia="Arial" w:hAnsi="Arial" w:cs="Arial"/>
          <w:sz w:val="22"/>
          <w:szCs w:val="22"/>
        </w:rPr>
        <w:t>Institute for Work &amp; Health</w:t>
      </w:r>
      <w:r w:rsidR="00B17AF4" w:rsidRPr="000943B5">
        <w:rPr>
          <w:rFonts w:ascii="Arial" w:eastAsia="Arial" w:hAnsi="Arial" w:cs="Arial"/>
          <w:sz w:val="22"/>
          <w:szCs w:val="22"/>
        </w:rPr>
        <w:t xml:space="preserve"> </w:t>
      </w:r>
      <w:r>
        <w:rPr>
          <w:rFonts w:ascii="Arial" w:eastAsia="Arial" w:hAnsi="Arial" w:cs="Arial"/>
          <w:sz w:val="22"/>
          <w:szCs w:val="22"/>
        </w:rPr>
        <w:t>[IWH]</w:t>
      </w:r>
      <w:r w:rsidR="00B17AF4" w:rsidRPr="000943B5">
        <w:rPr>
          <w:rFonts w:ascii="Arial" w:eastAsia="Arial" w:hAnsi="Arial" w:cs="Arial"/>
          <w:sz w:val="22"/>
          <w:szCs w:val="22"/>
        </w:rPr>
        <w:t xml:space="preserve">(2015) </w:t>
      </w:r>
      <w:r w:rsidR="00B17AF4" w:rsidRPr="000943B5">
        <w:rPr>
          <w:rFonts w:ascii="Arial" w:eastAsia="Arial" w:hAnsi="Arial" w:cs="Arial"/>
          <w:i/>
          <w:iCs/>
          <w:sz w:val="22"/>
          <w:szCs w:val="22"/>
        </w:rPr>
        <w:t>Primary Data and Secondary Data</w:t>
      </w:r>
      <w:r w:rsidR="00B17AF4" w:rsidRPr="000943B5">
        <w:rPr>
          <w:rFonts w:ascii="Arial" w:eastAsia="Arial" w:hAnsi="Arial" w:cs="Arial"/>
          <w:sz w:val="22"/>
          <w:szCs w:val="22"/>
        </w:rPr>
        <w:t>. Available at:</w:t>
      </w:r>
      <w:r w:rsidR="000943B5" w:rsidRPr="000943B5">
        <w:t xml:space="preserve"> </w:t>
      </w:r>
      <w:r w:rsidR="000943B5" w:rsidRPr="000943B5">
        <w:rPr>
          <w:rFonts w:ascii="Arial" w:eastAsia="Arial" w:hAnsi="Arial" w:cs="Arial"/>
          <w:sz w:val="22"/>
          <w:szCs w:val="22"/>
        </w:rPr>
        <w:t>https://www.iwh.on.ca/what-researchers-mean-by/primary-data-and-secondary-data?</w:t>
      </w:r>
      <w:r w:rsidR="00B17AF4" w:rsidRPr="000943B5">
        <w:rPr>
          <w:rFonts w:ascii="Arial" w:eastAsia="Arial" w:hAnsi="Arial" w:cs="Arial"/>
          <w:sz w:val="22"/>
          <w:szCs w:val="22"/>
        </w:rPr>
        <w:t xml:space="preserve"> </w:t>
      </w:r>
      <w:r>
        <w:rPr>
          <w:rFonts w:ascii="Arial" w:eastAsia="Arial" w:hAnsi="Arial" w:cs="Arial"/>
          <w:sz w:val="22"/>
          <w:szCs w:val="22"/>
        </w:rPr>
        <w:t>(Accessed: 10 December 2025)</w:t>
      </w:r>
    </w:p>
    <w:p w14:paraId="65189051" w14:textId="77777777" w:rsidR="00D6186B" w:rsidRPr="000943B5" w:rsidRDefault="00D6186B" w:rsidP="000943B5">
      <w:pPr>
        <w:spacing w:line="360" w:lineRule="auto"/>
        <w:rPr>
          <w:rFonts w:ascii="Arial" w:eastAsia="Arial" w:hAnsi="Arial" w:cs="Arial"/>
          <w:sz w:val="22"/>
          <w:szCs w:val="22"/>
        </w:rPr>
      </w:pPr>
    </w:p>
    <w:p w14:paraId="6C4A9179" w14:textId="34B03F2C" w:rsidR="00D6186B" w:rsidRDefault="00D6186B" w:rsidP="00B17AF4">
      <w:pPr>
        <w:rPr>
          <w:rFonts w:ascii="Arial" w:eastAsia="Arial" w:hAnsi="Arial" w:cs="Arial"/>
          <w:sz w:val="22"/>
          <w:szCs w:val="22"/>
        </w:rPr>
      </w:pPr>
      <w:r>
        <w:rPr>
          <w:rFonts w:ascii="Arial" w:eastAsia="Arial" w:hAnsi="Arial" w:cs="Arial"/>
          <w:b/>
          <w:bCs/>
          <w:sz w:val="22"/>
          <w:szCs w:val="22"/>
        </w:rPr>
        <w:t>-</w:t>
      </w:r>
      <w:r w:rsidR="00B17AF4" w:rsidRPr="00D6186B">
        <w:rPr>
          <w:rFonts w:ascii="Arial" w:eastAsia="Arial" w:hAnsi="Arial" w:cs="Arial"/>
          <w:sz w:val="22"/>
          <w:szCs w:val="22"/>
        </w:rPr>
        <w:t xml:space="preserve"> Parliamentary Office of Science and Technology (POST)</w:t>
      </w:r>
      <w:r w:rsidR="00B17AF4" w:rsidRPr="000943B5">
        <w:rPr>
          <w:rFonts w:ascii="Arial" w:eastAsia="Arial" w:hAnsi="Arial" w:cs="Arial"/>
          <w:sz w:val="22"/>
          <w:szCs w:val="22"/>
        </w:rPr>
        <w:t xml:space="preserve"> (2024) </w:t>
      </w:r>
      <w:r w:rsidR="00B17AF4" w:rsidRPr="000943B5">
        <w:rPr>
          <w:rFonts w:ascii="Arial" w:eastAsia="Arial" w:hAnsi="Arial" w:cs="Arial"/>
          <w:i/>
          <w:iCs/>
          <w:sz w:val="22"/>
          <w:szCs w:val="22"/>
        </w:rPr>
        <w:t>Sustaining the Health and Adult Social Care Workforce</w:t>
      </w:r>
      <w:r w:rsidR="00B17AF4" w:rsidRPr="000943B5">
        <w:rPr>
          <w:rFonts w:ascii="Arial" w:eastAsia="Arial" w:hAnsi="Arial" w:cs="Arial"/>
          <w:sz w:val="22"/>
          <w:szCs w:val="22"/>
        </w:rPr>
        <w:t>. Available at:</w:t>
      </w:r>
      <w:r w:rsidR="000943B5" w:rsidRPr="000943B5">
        <w:t xml:space="preserve"> </w:t>
      </w:r>
      <w:r w:rsidR="000943B5" w:rsidRPr="000943B5">
        <w:rPr>
          <w:rFonts w:ascii="Arial" w:eastAsia="Arial" w:hAnsi="Arial" w:cs="Arial"/>
          <w:sz w:val="22"/>
          <w:szCs w:val="22"/>
        </w:rPr>
        <w:t>post.parliament.uk/sustaining-the-health-and-adult-social-care-workforce/</w:t>
      </w:r>
      <w:r w:rsidR="00B17AF4" w:rsidRPr="000943B5">
        <w:rPr>
          <w:rFonts w:ascii="Arial" w:eastAsia="Arial" w:hAnsi="Arial" w:cs="Arial"/>
          <w:sz w:val="22"/>
          <w:szCs w:val="22"/>
        </w:rPr>
        <w:t xml:space="preserve"> </w:t>
      </w:r>
    </w:p>
    <w:p w14:paraId="271AA083" w14:textId="633E68E2" w:rsidR="00B17AF4" w:rsidRPr="000943B5" w:rsidRDefault="00D6186B" w:rsidP="00B17AF4">
      <w:pPr>
        <w:rPr>
          <w:rFonts w:ascii="Arial" w:eastAsia="Arial" w:hAnsi="Arial" w:cs="Arial"/>
          <w:sz w:val="22"/>
          <w:szCs w:val="22"/>
        </w:rPr>
      </w:pPr>
      <w:r>
        <w:rPr>
          <w:rFonts w:ascii="Arial" w:eastAsia="Arial" w:hAnsi="Arial" w:cs="Arial"/>
          <w:sz w:val="22"/>
          <w:szCs w:val="22"/>
        </w:rPr>
        <w:t>(Accessed: 10 December 2025)</w:t>
      </w:r>
    </w:p>
    <w:p w14:paraId="189D7293" w14:textId="0F10F208" w:rsidR="00530E16" w:rsidRPr="00B17AF4" w:rsidRDefault="00530E16">
      <w:pPr>
        <w:rPr>
          <w:rFonts w:ascii="Arial" w:eastAsia="Arial" w:hAnsi="Arial" w:cs="Arial"/>
          <w:b/>
          <w:bCs/>
          <w:color w:val="FF0000"/>
          <w:sz w:val="22"/>
          <w:szCs w:val="22"/>
        </w:rPr>
      </w:pPr>
    </w:p>
    <w:sectPr w:rsidR="00530E16" w:rsidRPr="00B17AF4" w:rsidSect="00722EFE">
      <w:footerReference w:type="first" r:id="rId1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730C00" w14:textId="77777777" w:rsidR="00DC0576" w:rsidRDefault="00DC0576" w:rsidP="002A1842">
      <w:pPr>
        <w:spacing w:after="0" w:line="240" w:lineRule="auto"/>
      </w:pPr>
      <w:r>
        <w:separator/>
      </w:r>
    </w:p>
  </w:endnote>
  <w:endnote w:type="continuationSeparator" w:id="0">
    <w:p w14:paraId="66B6005C" w14:textId="77777777" w:rsidR="00DC0576" w:rsidRDefault="00DC057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7E50E3A"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395F928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543760"/>
      <w:docPartObj>
        <w:docPartGallery w:val="Page Numbers (Bottom of Page)"/>
        <w:docPartUnique/>
      </w:docPartObj>
    </w:sdtPr>
    <w:sdtEndPr>
      <w:rPr>
        <w:noProof/>
      </w:rPr>
    </w:sdtEndPr>
    <w:sdtContent>
      <w:p w14:paraId="29646F34" w14:textId="6D40FB42" w:rsidR="000943B5" w:rsidRDefault="000943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469C37" w14:textId="77777777" w:rsidR="000943B5" w:rsidRDefault="000943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1BD7DCE"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3D904138"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006EA" w14:textId="77777777" w:rsidR="00DC0576" w:rsidRDefault="00DC0576" w:rsidP="002A1842">
      <w:pPr>
        <w:spacing w:after="0" w:line="240" w:lineRule="auto"/>
      </w:pPr>
      <w:r>
        <w:separator/>
      </w:r>
    </w:p>
  </w:footnote>
  <w:footnote w:type="continuationSeparator" w:id="0">
    <w:p w14:paraId="0AA086BF" w14:textId="77777777" w:rsidR="00DC0576" w:rsidRDefault="00DC057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60281719">
    <w:abstractNumId w:val="5"/>
  </w:num>
  <w:num w:numId="2" w16cid:durableId="1112480305">
    <w:abstractNumId w:val="3"/>
  </w:num>
  <w:num w:numId="3" w16cid:durableId="560751680">
    <w:abstractNumId w:val="2"/>
  </w:num>
  <w:num w:numId="4" w16cid:durableId="1861554012">
    <w:abstractNumId w:val="1"/>
  </w:num>
  <w:num w:numId="5" w16cid:durableId="853492750">
    <w:abstractNumId w:val="4"/>
  </w:num>
  <w:num w:numId="6" w16cid:durableId="1212814396">
    <w:abstractNumId w:val="0"/>
  </w:num>
  <w:num w:numId="7" w16cid:durableId="2042168010">
    <w:abstractNumId w:val="7"/>
  </w:num>
  <w:num w:numId="8" w16cid:durableId="8982472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943B5"/>
    <w:rsid w:val="000F736A"/>
    <w:rsid w:val="00146E86"/>
    <w:rsid w:val="00172AD1"/>
    <w:rsid w:val="00176962"/>
    <w:rsid w:val="001813E7"/>
    <w:rsid w:val="00212A04"/>
    <w:rsid w:val="002A1842"/>
    <w:rsid w:val="002A713D"/>
    <w:rsid w:val="00377F05"/>
    <w:rsid w:val="00434DD4"/>
    <w:rsid w:val="004468F8"/>
    <w:rsid w:val="0045086C"/>
    <w:rsid w:val="004C0E79"/>
    <w:rsid w:val="00530E16"/>
    <w:rsid w:val="00563CCC"/>
    <w:rsid w:val="005A1FCC"/>
    <w:rsid w:val="005B16E6"/>
    <w:rsid w:val="005C7C9D"/>
    <w:rsid w:val="005D4DE3"/>
    <w:rsid w:val="00716B30"/>
    <w:rsid w:val="00722EFE"/>
    <w:rsid w:val="00753E63"/>
    <w:rsid w:val="007637E9"/>
    <w:rsid w:val="007B35DB"/>
    <w:rsid w:val="007E01DC"/>
    <w:rsid w:val="007E5FEC"/>
    <w:rsid w:val="00861441"/>
    <w:rsid w:val="00872F94"/>
    <w:rsid w:val="00883B0C"/>
    <w:rsid w:val="008E7834"/>
    <w:rsid w:val="009F60D1"/>
    <w:rsid w:val="00A32B40"/>
    <w:rsid w:val="00A75B15"/>
    <w:rsid w:val="00A96FC1"/>
    <w:rsid w:val="00AE06EA"/>
    <w:rsid w:val="00AE51AD"/>
    <w:rsid w:val="00B17AF4"/>
    <w:rsid w:val="00B40CE7"/>
    <w:rsid w:val="00B56571"/>
    <w:rsid w:val="00B65ED6"/>
    <w:rsid w:val="00BA0043"/>
    <w:rsid w:val="00BA7BD6"/>
    <w:rsid w:val="00C63D3F"/>
    <w:rsid w:val="00C752FB"/>
    <w:rsid w:val="00CF650B"/>
    <w:rsid w:val="00D6186B"/>
    <w:rsid w:val="00D62A9C"/>
    <w:rsid w:val="00D73559"/>
    <w:rsid w:val="00D77B00"/>
    <w:rsid w:val="00DB181C"/>
    <w:rsid w:val="00DC0576"/>
    <w:rsid w:val="00DD663B"/>
    <w:rsid w:val="00DF30CE"/>
    <w:rsid w:val="00E56E9D"/>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64C10"/>
  <w15:docId w15:val="{4B9B6DEB-A8ED-41D0-BB1D-970114445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3B5"/>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872F94"/>
    <w:rPr>
      <w:color w:val="605E5C"/>
      <w:shd w:val="clear" w:color="auto" w:fill="E1DFDD"/>
    </w:rPr>
  </w:style>
  <w:style w:type="character" w:styleId="FollowedHyperlink">
    <w:name w:val="FollowedHyperlink"/>
    <w:basedOn w:val="DefaultParagraphFont"/>
    <w:uiPriority w:val="99"/>
    <w:semiHidden/>
    <w:unhideWhenUsed/>
    <w:rsid w:val="00872F94"/>
    <w:rPr>
      <w:color w:val="96607D" w:themeColor="followedHyperlink"/>
      <w:u w:val="single"/>
    </w:rPr>
  </w:style>
  <w:style w:type="table" w:styleId="TableGrid">
    <w:name w:val="Table Grid"/>
    <w:basedOn w:val="TableNormal"/>
    <w:uiPriority w:val="39"/>
    <w:rsid w:val="00C752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507323">
      <w:bodyDiv w:val="1"/>
      <w:marLeft w:val="0"/>
      <w:marRight w:val="0"/>
      <w:marTop w:val="0"/>
      <w:marBottom w:val="0"/>
      <w:divBdr>
        <w:top w:val="none" w:sz="0" w:space="0" w:color="auto"/>
        <w:left w:val="none" w:sz="0" w:space="0" w:color="auto"/>
        <w:bottom w:val="none" w:sz="0" w:space="0" w:color="auto"/>
        <w:right w:val="none" w:sz="0" w:space="0" w:color="auto"/>
      </w:divBdr>
    </w:div>
    <w:div w:id="4237213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3.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7</Pages>
  <Words>1821</Words>
  <Characters>10836</Characters>
  <Application>Microsoft Office Word</Application>
  <DocSecurity>0</DocSecurity>
  <Lines>216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 Monteiro</dc:creator>
  <cp:keywords/>
  <dc:description/>
  <cp:lastModifiedBy>Rosa Monteiro Da Costa Mbunga (2514992)</cp:lastModifiedBy>
  <cp:revision>3</cp:revision>
  <dcterms:created xsi:type="dcterms:W3CDTF">2025-12-14T19:29:00Z</dcterms:created>
  <dcterms:modified xsi:type="dcterms:W3CDTF">2025-12-14T19:30:00Z</dcterms:modified>
</cp:coreProperties>
</file>