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F73444" w14:textId="23BC6619" w:rsidR="001C2C40" w:rsidRPr="001C2C40" w:rsidRDefault="00163658" w:rsidP="001C2C40">
      <w:pPr>
        <w:spacing w:line="360" w:lineRule="auto"/>
        <w:rPr>
          <w:rFonts w:ascii="Arial" w:hAnsi="Arial" w:cs="Arial"/>
          <w:sz w:val="22"/>
          <w:szCs w:val="22"/>
        </w:rPr>
      </w:pPr>
      <w:r w:rsidRPr="00163658">
        <w:rPr>
          <w:rFonts w:ascii="Arial" w:hAnsi="Arial" w:cs="Arial"/>
          <w:sz w:val="22"/>
          <w:szCs w:val="22"/>
        </w:rPr>
        <w:t xml:space="preserve">In early childhood education, quality assurance is essential to guaranteeing that young children receive top-notch care and educational opportunities. By creating surroundings that promote children's cognitive, social, and emotional development, quality assurances—which are defined as the methodical procedures of upholding and enhancing standards—go beyond just fulfilling legal obligations. </w:t>
      </w:r>
      <w:r w:rsidR="001C2C40" w:rsidRPr="001C2C40">
        <w:rPr>
          <w:rFonts w:ascii="Arial" w:hAnsi="Arial" w:cs="Arial"/>
          <w:sz w:val="22"/>
          <w:szCs w:val="22"/>
        </w:rPr>
        <w:t xml:space="preserve">Strong quality assurance measures are essential for influencing children's results, building parental trust, and fostering educators' professional development, as the OECD (2022) highlights. Furthermore, according to Allen et al. (2023), childcare providers may improve their reputation and get ready for changing regulatory expectations by going above and beyond the minimum legal requirements. The Quality for All Mark and the Environment Ratings Scales (ERS) are two quality assurance techniques that are examined in this article in order to critically assess how they improve quality above and beyond regulatory compliance, which benefits educators, parents, and </w:t>
      </w:r>
      <w:r w:rsidR="001C2C40">
        <w:rPr>
          <w:rFonts w:ascii="Arial" w:hAnsi="Arial" w:cs="Arial"/>
          <w:sz w:val="22"/>
          <w:szCs w:val="22"/>
        </w:rPr>
        <w:t>children</w:t>
      </w:r>
      <w:r w:rsidR="001C2C40" w:rsidRPr="001C2C40">
        <w:rPr>
          <w:rFonts w:ascii="Arial" w:hAnsi="Arial" w:cs="Arial"/>
          <w:sz w:val="22"/>
          <w:szCs w:val="22"/>
        </w:rPr>
        <w:t xml:space="preserve"> equally.</w:t>
      </w:r>
    </w:p>
    <w:p w14:paraId="02472217" w14:textId="77777777" w:rsidR="006760FA" w:rsidRPr="006760FA" w:rsidRDefault="006760FA" w:rsidP="006760FA">
      <w:pPr>
        <w:spacing w:line="360" w:lineRule="auto"/>
        <w:rPr>
          <w:rFonts w:ascii="Arial" w:hAnsi="Arial" w:cs="Arial"/>
          <w:sz w:val="22"/>
          <w:szCs w:val="22"/>
        </w:rPr>
      </w:pPr>
      <w:r w:rsidRPr="006760FA">
        <w:rPr>
          <w:rFonts w:ascii="Arial" w:hAnsi="Arial" w:cs="Arial"/>
          <w:sz w:val="22"/>
          <w:szCs w:val="22"/>
        </w:rPr>
        <w:t>Early Years Wales created the Quality for All Mark (</w:t>
      </w:r>
      <w:proofErr w:type="spellStart"/>
      <w:r w:rsidRPr="006760FA">
        <w:rPr>
          <w:rFonts w:ascii="Arial" w:hAnsi="Arial" w:cs="Arial"/>
          <w:sz w:val="22"/>
          <w:szCs w:val="22"/>
        </w:rPr>
        <w:t>QfA</w:t>
      </w:r>
      <w:proofErr w:type="spellEnd"/>
      <w:r w:rsidRPr="006760FA">
        <w:rPr>
          <w:rFonts w:ascii="Arial" w:hAnsi="Arial" w:cs="Arial"/>
          <w:sz w:val="22"/>
          <w:szCs w:val="22"/>
        </w:rPr>
        <w:t>), a systematic quality assurance program, to help childcare providers meet and uphold high standards in instruction and care. It covers important topics including hiring and developing staff, children's wellbeing, and a comprehensive approach to play and learning. It offers a framework for self-assessment, external evaluation, and continual improvement (Early Years Wales, 2022). Participating providers receive accreditation, which acts as a clear indicator of quality and builds stakeholder and parent trust (Nutbrown, 2023).</w:t>
      </w:r>
    </w:p>
    <w:p w14:paraId="0A305C22" w14:textId="4D41190C" w:rsidR="004B4E38" w:rsidRPr="004B4E38" w:rsidRDefault="00B237C8" w:rsidP="004B4E38">
      <w:pPr>
        <w:spacing w:line="360" w:lineRule="auto"/>
        <w:rPr>
          <w:rFonts w:ascii="Arial" w:hAnsi="Arial" w:cs="Arial"/>
          <w:sz w:val="22"/>
          <w:szCs w:val="22"/>
        </w:rPr>
      </w:pPr>
      <w:r w:rsidRPr="00B237C8">
        <w:rPr>
          <w:rFonts w:ascii="Arial" w:hAnsi="Arial" w:cs="Arial"/>
          <w:sz w:val="22"/>
          <w:szCs w:val="22"/>
        </w:rPr>
        <w:t xml:space="preserve">Parents are reassured by this accreditation that daycare centres are dedicated to going above and beyond legal requirements and creating environments where </w:t>
      </w:r>
      <w:r w:rsidR="00185865">
        <w:rPr>
          <w:rFonts w:ascii="Arial" w:hAnsi="Arial" w:cs="Arial"/>
          <w:sz w:val="22"/>
          <w:szCs w:val="22"/>
        </w:rPr>
        <w:t xml:space="preserve">children </w:t>
      </w:r>
      <w:r w:rsidRPr="00B237C8">
        <w:rPr>
          <w:rFonts w:ascii="Arial" w:hAnsi="Arial" w:cs="Arial"/>
          <w:sz w:val="22"/>
          <w:szCs w:val="22"/>
        </w:rPr>
        <w:t xml:space="preserve">may flourish. Quality marks like </w:t>
      </w:r>
      <w:proofErr w:type="spellStart"/>
      <w:r w:rsidRPr="00B237C8">
        <w:rPr>
          <w:rFonts w:ascii="Arial" w:hAnsi="Arial" w:cs="Arial"/>
          <w:sz w:val="22"/>
          <w:szCs w:val="22"/>
        </w:rPr>
        <w:t>QfA</w:t>
      </w:r>
      <w:proofErr w:type="spellEnd"/>
      <w:r w:rsidRPr="00B237C8">
        <w:rPr>
          <w:rFonts w:ascii="Arial" w:hAnsi="Arial" w:cs="Arial"/>
          <w:sz w:val="22"/>
          <w:szCs w:val="22"/>
        </w:rPr>
        <w:t xml:space="preserve"> foster transparency and trust, which are essential for parental confidence in childcare facilities, as Nutbrown (2023) says. Furthermore, in line with national aims for bilingual education, </w:t>
      </w:r>
      <w:proofErr w:type="spellStart"/>
      <w:r w:rsidRPr="00B237C8">
        <w:rPr>
          <w:rFonts w:ascii="Arial" w:hAnsi="Arial" w:cs="Arial"/>
          <w:sz w:val="22"/>
          <w:szCs w:val="22"/>
        </w:rPr>
        <w:t>QfA</w:t>
      </w:r>
      <w:proofErr w:type="spellEnd"/>
      <w:r w:rsidRPr="00B237C8">
        <w:rPr>
          <w:rFonts w:ascii="Arial" w:hAnsi="Arial" w:cs="Arial"/>
          <w:sz w:val="22"/>
          <w:szCs w:val="22"/>
        </w:rPr>
        <w:t xml:space="preserve"> incorporates opportunities for cultural enrichment, such as promoting Welsh language integration through the Quality Cymraeg Assessment (Early Years Wales, 2022). This feature demonstrates its dedication to promoting inclusive and progressive </w:t>
      </w:r>
      <w:proofErr w:type="spellStart"/>
      <w:r w:rsidRPr="00B237C8">
        <w:rPr>
          <w:rFonts w:ascii="Arial" w:hAnsi="Arial" w:cs="Arial"/>
          <w:sz w:val="22"/>
          <w:szCs w:val="22"/>
        </w:rPr>
        <w:t>practices.</w:t>
      </w:r>
      <w:r w:rsidR="004B4E38" w:rsidRPr="004B4E38">
        <w:rPr>
          <w:rFonts w:ascii="Arial" w:hAnsi="Arial" w:cs="Arial"/>
          <w:sz w:val="22"/>
          <w:szCs w:val="22"/>
        </w:rPr>
        <w:t>Additionally</w:t>
      </w:r>
      <w:proofErr w:type="spellEnd"/>
      <w:r w:rsidR="004B4E38" w:rsidRPr="004B4E38">
        <w:rPr>
          <w:rFonts w:ascii="Arial" w:hAnsi="Arial" w:cs="Arial"/>
          <w:sz w:val="22"/>
          <w:szCs w:val="22"/>
        </w:rPr>
        <w:t xml:space="preserve">, by conforming to Care Inspectorate Wales (CIW) regulatory criteria, the </w:t>
      </w:r>
      <w:proofErr w:type="spellStart"/>
      <w:r w:rsidR="004B4E38" w:rsidRPr="004B4E38">
        <w:rPr>
          <w:rFonts w:ascii="Arial" w:hAnsi="Arial" w:cs="Arial"/>
          <w:sz w:val="22"/>
          <w:szCs w:val="22"/>
        </w:rPr>
        <w:t>QfA</w:t>
      </w:r>
      <w:proofErr w:type="spellEnd"/>
      <w:r w:rsidR="004B4E38" w:rsidRPr="004B4E38">
        <w:rPr>
          <w:rFonts w:ascii="Arial" w:hAnsi="Arial" w:cs="Arial"/>
          <w:sz w:val="22"/>
          <w:szCs w:val="22"/>
        </w:rPr>
        <w:t xml:space="preserve"> assists providers in being ready for external inspections. In addition to fulfilling legal obligations, providers who actively participate in quality assurance programs show that they can innovate and adapt, two qualities that are critical for success in a cutthroat industry (Allen et al., 2023). By demonstrating their capabilities with assurance during inspections, providers may improve their reputation and secure long-term success thanks to this proactive alignment.</w:t>
      </w:r>
    </w:p>
    <w:p w14:paraId="48119F23" w14:textId="77777777" w:rsidR="00406755" w:rsidRPr="00406755" w:rsidRDefault="00406755" w:rsidP="00406755">
      <w:pPr>
        <w:spacing w:line="360" w:lineRule="auto"/>
        <w:rPr>
          <w:rFonts w:ascii="Arial" w:hAnsi="Arial" w:cs="Arial"/>
          <w:sz w:val="22"/>
          <w:szCs w:val="22"/>
        </w:rPr>
      </w:pPr>
      <w:r w:rsidRPr="00406755">
        <w:rPr>
          <w:rFonts w:ascii="Arial" w:hAnsi="Arial" w:cs="Arial"/>
          <w:sz w:val="22"/>
          <w:szCs w:val="22"/>
        </w:rPr>
        <w:t xml:space="preserve">The </w:t>
      </w:r>
      <w:proofErr w:type="spellStart"/>
      <w:r w:rsidRPr="00406755">
        <w:rPr>
          <w:rFonts w:ascii="Arial" w:hAnsi="Arial" w:cs="Arial"/>
          <w:sz w:val="22"/>
          <w:szCs w:val="22"/>
        </w:rPr>
        <w:t>QfA</w:t>
      </w:r>
      <w:proofErr w:type="spellEnd"/>
      <w:r w:rsidRPr="00406755">
        <w:rPr>
          <w:rFonts w:ascii="Arial" w:hAnsi="Arial" w:cs="Arial"/>
          <w:sz w:val="22"/>
          <w:szCs w:val="22"/>
        </w:rPr>
        <w:t xml:space="preserve"> framework's dedication to excellence is further demonstrated by its emphasis on professional growth. Reflective practices and training opportunities assist providers by </w:t>
      </w:r>
      <w:r w:rsidRPr="00406755">
        <w:rPr>
          <w:rFonts w:ascii="Arial" w:hAnsi="Arial" w:cs="Arial"/>
          <w:sz w:val="22"/>
          <w:szCs w:val="22"/>
        </w:rPr>
        <w:lastRenderedPageBreak/>
        <w:t>enabling educators to provide better care and educational opportunities. Additionally, the program fosters staff cooperation, establishing a common vision for innovation and progress (OECD, 2022). Ongoing professional development not only raises employee satisfaction but also immediately improves the calibre of services provided to families and children.</w:t>
      </w:r>
    </w:p>
    <w:p w14:paraId="07906A55" w14:textId="77777777" w:rsidR="0034172A" w:rsidRPr="0034172A" w:rsidRDefault="0034172A" w:rsidP="0034172A">
      <w:pPr>
        <w:spacing w:line="360" w:lineRule="auto"/>
        <w:rPr>
          <w:rFonts w:ascii="Arial" w:hAnsi="Arial" w:cs="Arial"/>
          <w:sz w:val="22"/>
          <w:szCs w:val="22"/>
        </w:rPr>
      </w:pPr>
      <w:r w:rsidRPr="0034172A">
        <w:rPr>
          <w:rFonts w:ascii="Arial" w:hAnsi="Arial" w:cs="Arial"/>
          <w:sz w:val="22"/>
          <w:szCs w:val="22"/>
        </w:rPr>
        <w:t>In conclusion, the Quality for All Mark positions childcare providers as leaders in providing outstanding levels of care by promoting trust, cultural enrichment, and innovation. Its all-encompassing strategy encourages long-term success and ongoing development while assisting providers in going above and beyond legal obligations.</w:t>
      </w:r>
    </w:p>
    <w:p w14:paraId="6983381A" w14:textId="1DD59F8E" w:rsidR="00236F7D" w:rsidRPr="00236F7D" w:rsidRDefault="0056559B" w:rsidP="001971A4">
      <w:pPr>
        <w:spacing w:line="360" w:lineRule="auto"/>
        <w:rPr>
          <w:rFonts w:ascii="Arial" w:hAnsi="Arial" w:cs="Arial"/>
          <w:sz w:val="22"/>
          <w:szCs w:val="22"/>
        </w:rPr>
      </w:pPr>
      <w:r w:rsidRPr="0056559B">
        <w:rPr>
          <w:rFonts w:ascii="Arial" w:hAnsi="Arial" w:cs="Arial"/>
          <w:sz w:val="22"/>
          <w:szCs w:val="22"/>
        </w:rPr>
        <w:t>One well-known instrument for evaluating and enhancing the calibre of learning environments in childcare and early education institutions is the Environment Rating Scales (ERS). In order to provide the best possible circumstances for a child's development, the ERS was created by Harms et al. and assesses important elements of the learning environment, such as space, materials, interactions, and activities (Harms et al., 2023). To enable age-appropriate assessments, these measures are available in many variants, such as the Infant/Toddler Environment Rating Scale (ITERS-3) for younger children and the Early Childhood Environment Rating Scale (ECERS-3) for preschool-aged children</w:t>
      </w:r>
      <w:r w:rsidR="00236F7D" w:rsidRPr="00236F7D">
        <w:rPr>
          <w:rFonts w:ascii="Arial" w:hAnsi="Arial" w:cs="Arial"/>
          <w:sz w:val="22"/>
          <w:szCs w:val="22"/>
        </w:rPr>
        <w:t>.</w:t>
      </w:r>
    </w:p>
    <w:p w14:paraId="36D4C4CC" w14:textId="77777777" w:rsidR="00753917" w:rsidRPr="00753917" w:rsidRDefault="00753917" w:rsidP="00753917">
      <w:pPr>
        <w:spacing w:line="360" w:lineRule="auto"/>
        <w:rPr>
          <w:rFonts w:ascii="Arial" w:hAnsi="Arial" w:cs="Arial"/>
          <w:sz w:val="22"/>
          <w:szCs w:val="22"/>
        </w:rPr>
      </w:pPr>
      <w:r w:rsidRPr="00753917">
        <w:rPr>
          <w:rFonts w:ascii="Arial" w:hAnsi="Arial" w:cs="Arial"/>
          <w:sz w:val="22"/>
          <w:szCs w:val="22"/>
        </w:rPr>
        <w:t>Finding learning environments' strengths and places for improvement is one of ERS's main goals. For instance, the ECERS-3 highlights the value of curriculum that promotes children's holistic development, well-organised environments, and effective teaching methods (ERS Institute, 2023). By methodically assessing these elements, the scales give educators and providers useful information that empowers them to implement focused changes that raise the standard of care and instruction.</w:t>
      </w:r>
    </w:p>
    <w:p w14:paraId="296D3163" w14:textId="77777777" w:rsidR="002B4604" w:rsidRPr="002B4604" w:rsidRDefault="002B4604" w:rsidP="002B4604">
      <w:pPr>
        <w:spacing w:line="360" w:lineRule="auto"/>
        <w:rPr>
          <w:rFonts w:ascii="Arial" w:hAnsi="Arial" w:cs="Arial"/>
          <w:sz w:val="22"/>
          <w:szCs w:val="22"/>
        </w:rPr>
      </w:pPr>
      <w:r w:rsidRPr="002B4604">
        <w:rPr>
          <w:rFonts w:ascii="Arial" w:hAnsi="Arial" w:cs="Arial"/>
          <w:sz w:val="22"/>
          <w:szCs w:val="22"/>
        </w:rPr>
        <w:t>Additionally, ERS emphasises process quality, which encompasses interactions between children and their physical environment, as well as between children and personnel. These exchanges are essential for promoting social growth, learning, and engagement. Enhancing process quality has a major effect on children's results, especially in areas like language development and emotional well-being, as Smith and Brown (2022) point out.</w:t>
      </w:r>
    </w:p>
    <w:p w14:paraId="59D71326" w14:textId="55B80892" w:rsidR="00236F7D" w:rsidRPr="001971A4" w:rsidRDefault="00D00FD6" w:rsidP="00D00FD6">
      <w:pPr>
        <w:spacing w:line="360" w:lineRule="auto"/>
        <w:rPr>
          <w:rFonts w:ascii="Arial" w:hAnsi="Arial" w:cs="Arial"/>
          <w:sz w:val="22"/>
          <w:szCs w:val="22"/>
        </w:rPr>
      </w:pPr>
      <w:r w:rsidRPr="00D00FD6">
        <w:rPr>
          <w:rFonts w:ascii="Arial" w:hAnsi="Arial" w:cs="Arial"/>
          <w:sz w:val="22"/>
          <w:szCs w:val="22"/>
        </w:rPr>
        <w:t xml:space="preserve">Additionally, by providing a defined framework for ongoing development, ERS assists childcare providers in addressing particular difficulties. For example, providers might prioritise modifications that have the most impact by using the scales to identify underutilised portions of the learning environment or inadequate resources (Harms et al., 2023). This guarantees that resources are distributed effectively and efficiently to meet the needs of children. </w:t>
      </w:r>
      <w:r w:rsidRPr="00D00FD6">
        <w:rPr>
          <w:rFonts w:ascii="Arial" w:hAnsi="Arial" w:cs="Arial"/>
          <w:sz w:val="22"/>
          <w:szCs w:val="22"/>
        </w:rPr>
        <w:br/>
        <w:t xml:space="preserve">To sum up, the ERS are effective instruments for evaluating and raising the calibre of learning environments. They enable teachers to design environments that promote </w:t>
      </w:r>
      <w:r w:rsidR="00185865">
        <w:rPr>
          <w:rFonts w:ascii="Arial" w:hAnsi="Arial" w:cs="Arial"/>
          <w:sz w:val="22"/>
          <w:szCs w:val="22"/>
        </w:rPr>
        <w:t xml:space="preserve">children’s </w:t>
      </w:r>
      <w:r w:rsidRPr="00D00FD6">
        <w:rPr>
          <w:rFonts w:ascii="Arial" w:hAnsi="Arial" w:cs="Arial"/>
          <w:sz w:val="22"/>
          <w:szCs w:val="22"/>
        </w:rPr>
        <w:t xml:space="preserve"> </w:t>
      </w:r>
      <w:r w:rsidRPr="00D00FD6">
        <w:rPr>
          <w:rFonts w:ascii="Arial" w:hAnsi="Arial" w:cs="Arial"/>
          <w:sz w:val="22"/>
          <w:szCs w:val="22"/>
        </w:rPr>
        <w:lastRenderedPageBreak/>
        <w:t xml:space="preserve">overall development and well-being by showcasing their strengths and pinpointing areas for improvement (ERS Institute, 2023; Smith &amp; Brown, 2022). </w:t>
      </w:r>
    </w:p>
    <w:p w14:paraId="3535EC33" w14:textId="77777777" w:rsidR="004A5CC5" w:rsidRPr="004A5CC5" w:rsidRDefault="004A5CC5" w:rsidP="004A5CC5">
      <w:pPr>
        <w:spacing w:line="360" w:lineRule="auto"/>
        <w:rPr>
          <w:rFonts w:ascii="Arial" w:hAnsi="Arial" w:cs="Arial"/>
          <w:sz w:val="22"/>
          <w:szCs w:val="22"/>
        </w:rPr>
      </w:pPr>
      <w:r w:rsidRPr="004A5CC5">
        <w:rPr>
          <w:rFonts w:ascii="Arial" w:hAnsi="Arial" w:cs="Arial"/>
          <w:sz w:val="22"/>
          <w:szCs w:val="22"/>
        </w:rPr>
        <w:t xml:space="preserve">The Quality for All Mark and the Environment Rating Scales are examples of innovative methods in early childhood education and care that go beyond legal requirements. A stronger focus on process quality is emphasised by ERS and </w:t>
      </w:r>
      <w:proofErr w:type="spellStart"/>
      <w:r w:rsidRPr="004A5CC5">
        <w:rPr>
          <w:rFonts w:ascii="Arial" w:hAnsi="Arial" w:cs="Arial"/>
          <w:sz w:val="22"/>
          <w:szCs w:val="22"/>
        </w:rPr>
        <w:t>QfA</w:t>
      </w:r>
      <w:proofErr w:type="spellEnd"/>
      <w:r w:rsidRPr="004A5CC5">
        <w:rPr>
          <w:rFonts w:ascii="Arial" w:hAnsi="Arial" w:cs="Arial"/>
          <w:sz w:val="22"/>
          <w:szCs w:val="22"/>
        </w:rPr>
        <w:t xml:space="preserve">, which address elements including the learning environment, child-staff interactions, and developmental outcomes, even if fulfilling legislative criteria guarantees adherence to basic legal standards. For instance, by analysing elements like space, materials, and interactions, ERS offers a comprehensive framework for evaluating the quality of care and education (Slot et al., 2021). </w:t>
      </w:r>
    </w:p>
    <w:p w14:paraId="1546E7B2" w14:textId="77777777" w:rsidR="00445A71" w:rsidRPr="00445A71" w:rsidRDefault="00445A71" w:rsidP="00445A71">
      <w:pPr>
        <w:spacing w:line="360" w:lineRule="auto"/>
        <w:rPr>
          <w:rFonts w:ascii="Arial" w:hAnsi="Arial" w:cs="Arial"/>
          <w:sz w:val="22"/>
          <w:szCs w:val="22"/>
        </w:rPr>
      </w:pPr>
      <w:r w:rsidRPr="00445A71">
        <w:rPr>
          <w:rFonts w:ascii="Arial" w:hAnsi="Arial" w:cs="Arial"/>
          <w:sz w:val="22"/>
          <w:szCs w:val="22"/>
        </w:rPr>
        <w:t xml:space="preserve">By encouraging settings to adopt a culture of continuous improvement and prioritising reflective practice, the </w:t>
      </w:r>
      <w:proofErr w:type="spellStart"/>
      <w:r w:rsidRPr="00445A71">
        <w:rPr>
          <w:rFonts w:ascii="Arial" w:hAnsi="Arial" w:cs="Arial"/>
          <w:sz w:val="22"/>
          <w:szCs w:val="22"/>
        </w:rPr>
        <w:t>QfA</w:t>
      </w:r>
      <w:proofErr w:type="spellEnd"/>
      <w:r w:rsidRPr="00445A71">
        <w:rPr>
          <w:rFonts w:ascii="Arial" w:hAnsi="Arial" w:cs="Arial"/>
          <w:sz w:val="22"/>
          <w:szCs w:val="22"/>
        </w:rPr>
        <w:t xml:space="preserve"> Mark, on the other hand, assists providers in providing care that promotes holistic child development (Early Years Wales, 2023). These resources lay the groundwork for outstanding childcare by encouraging evidence-based practices and guaranteeing better standards.</w:t>
      </w:r>
    </w:p>
    <w:p w14:paraId="3E108F64" w14:textId="65002DA8" w:rsidR="00D85D63" w:rsidRPr="00D85D63" w:rsidRDefault="00D85D63" w:rsidP="00D85D63">
      <w:pPr>
        <w:spacing w:line="360" w:lineRule="auto"/>
        <w:rPr>
          <w:rFonts w:ascii="Arial" w:hAnsi="Arial" w:cs="Arial"/>
          <w:sz w:val="22"/>
          <w:szCs w:val="22"/>
        </w:rPr>
      </w:pPr>
      <w:r w:rsidRPr="00D85D63">
        <w:rPr>
          <w:rFonts w:ascii="Arial" w:hAnsi="Arial" w:cs="Arial"/>
          <w:sz w:val="22"/>
          <w:szCs w:val="22"/>
        </w:rPr>
        <w:t xml:space="preserve">There are several advantages to using ERS and </w:t>
      </w:r>
      <w:proofErr w:type="spellStart"/>
      <w:r w:rsidRPr="00D85D63">
        <w:rPr>
          <w:rFonts w:ascii="Arial" w:hAnsi="Arial" w:cs="Arial"/>
          <w:sz w:val="22"/>
          <w:szCs w:val="22"/>
        </w:rPr>
        <w:t>QfA</w:t>
      </w:r>
      <w:proofErr w:type="spellEnd"/>
      <w:r w:rsidRPr="00D85D63">
        <w:rPr>
          <w:rFonts w:ascii="Arial" w:hAnsi="Arial" w:cs="Arial"/>
          <w:sz w:val="22"/>
          <w:szCs w:val="22"/>
        </w:rPr>
        <w:t xml:space="preserve">. Better cognitive, social, and emotional outcomes for </w:t>
      </w:r>
      <w:r w:rsidR="00185865">
        <w:rPr>
          <w:rFonts w:ascii="Arial" w:hAnsi="Arial" w:cs="Arial"/>
          <w:sz w:val="22"/>
          <w:szCs w:val="22"/>
        </w:rPr>
        <w:t>children</w:t>
      </w:r>
      <w:r w:rsidRPr="00D85D63">
        <w:rPr>
          <w:rFonts w:ascii="Arial" w:hAnsi="Arial" w:cs="Arial"/>
          <w:sz w:val="22"/>
          <w:szCs w:val="22"/>
        </w:rPr>
        <w:t xml:space="preserve"> have been associated with high-quality learning settings, including those evaluated by ERS. These outcomes are crucial for preparing </w:t>
      </w:r>
      <w:r w:rsidR="00776C8B">
        <w:rPr>
          <w:rFonts w:ascii="Arial" w:hAnsi="Arial" w:cs="Arial"/>
          <w:sz w:val="22"/>
          <w:szCs w:val="22"/>
        </w:rPr>
        <w:t>children</w:t>
      </w:r>
      <w:r w:rsidRPr="00D85D63">
        <w:rPr>
          <w:rFonts w:ascii="Arial" w:hAnsi="Arial" w:cs="Arial"/>
          <w:sz w:val="22"/>
          <w:szCs w:val="22"/>
        </w:rPr>
        <w:t xml:space="preserve"> for success in school and in life in the future (Zaslow et al., 2021). Furthermore, educators' professional abilities are developed by the reflective practices incorporated into the </w:t>
      </w:r>
      <w:proofErr w:type="spellStart"/>
      <w:r w:rsidRPr="00D85D63">
        <w:rPr>
          <w:rFonts w:ascii="Arial" w:hAnsi="Arial" w:cs="Arial"/>
          <w:sz w:val="22"/>
          <w:szCs w:val="22"/>
        </w:rPr>
        <w:t>QfA</w:t>
      </w:r>
      <w:proofErr w:type="spellEnd"/>
      <w:r w:rsidRPr="00D85D63">
        <w:rPr>
          <w:rFonts w:ascii="Arial" w:hAnsi="Arial" w:cs="Arial"/>
          <w:sz w:val="22"/>
          <w:szCs w:val="22"/>
        </w:rPr>
        <w:t xml:space="preserve"> framework, which guarantees better teaching methods and greater support for the needs of children (Hallet, 2021). These frameworks' external validation fosters confidence and trust among stakeholders and families, which can enhance early education providers' standing. Crucially, these resources enable teachers to pinpoint their areas of weakness and cultivate a feeling of autonomy in their career advancement.</w:t>
      </w:r>
    </w:p>
    <w:p w14:paraId="389A6D8D" w14:textId="77777777" w:rsidR="00CF31A3" w:rsidRPr="00CF31A3" w:rsidRDefault="00CF31A3" w:rsidP="00CF31A3">
      <w:pPr>
        <w:spacing w:line="360" w:lineRule="auto"/>
        <w:rPr>
          <w:rFonts w:ascii="Arial" w:hAnsi="Arial" w:cs="Arial"/>
          <w:sz w:val="22"/>
          <w:szCs w:val="22"/>
        </w:rPr>
      </w:pPr>
      <w:r w:rsidRPr="00CF31A3">
        <w:rPr>
          <w:rFonts w:ascii="Arial" w:hAnsi="Arial" w:cs="Arial"/>
          <w:sz w:val="22"/>
          <w:szCs w:val="22"/>
        </w:rPr>
        <w:t xml:space="preserve">The implementation of ERS and </w:t>
      </w:r>
      <w:proofErr w:type="spellStart"/>
      <w:r w:rsidRPr="00CF31A3">
        <w:rPr>
          <w:rFonts w:ascii="Arial" w:hAnsi="Arial" w:cs="Arial"/>
          <w:sz w:val="22"/>
          <w:szCs w:val="22"/>
        </w:rPr>
        <w:t>QfA</w:t>
      </w:r>
      <w:proofErr w:type="spellEnd"/>
      <w:r w:rsidRPr="00CF31A3">
        <w:rPr>
          <w:rFonts w:ascii="Arial" w:hAnsi="Arial" w:cs="Arial"/>
          <w:sz w:val="22"/>
          <w:szCs w:val="22"/>
        </w:rPr>
        <w:t xml:space="preserve"> is not without difficulties, notwithstanding its benefits. The cost of implementation is one of the main problems since providers need to spend money on resources, training, and continuous evaluations. This can be a major obstacle, especially for settings that are smaller or have less funding (Hallet, 2021). Another issue is time limits, as employees have to juggle the demands of everyday tasks with the extra burden needed for quality improvement projects. Furthermore, the specialised training required to successfully use these frameworks can be more expensive than current professional development budgets, further taxing available resources (Slot et al., 2021). </w:t>
      </w:r>
    </w:p>
    <w:p w14:paraId="3A9D4DC5" w14:textId="4C756B82" w:rsidR="00E74213" w:rsidRPr="00776C8B" w:rsidRDefault="006419A8" w:rsidP="001971A4">
      <w:pPr>
        <w:spacing w:line="360" w:lineRule="auto"/>
        <w:rPr>
          <w:rFonts w:ascii="Arial" w:hAnsi="Arial" w:cs="Arial"/>
          <w:sz w:val="22"/>
          <w:szCs w:val="22"/>
        </w:rPr>
      </w:pPr>
      <w:r w:rsidRPr="006419A8">
        <w:rPr>
          <w:rFonts w:ascii="Arial" w:hAnsi="Arial" w:cs="Arial"/>
          <w:sz w:val="22"/>
          <w:szCs w:val="22"/>
        </w:rPr>
        <w:t xml:space="preserve">The effective integration of these tools may also be hampered by staff resistance to change and differing degrees of involvement. Targeted solutions are needed to address these issues, including more financing, easily available training courses, and encouraging a culture </w:t>
      </w:r>
      <w:r w:rsidRPr="006419A8">
        <w:rPr>
          <w:rFonts w:ascii="Arial" w:hAnsi="Arial" w:cs="Arial"/>
          <w:sz w:val="22"/>
          <w:szCs w:val="22"/>
        </w:rPr>
        <w:lastRenderedPageBreak/>
        <w:t xml:space="preserve">of shared accountability for quality enhancement. </w:t>
      </w:r>
      <w:r w:rsidRPr="006419A8">
        <w:rPr>
          <w:rFonts w:ascii="Arial" w:hAnsi="Arial" w:cs="Arial"/>
          <w:sz w:val="22"/>
          <w:szCs w:val="22"/>
        </w:rPr>
        <w:br/>
        <w:t xml:space="preserve">In conclusion, by encouraging excellence and placing a higher priority on children's development, the ERS and </w:t>
      </w:r>
      <w:proofErr w:type="spellStart"/>
      <w:r w:rsidRPr="006419A8">
        <w:rPr>
          <w:rFonts w:ascii="Arial" w:hAnsi="Arial" w:cs="Arial"/>
          <w:sz w:val="22"/>
          <w:szCs w:val="22"/>
        </w:rPr>
        <w:t>QfA</w:t>
      </w:r>
      <w:proofErr w:type="spellEnd"/>
      <w:r w:rsidRPr="006419A8">
        <w:rPr>
          <w:rFonts w:ascii="Arial" w:hAnsi="Arial" w:cs="Arial"/>
          <w:sz w:val="22"/>
          <w:szCs w:val="22"/>
        </w:rPr>
        <w:t xml:space="preserve"> frameworks allow early childhood education providers to go above and beyond the minimum criteria set out by law. The long-term advantages of better learning settings and better results for </w:t>
      </w:r>
      <w:r w:rsidR="00776C8B">
        <w:rPr>
          <w:rFonts w:ascii="Arial" w:hAnsi="Arial" w:cs="Arial"/>
          <w:sz w:val="22"/>
          <w:szCs w:val="22"/>
        </w:rPr>
        <w:t xml:space="preserve">children </w:t>
      </w:r>
      <w:r w:rsidRPr="006419A8">
        <w:rPr>
          <w:rFonts w:ascii="Arial" w:hAnsi="Arial" w:cs="Arial"/>
          <w:sz w:val="22"/>
          <w:szCs w:val="22"/>
        </w:rPr>
        <w:t xml:space="preserve">make these efforts worthwhile, even though putting them into practice requires overcoming logistical, cultural, and budgetary obstacles. Early childhood settings may leave a legacy of excellence and give young learners the greatest start possible by investing in these game-changing resources. </w:t>
      </w:r>
    </w:p>
    <w:p w14:paraId="132D72FE" w14:textId="36ADE72D" w:rsidR="00E44111" w:rsidRPr="00E44111" w:rsidRDefault="00E44111" w:rsidP="00E44111">
      <w:pPr>
        <w:spacing w:line="360" w:lineRule="auto"/>
        <w:rPr>
          <w:rFonts w:ascii="Arial" w:hAnsi="Arial" w:cs="Arial"/>
          <w:sz w:val="22"/>
          <w:szCs w:val="22"/>
        </w:rPr>
      </w:pPr>
      <w:r w:rsidRPr="00E44111">
        <w:rPr>
          <w:rFonts w:ascii="Arial" w:hAnsi="Arial" w:cs="Arial"/>
          <w:sz w:val="22"/>
          <w:szCs w:val="22"/>
        </w:rPr>
        <w:t>Both the Quality for All (</w:t>
      </w:r>
      <w:proofErr w:type="spellStart"/>
      <w:r w:rsidRPr="00E44111">
        <w:rPr>
          <w:rFonts w:ascii="Arial" w:hAnsi="Arial" w:cs="Arial"/>
          <w:sz w:val="22"/>
          <w:szCs w:val="22"/>
        </w:rPr>
        <w:t>QfA</w:t>
      </w:r>
      <w:proofErr w:type="spellEnd"/>
      <w:r w:rsidRPr="00E44111">
        <w:rPr>
          <w:rFonts w:ascii="Arial" w:hAnsi="Arial" w:cs="Arial"/>
          <w:sz w:val="22"/>
          <w:szCs w:val="22"/>
        </w:rPr>
        <w:t xml:space="preserve">) Mark and the Environment Rating Scales (ERS) are useful instruments for raising the standard of early childhood education, although they vary in their effectiveness, simplicity of use, and methodology. ERS, which emphasises interactions, materials, and the learning environment, is very good at evaluating the quality of processes. It is an effective technique for improving quality because of its organised framework, which offers comprehensive insights into areas that need development (Melhuish et al., 2021). Smaller settings may find it difficult to execute since it can be resource-intensive, needing a lot of training and observation time (Slot et al., 2021). </w:t>
      </w:r>
      <w:proofErr w:type="spellStart"/>
      <w:r w:rsidRPr="00E44111">
        <w:rPr>
          <w:rFonts w:ascii="Arial" w:hAnsi="Arial" w:cs="Arial"/>
          <w:sz w:val="22"/>
          <w:szCs w:val="22"/>
        </w:rPr>
        <w:t>QfA</w:t>
      </w:r>
      <w:proofErr w:type="spellEnd"/>
      <w:r w:rsidRPr="00E44111">
        <w:rPr>
          <w:rFonts w:ascii="Arial" w:hAnsi="Arial" w:cs="Arial"/>
          <w:sz w:val="22"/>
          <w:szCs w:val="22"/>
        </w:rPr>
        <w:t xml:space="preserve">, on the other hand, places more emphasis on professional conversations and reflective practice, which are simpler to adopt since they fit in well with current workflows. A wider range of providers can utilise the </w:t>
      </w:r>
      <w:proofErr w:type="spellStart"/>
      <w:r w:rsidRPr="00E44111">
        <w:rPr>
          <w:rFonts w:ascii="Arial" w:hAnsi="Arial" w:cs="Arial"/>
          <w:sz w:val="22"/>
          <w:szCs w:val="22"/>
        </w:rPr>
        <w:t>QfA</w:t>
      </w:r>
      <w:proofErr w:type="spellEnd"/>
      <w:r w:rsidRPr="00E44111">
        <w:rPr>
          <w:rFonts w:ascii="Arial" w:hAnsi="Arial" w:cs="Arial"/>
          <w:sz w:val="22"/>
          <w:szCs w:val="22"/>
        </w:rPr>
        <w:t xml:space="preserve"> process since it requires fewer resources (Early Years Wales, 2023).</w:t>
      </w:r>
    </w:p>
    <w:p w14:paraId="46D4A585" w14:textId="77777777" w:rsidR="00095D47" w:rsidRPr="00095D47" w:rsidRDefault="00095D47" w:rsidP="00095D47">
      <w:pPr>
        <w:spacing w:line="360" w:lineRule="auto"/>
        <w:rPr>
          <w:rFonts w:ascii="Arial" w:hAnsi="Arial" w:cs="Arial"/>
          <w:sz w:val="22"/>
          <w:szCs w:val="22"/>
        </w:rPr>
      </w:pPr>
      <w:r w:rsidRPr="00095D47">
        <w:rPr>
          <w:rFonts w:ascii="Arial" w:hAnsi="Arial" w:cs="Arial"/>
          <w:sz w:val="22"/>
          <w:szCs w:val="22"/>
        </w:rPr>
        <w:t xml:space="preserve">By improving the calibre of interactions and learning settings, ERS has been demonstrated to have a considerable positive influence on child outcomes (Melhuish et al., 2021). Better developmental outcomes are directly connected to improvements thanks to its evidence-based approach. Conversely, </w:t>
      </w:r>
      <w:proofErr w:type="spellStart"/>
      <w:r w:rsidRPr="00095D47">
        <w:rPr>
          <w:rFonts w:ascii="Arial" w:hAnsi="Arial" w:cs="Arial"/>
          <w:sz w:val="22"/>
          <w:szCs w:val="22"/>
        </w:rPr>
        <w:t>QfA's</w:t>
      </w:r>
      <w:proofErr w:type="spellEnd"/>
      <w:r w:rsidRPr="00095D47">
        <w:rPr>
          <w:rFonts w:ascii="Arial" w:hAnsi="Arial" w:cs="Arial"/>
          <w:sz w:val="22"/>
          <w:szCs w:val="22"/>
        </w:rPr>
        <w:t xml:space="preserve"> influence is seen in encouraging educators to collaborate and develop continuously. </w:t>
      </w:r>
      <w:proofErr w:type="spellStart"/>
      <w:r w:rsidRPr="00095D47">
        <w:rPr>
          <w:rFonts w:ascii="Arial" w:hAnsi="Arial" w:cs="Arial"/>
          <w:sz w:val="22"/>
          <w:szCs w:val="22"/>
        </w:rPr>
        <w:t>QfA</w:t>
      </w:r>
      <w:proofErr w:type="spellEnd"/>
      <w:r w:rsidRPr="00095D47">
        <w:rPr>
          <w:rFonts w:ascii="Arial" w:hAnsi="Arial" w:cs="Arial"/>
          <w:sz w:val="22"/>
          <w:szCs w:val="22"/>
        </w:rPr>
        <w:t xml:space="preserve"> enables employees to take charge of quality improvement by promoting reflective practice, which eventually results in long-lasting gains (Early Years Wales, 2023).</w:t>
      </w:r>
    </w:p>
    <w:p w14:paraId="216685B4" w14:textId="77777777" w:rsidR="00CD1A46" w:rsidRPr="00CD1A46" w:rsidRDefault="00CD1A46" w:rsidP="00CD1A46">
      <w:pPr>
        <w:spacing w:line="360" w:lineRule="auto"/>
        <w:rPr>
          <w:rFonts w:ascii="Arial" w:hAnsi="Arial" w:cs="Arial"/>
          <w:sz w:val="22"/>
          <w:szCs w:val="22"/>
        </w:rPr>
      </w:pPr>
      <w:r w:rsidRPr="00CD1A46">
        <w:rPr>
          <w:rFonts w:ascii="Arial" w:hAnsi="Arial" w:cs="Arial"/>
          <w:sz w:val="22"/>
          <w:szCs w:val="22"/>
        </w:rPr>
        <w:t xml:space="preserve">Every technique makes a distinct contribution to raising quality. ERS is perfect for environments seeking quantifiable improvements in process quality because it offers a thorough evaluation framework that pinpoints certain areas for improvement (Melhuish et al., 2021). However, </w:t>
      </w:r>
      <w:proofErr w:type="spellStart"/>
      <w:r w:rsidRPr="00CD1A46">
        <w:rPr>
          <w:rFonts w:ascii="Arial" w:hAnsi="Arial" w:cs="Arial"/>
          <w:sz w:val="22"/>
          <w:szCs w:val="22"/>
        </w:rPr>
        <w:t>QfA</w:t>
      </w:r>
      <w:proofErr w:type="spellEnd"/>
      <w:r w:rsidRPr="00CD1A46">
        <w:rPr>
          <w:rFonts w:ascii="Arial" w:hAnsi="Arial" w:cs="Arial"/>
          <w:sz w:val="22"/>
          <w:szCs w:val="22"/>
        </w:rPr>
        <w:t xml:space="preserve"> is excellent in advancing a comprehensive approach to quality, stressing the value of reflective practice and professional growth (Early Years Wales, 2023). When used in tandem, these resources provide supplementary methods for attaining excellence in early childhood education.</w:t>
      </w:r>
    </w:p>
    <w:p w14:paraId="34C0E2E7" w14:textId="77777777" w:rsidR="004F2421" w:rsidRPr="004F2421" w:rsidRDefault="004F2421" w:rsidP="004F2421">
      <w:pPr>
        <w:spacing w:line="360" w:lineRule="auto"/>
        <w:rPr>
          <w:rFonts w:ascii="Arial" w:hAnsi="Arial" w:cs="Arial"/>
          <w:sz w:val="22"/>
          <w:szCs w:val="22"/>
        </w:rPr>
      </w:pPr>
      <w:r w:rsidRPr="004F2421">
        <w:rPr>
          <w:rFonts w:ascii="Arial" w:hAnsi="Arial" w:cs="Arial"/>
          <w:sz w:val="22"/>
          <w:szCs w:val="22"/>
        </w:rPr>
        <w:t xml:space="preserve">The dedication to creating conditions that support children's holistic development is highlighted when considering the significance of going above and beyond the standards of </w:t>
      </w:r>
      <w:r w:rsidRPr="004F2421">
        <w:rPr>
          <w:rFonts w:ascii="Arial" w:hAnsi="Arial" w:cs="Arial"/>
          <w:sz w:val="22"/>
          <w:szCs w:val="22"/>
        </w:rPr>
        <w:lastRenderedPageBreak/>
        <w:t xml:space="preserve">the law in early childhood education. While statutory laws offer a starting point for operational and safety standards, going above and above guarantees children get individualised, rich learning experiences. Quality education entails establishing settings that foster cognitive, social, and emotional development, as </w:t>
      </w:r>
      <w:proofErr w:type="spellStart"/>
      <w:r w:rsidRPr="004F2421">
        <w:rPr>
          <w:rFonts w:ascii="Arial" w:hAnsi="Arial" w:cs="Arial"/>
          <w:sz w:val="22"/>
          <w:szCs w:val="22"/>
        </w:rPr>
        <w:t>MacBlain</w:t>
      </w:r>
      <w:proofErr w:type="spellEnd"/>
      <w:r w:rsidRPr="004F2421">
        <w:rPr>
          <w:rFonts w:ascii="Arial" w:hAnsi="Arial" w:cs="Arial"/>
          <w:sz w:val="22"/>
          <w:szCs w:val="22"/>
        </w:rPr>
        <w:t xml:space="preserve"> (2022) highlights in Learning Theories for Early Years Practice. This frequently calls for creative approaches that go beyond legal requirements.</w:t>
      </w:r>
    </w:p>
    <w:p w14:paraId="3B6757D1" w14:textId="77777777" w:rsidR="005F314D" w:rsidRPr="005F314D" w:rsidRDefault="005F314D" w:rsidP="005F314D">
      <w:pPr>
        <w:spacing w:line="360" w:lineRule="auto"/>
        <w:rPr>
          <w:rFonts w:ascii="Arial" w:hAnsi="Arial" w:cs="Arial"/>
          <w:sz w:val="22"/>
          <w:szCs w:val="22"/>
        </w:rPr>
      </w:pPr>
      <w:r w:rsidRPr="005F314D">
        <w:rPr>
          <w:rFonts w:ascii="Arial" w:hAnsi="Arial" w:cs="Arial"/>
          <w:sz w:val="22"/>
          <w:szCs w:val="22"/>
        </w:rPr>
        <w:t>This strategy is demonstrated by the Quality for All Mark (</w:t>
      </w:r>
      <w:proofErr w:type="spellStart"/>
      <w:r w:rsidRPr="005F314D">
        <w:rPr>
          <w:rFonts w:ascii="Arial" w:hAnsi="Arial" w:cs="Arial"/>
          <w:sz w:val="22"/>
          <w:szCs w:val="22"/>
        </w:rPr>
        <w:t>QfA</w:t>
      </w:r>
      <w:proofErr w:type="spellEnd"/>
      <w:r w:rsidRPr="005F314D">
        <w:rPr>
          <w:rFonts w:ascii="Arial" w:hAnsi="Arial" w:cs="Arial"/>
          <w:sz w:val="22"/>
          <w:szCs w:val="22"/>
        </w:rPr>
        <w:t>), which promotes cultural diversity and professional development by pushing providers to adopt bilingual education and reflective practices (</w:t>
      </w:r>
      <w:proofErr w:type="spellStart"/>
      <w:r w:rsidRPr="005F314D">
        <w:rPr>
          <w:rFonts w:ascii="Arial" w:hAnsi="Arial" w:cs="Arial"/>
          <w:sz w:val="22"/>
          <w:szCs w:val="22"/>
        </w:rPr>
        <w:t>MacBlain</w:t>
      </w:r>
      <w:proofErr w:type="spellEnd"/>
      <w:r w:rsidRPr="005F314D">
        <w:rPr>
          <w:rFonts w:ascii="Arial" w:hAnsi="Arial" w:cs="Arial"/>
          <w:sz w:val="22"/>
          <w:szCs w:val="22"/>
        </w:rPr>
        <w:t>, 2022). In the same way, the Environment Rating Scales (ERS) evaluate interactions and activities that have a direct bearing on children's developmental outcomes with an emphasis on process quality. In Theories of Early Childhood Education, Cohen and Waite-</w:t>
      </w:r>
      <w:proofErr w:type="spellStart"/>
      <w:r w:rsidRPr="005F314D">
        <w:rPr>
          <w:rFonts w:ascii="Arial" w:hAnsi="Arial" w:cs="Arial"/>
          <w:sz w:val="22"/>
          <w:szCs w:val="22"/>
        </w:rPr>
        <w:t>Stupiansky</w:t>
      </w:r>
      <w:proofErr w:type="spellEnd"/>
      <w:r w:rsidRPr="005F314D">
        <w:rPr>
          <w:rFonts w:ascii="Arial" w:hAnsi="Arial" w:cs="Arial"/>
          <w:sz w:val="22"/>
          <w:szCs w:val="22"/>
        </w:rPr>
        <w:t xml:space="preserve"> (2022) contend that effective teacher-student relationships are essential for promoting engagement and emotional health, which may not be adequately addressed by legal requirements alone.</w:t>
      </w:r>
    </w:p>
    <w:p w14:paraId="163C145A" w14:textId="77777777" w:rsidR="00E03FD6" w:rsidRPr="00E03FD6" w:rsidRDefault="00E03FD6" w:rsidP="00E03FD6">
      <w:pPr>
        <w:spacing w:line="360" w:lineRule="auto"/>
        <w:rPr>
          <w:rFonts w:ascii="Arial" w:hAnsi="Arial" w:cs="Arial"/>
          <w:sz w:val="22"/>
          <w:szCs w:val="22"/>
        </w:rPr>
      </w:pPr>
      <w:r w:rsidRPr="00E03FD6">
        <w:rPr>
          <w:rFonts w:ascii="Arial" w:hAnsi="Arial" w:cs="Arial"/>
          <w:sz w:val="22"/>
          <w:szCs w:val="22"/>
        </w:rPr>
        <w:t xml:space="preserve">These approaches prioritise innovation and ongoing development, which is consistent with the goal of providing high-quality early childhood education. By encouraging staff cooperation and professional growth, the </w:t>
      </w:r>
      <w:proofErr w:type="spellStart"/>
      <w:r w:rsidRPr="00E03FD6">
        <w:rPr>
          <w:rFonts w:ascii="Arial" w:hAnsi="Arial" w:cs="Arial"/>
          <w:sz w:val="22"/>
          <w:szCs w:val="22"/>
        </w:rPr>
        <w:t>QfA</w:t>
      </w:r>
      <w:proofErr w:type="spellEnd"/>
      <w:r w:rsidRPr="00E03FD6">
        <w:rPr>
          <w:rFonts w:ascii="Arial" w:hAnsi="Arial" w:cs="Arial"/>
          <w:sz w:val="22"/>
          <w:szCs w:val="22"/>
        </w:rPr>
        <w:t xml:space="preserve"> fosters an outstanding culture that benefits both teachers and students (</w:t>
      </w:r>
      <w:proofErr w:type="spellStart"/>
      <w:r w:rsidRPr="00E03FD6">
        <w:rPr>
          <w:rFonts w:ascii="Arial" w:hAnsi="Arial" w:cs="Arial"/>
          <w:sz w:val="22"/>
          <w:szCs w:val="22"/>
        </w:rPr>
        <w:t>MacBlain</w:t>
      </w:r>
      <w:proofErr w:type="spellEnd"/>
      <w:r w:rsidRPr="00E03FD6">
        <w:rPr>
          <w:rFonts w:ascii="Arial" w:hAnsi="Arial" w:cs="Arial"/>
          <w:sz w:val="22"/>
          <w:szCs w:val="22"/>
        </w:rPr>
        <w:t>, 2022). By offering practical insights that assist providers in improving procedures and establishing supportive, engaging settings, the ERS enhances this (Cohen &amp; Waite-</w:t>
      </w:r>
      <w:proofErr w:type="spellStart"/>
      <w:r w:rsidRPr="00E03FD6">
        <w:rPr>
          <w:rFonts w:ascii="Arial" w:hAnsi="Arial" w:cs="Arial"/>
          <w:sz w:val="22"/>
          <w:szCs w:val="22"/>
        </w:rPr>
        <w:t>Stupiansky</w:t>
      </w:r>
      <w:proofErr w:type="spellEnd"/>
      <w:r w:rsidRPr="00E03FD6">
        <w:rPr>
          <w:rFonts w:ascii="Arial" w:hAnsi="Arial" w:cs="Arial"/>
          <w:sz w:val="22"/>
          <w:szCs w:val="22"/>
        </w:rPr>
        <w:t xml:space="preserve">, 2022). When combined, these strategies guarantee that early childhood environments not only fulfil but surpass expectations, providing a solid basis for learning throughout one's life. </w:t>
      </w:r>
      <w:r w:rsidRPr="00E03FD6">
        <w:rPr>
          <w:rFonts w:ascii="Arial" w:hAnsi="Arial" w:cs="Arial"/>
          <w:sz w:val="22"/>
          <w:szCs w:val="22"/>
        </w:rPr>
        <w:br/>
        <w:t xml:space="preserve">Methods like the </w:t>
      </w:r>
      <w:proofErr w:type="spellStart"/>
      <w:r w:rsidRPr="00E03FD6">
        <w:rPr>
          <w:rFonts w:ascii="Arial" w:hAnsi="Arial" w:cs="Arial"/>
          <w:sz w:val="22"/>
          <w:szCs w:val="22"/>
        </w:rPr>
        <w:t>QfA</w:t>
      </w:r>
      <w:proofErr w:type="spellEnd"/>
      <w:r w:rsidRPr="00E03FD6">
        <w:rPr>
          <w:rFonts w:ascii="Arial" w:hAnsi="Arial" w:cs="Arial"/>
          <w:sz w:val="22"/>
          <w:szCs w:val="22"/>
        </w:rPr>
        <w:t xml:space="preserve"> and ERS, which go above and beyond the requirements of the law, show how innovative approaches may raise standards, enhance children's results, and support the goal of providing outstanding early childhood education. </w:t>
      </w:r>
    </w:p>
    <w:p w14:paraId="5D20D7E4" w14:textId="1BB1AB41" w:rsidR="00D5059D" w:rsidRPr="00E74213" w:rsidRDefault="00D5059D" w:rsidP="001971A4">
      <w:pPr>
        <w:spacing w:line="360" w:lineRule="auto"/>
        <w:rPr>
          <w:rFonts w:ascii="Arial" w:hAnsi="Arial" w:cs="Arial"/>
          <w:b/>
          <w:bCs/>
          <w:sz w:val="22"/>
          <w:szCs w:val="22"/>
        </w:rPr>
      </w:pPr>
    </w:p>
    <w:p w14:paraId="0CF92021" w14:textId="67098B52" w:rsidR="00185865" w:rsidRPr="00185865" w:rsidRDefault="00185865" w:rsidP="00185865">
      <w:pPr>
        <w:spacing w:line="360" w:lineRule="auto"/>
        <w:rPr>
          <w:rFonts w:ascii="Arial" w:hAnsi="Arial" w:cs="Arial"/>
          <w:sz w:val="22"/>
          <w:szCs w:val="22"/>
        </w:rPr>
      </w:pPr>
      <w:r>
        <w:rPr>
          <w:rFonts w:ascii="Arial" w:hAnsi="Arial" w:cs="Arial"/>
          <w:sz w:val="22"/>
          <w:szCs w:val="22"/>
        </w:rPr>
        <w:t>In conclusion</w:t>
      </w:r>
      <w:r w:rsidRPr="00185865">
        <w:rPr>
          <w:rFonts w:ascii="Arial" w:hAnsi="Arial" w:cs="Arial"/>
          <w:sz w:val="22"/>
          <w:szCs w:val="22"/>
        </w:rPr>
        <w:t>, the Quality for All (</w:t>
      </w:r>
      <w:proofErr w:type="spellStart"/>
      <w:r w:rsidRPr="00185865">
        <w:rPr>
          <w:rFonts w:ascii="Arial" w:hAnsi="Arial" w:cs="Arial"/>
          <w:sz w:val="22"/>
          <w:szCs w:val="22"/>
        </w:rPr>
        <w:t>QfA</w:t>
      </w:r>
      <w:proofErr w:type="spellEnd"/>
      <w:r w:rsidRPr="00185865">
        <w:rPr>
          <w:rFonts w:ascii="Arial" w:hAnsi="Arial" w:cs="Arial"/>
          <w:sz w:val="22"/>
          <w:szCs w:val="22"/>
        </w:rPr>
        <w:t xml:space="preserve">) Mark and the Environment Rating Scales (ERS) provide distinct but complimentary strategies for raising the calibre of early childhood education. ERS is notable for its thorough and organised evaluation of process quality, which establishes a clear correlation between enhancements and improved developmental results. In the meanwhile, </w:t>
      </w:r>
      <w:proofErr w:type="spellStart"/>
      <w:r w:rsidRPr="00185865">
        <w:rPr>
          <w:rFonts w:ascii="Arial" w:hAnsi="Arial" w:cs="Arial"/>
          <w:sz w:val="22"/>
          <w:szCs w:val="22"/>
        </w:rPr>
        <w:t>QfA</w:t>
      </w:r>
      <w:proofErr w:type="spellEnd"/>
      <w:r w:rsidRPr="00185865">
        <w:rPr>
          <w:rFonts w:ascii="Arial" w:hAnsi="Arial" w:cs="Arial"/>
          <w:sz w:val="22"/>
          <w:szCs w:val="22"/>
        </w:rPr>
        <w:t xml:space="preserve"> is excellent at encouraging professional cooperation and reflective practice, which supports ongoing development and sustainability. ERS is essential due of its quantifiable influence on learning settings, even if it may need more resources and training. Because of its simplicity of use and focus on professional growth, </w:t>
      </w:r>
      <w:proofErr w:type="spellStart"/>
      <w:r w:rsidRPr="00185865">
        <w:rPr>
          <w:rFonts w:ascii="Arial" w:hAnsi="Arial" w:cs="Arial"/>
          <w:sz w:val="22"/>
          <w:szCs w:val="22"/>
        </w:rPr>
        <w:t>QfA</w:t>
      </w:r>
      <w:proofErr w:type="spellEnd"/>
      <w:r w:rsidRPr="00185865">
        <w:rPr>
          <w:rFonts w:ascii="Arial" w:hAnsi="Arial" w:cs="Arial"/>
          <w:sz w:val="22"/>
          <w:szCs w:val="22"/>
        </w:rPr>
        <w:t xml:space="preserve"> guarantees accessibility and gives educators the tools they need to promote long-term progress. </w:t>
      </w:r>
      <w:r w:rsidRPr="00185865">
        <w:rPr>
          <w:rFonts w:ascii="Arial" w:hAnsi="Arial" w:cs="Arial"/>
          <w:sz w:val="22"/>
          <w:szCs w:val="22"/>
        </w:rPr>
        <w:lastRenderedPageBreak/>
        <w:t>Providers may attain childcare excellence, give children's holistic development top priority, and produce long-lasting good results by utilising the advantages of both frameworks.</w:t>
      </w:r>
    </w:p>
    <w:p w14:paraId="639405AA" w14:textId="2AE3D310" w:rsidR="00C53FAE" w:rsidRPr="001971A4" w:rsidRDefault="00356092" w:rsidP="001971A4">
      <w:pPr>
        <w:spacing w:line="360" w:lineRule="auto"/>
        <w:rPr>
          <w:rFonts w:ascii="Arial" w:hAnsi="Arial" w:cs="Arial"/>
          <w:sz w:val="22"/>
          <w:szCs w:val="22"/>
        </w:rPr>
      </w:pPr>
      <w:r w:rsidRPr="001971A4">
        <w:rPr>
          <w:rFonts w:ascii="Arial" w:hAnsi="Arial" w:cs="Arial"/>
          <w:sz w:val="22"/>
          <w:szCs w:val="22"/>
        </w:rPr>
        <w:t xml:space="preserve">Reference list </w:t>
      </w:r>
    </w:p>
    <w:p w14:paraId="0ECF1C0E" w14:textId="77777777" w:rsidR="00AF7FBD" w:rsidRPr="00AF7FBD" w:rsidRDefault="00AF7FBD" w:rsidP="001971A4">
      <w:pPr>
        <w:spacing w:line="360" w:lineRule="auto"/>
        <w:rPr>
          <w:rFonts w:ascii="Arial" w:hAnsi="Arial" w:cs="Arial"/>
          <w:sz w:val="22"/>
          <w:szCs w:val="22"/>
        </w:rPr>
      </w:pPr>
      <w:r w:rsidRPr="00AF7FBD">
        <w:rPr>
          <w:rFonts w:ascii="Arial" w:hAnsi="Arial" w:cs="Arial"/>
          <w:sz w:val="22"/>
          <w:szCs w:val="22"/>
        </w:rPr>
        <w:t xml:space="preserve">Allen, G., et al. (2023) </w:t>
      </w:r>
      <w:r w:rsidRPr="00AF7FBD">
        <w:rPr>
          <w:rFonts w:ascii="Arial" w:hAnsi="Arial" w:cs="Arial"/>
          <w:i/>
          <w:iCs/>
          <w:sz w:val="22"/>
          <w:szCs w:val="22"/>
        </w:rPr>
        <w:t>Defining and Advancing Quality in Early Years Settings</w:t>
      </w:r>
      <w:r w:rsidRPr="00AF7FBD">
        <w:rPr>
          <w:rFonts w:ascii="Arial" w:hAnsi="Arial" w:cs="Arial"/>
          <w:sz w:val="22"/>
          <w:szCs w:val="22"/>
        </w:rPr>
        <w:t>. Birth to Five Matters.</w:t>
      </w:r>
    </w:p>
    <w:p w14:paraId="3A73F890" w14:textId="77777777" w:rsidR="00AF7FBD" w:rsidRPr="00AF7FBD" w:rsidRDefault="00AF7FBD" w:rsidP="001971A4">
      <w:pPr>
        <w:spacing w:line="360" w:lineRule="auto"/>
        <w:rPr>
          <w:rFonts w:ascii="Arial" w:hAnsi="Arial" w:cs="Arial"/>
          <w:sz w:val="22"/>
          <w:szCs w:val="22"/>
        </w:rPr>
      </w:pPr>
      <w:r w:rsidRPr="00AF7FBD">
        <w:rPr>
          <w:rFonts w:ascii="Arial" w:hAnsi="Arial" w:cs="Arial"/>
          <w:sz w:val="22"/>
          <w:szCs w:val="22"/>
        </w:rPr>
        <w:t xml:space="preserve">Allen, R.W. (2022) </w:t>
      </w:r>
      <w:r w:rsidRPr="00AF7FBD">
        <w:rPr>
          <w:rFonts w:ascii="Arial" w:hAnsi="Arial" w:cs="Arial"/>
          <w:i/>
          <w:iCs/>
          <w:sz w:val="22"/>
          <w:szCs w:val="22"/>
        </w:rPr>
        <w:t>Reflective Practices in Early Years Education: Strategies for Improvement</w:t>
      </w:r>
      <w:r w:rsidRPr="00AF7FBD">
        <w:rPr>
          <w:rFonts w:ascii="Arial" w:hAnsi="Arial" w:cs="Arial"/>
          <w:sz w:val="22"/>
          <w:szCs w:val="22"/>
        </w:rPr>
        <w:t>. Routledge.</w:t>
      </w:r>
    </w:p>
    <w:p w14:paraId="0E137DFD" w14:textId="77777777" w:rsidR="00AF7FBD" w:rsidRPr="00AF7FBD" w:rsidRDefault="00AF7FBD" w:rsidP="001971A4">
      <w:pPr>
        <w:spacing w:line="360" w:lineRule="auto"/>
        <w:rPr>
          <w:rFonts w:ascii="Arial" w:hAnsi="Arial" w:cs="Arial"/>
          <w:sz w:val="22"/>
          <w:szCs w:val="22"/>
        </w:rPr>
      </w:pPr>
      <w:r w:rsidRPr="00AF7FBD">
        <w:rPr>
          <w:rFonts w:ascii="Arial" w:hAnsi="Arial" w:cs="Arial"/>
          <w:sz w:val="22"/>
          <w:szCs w:val="22"/>
        </w:rPr>
        <w:t>Cohen, L.E. and Waite-</w:t>
      </w:r>
      <w:proofErr w:type="spellStart"/>
      <w:r w:rsidRPr="00AF7FBD">
        <w:rPr>
          <w:rFonts w:ascii="Arial" w:hAnsi="Arial" w:cs="Arial"/>
          <w:sz w:val="22"/>
          <w:szCs w:val="22"/>
        </w:rPr>
        <w:t>Stupiansky</w:t>
      </w:r>
      <w:proofErr w:type="spellEnd"/>
      <w:r w:rsidRPr="00AF7FBD">
        <w:rPr>
          <w:rFonts w:ascii="Arial" w:hAnsi="Arial" w:cs="Arial"/>
          <w:sz w:val="22"/>
          <w:szCs w:val="22"/>
        </w:rPr>
        <w:t xml:space="preserve">, S. (2022) </w:t>
      </w:r>
      <w:r w:rsidRPr="00AF7FBD">
        <w:rPr>
          <w:rFonts w:ascii="Arial" w:hAnsi="Arial" w:cs="Arial"/>
          <w:i/>
          <w:iCs/>
          <w:sz w:val="22"/>
          <w:szCs w:val="22"/>
        </w:rPr>
        <w:t>Theories of Early Childhood Education</w:t>
      </w:r>
      <w:r w:rsidRPr="00AF7FBD">
        <w:rPr>
          <w:rFonts w:ascii="Arial" w:hAnsi="Arial" w:cs="Arial"/>
          <w:sz w:val="22"/>
          <w:szCs w:val="22"/>
        </w:rPr>
        <w:t>. Routledge.</w:t>
      </w:r>
    </w:p>
    <w:p w14:paraId="1CD505F0" w14:textId="77777777" w:rsidR="00AF7FBD" w:rsidRPr="00AF7FBD" w:rsidRDefault="00AF7FBD" w:rsidP="001971A4">
      <w:pPr>
        <w:spacing w:line="360" w:lineRule="auto"/>
        <w:rPr>
          <w:rFonts w:ascii="Arial" w:hAnsi="Arial" w:cs="Arial"/>
          <w:sz w:val="22"/>
          <w:szCs w:val="22"/>
        </w:rPr>
      </w:pPr>
      <w:r w:rsidRPr="00AF7FBD">
        <w:rPr>
          <w:rFonts w:ascii="Arial" w:hAnsi="Arial" w:cs="Arial"/>
          <w:sz w:val="22"/>
          <w:szCs w:val="22"/>
        </w:rPr>
        <w:t xml:space="preserve">Cryer, D., Harms, T. and Clifford, R.M. (2022) </w:t>
      </w:r>
      <w:r w:rsidRPr="00AF7FBD">
        <w:rPr>
          <w:rFonts w:ascii="Arial" w:hAnsi="Arial" w:cs="Arial"/>
          <w:i/>
          <w:iCs/>
          <w:sz w:val="22"/>
          <w:szCs w:val="22"/>
        </w:rPr>
        <w:t>Developing Effective Evaluation Methods in Early Childhood Education</w:t>
      </w:r>
      <w:r w:rsidRPr="00AF7FBD">
        <w:rPr>
          <w:rFonts w:ascii="Arial" w:hAnsi="Arial" w:cs="Arial"/>
          <w:sz w:val="22"/>
          <w:szCs w:val="22"/>
        </w:rPr>
        <w:t>. Teachers College Press.</w:t>
      </w:r>
    </w:p>
    <w:p w14:paraId="3351966A" w14:textId="77777777" w:rsidR="00AF7FBD" w:rsidRPr="00AF7FBD" w:rsidRDefault="00AF7FBD" w:rsidP="001971A4">
      <w:pPr>
        <w:spacing w:line="360" w:lineRule="auto"/>
        <w:rPr>
          <w:rFonts w:ascii="Arial" w:hAnsi="Arial" w:cs="Arial"/>
          <w:sz w:val="22"/>
          <w:szCs w:val="22"/>
        </w:rPr>
      </w:pPr>
      <w:r w:rsidRPr="00AF7FBD">
        <w:rPr>
          <w:rFonts w:ascii="Arial" w:hAnsi="Arial" w:cs="Arial"/>
          <w:sz w:val="22"/>
          <w:szCs w:val="22"/>
        </w:rPr>
        <w:t xml:space="preserve">Early Years Wales (2022) </w:t>
      </w:r>
      <w:r w:rsidRPr="00AF7FBD">
        <w:rPr>
          <w:rFonts w:ascii="Arial" w:hAnsi="Arial" w:cs="Arial"/>
          <w:i/>
          <w:iCs/>
          <w:sz w:val="22"/>
          <w:szCs w:val="22"/>
        </w:rPr>
        <w:t>Quality for All Mark Overview</w:t>
      </w:r>
      <w:r w:rsidRPr="00AF7FBD">
        <w:rPr>
          <w:rFonts w:ascii="Arial" w:hAnsi="Arial" w:cs="Arial"/>
          <w:sz w:val="22"/>
          <w:szCs w:val="22"/>
        </w:rPr>
        <w:t>. Early Years Wales.</w:t>
      </w:r>
    </w:p>
    <w:p w14:paraId="5C042C42" w14:textId="77777777" w:rsidR="00AF7FBD" w:rsidRPr="00AF7FBD" w:rsidRDefault="00AF7FBD" w:rsidP="001971A4">
      <w:pPr>
        <w:spacing w:line="360" w:lineRule="auto"/>
        <w:rPr>
          <w:rFonts w:ascii="Arial" w:hAnsi="Arial" w:cs="Arial"/>
          <w:sz w:val="22"/>
          <w:szCs w:val="22"/>
        </w:rPr>
      </w:pPr>
      <w:r w:rsidRPr="00AF7FBD">
        <w:rPr>
          <w:rFonts w:ascii="Arial" w:hAnsi="Arial" w:cs="Arial"/>
          <w:sz w:val="22"/>
          <w:szCs w:val="22"/>
        </w:rPr>
        <w:t xml:space="preserve">Early Years Wales (2023) </w:t>
      </w:r>
      <w:r w:rsidRPr="00AF7FBD">
        <w:rPr>
          <w:rFonts w:ascii="Arial" w:hAnsi="Arial" w:cs="Arial"/>
          <w:i/>
          <w:iCs/>
          <w:sz w:val="22"/>
          <w:szCs w:val="22"/>
        </w:rPr>
        <w:t>Quality for All Framework</w:t>
      </w:r>
      <w:r w:rsidRPr="00AF7FBD">
        <w:rPr>
          <w:rFonts w:ascii="Arial" w:hAnsi="Arial" w:cs="Arial"/>
          <w:sz w:val="22"/>
          <w:szCs w:val="22"/>
        </w:rPr>
        <w:t xml:space="preserve">. Available at: </w:t>
      </w:r>
      <w:hyperlink r:id="rId7" w:history="1">
        <w:r w:rsidRPr="00AF7FBD">
          <w:rPr>
            <w:rStyle w:val="Hyperlink"/>
            <w:rFonts w:ascii="Arial" w:hAnsi="Arial" w:cs="Arial"/>
            <w:sz w:val="22"/>
            <w:szCs w:val="22"/>
          </w:rPr>
          <w:t>https://www.earlyyears.wales</w:t>
        </w:r>
      </w:hyperlink>
      <w:r w:rsidRPr="00AF7FBD">
        <w:rPr>
          <w:rFonts w:ascii="Arial" w:hAnsi="Arial" w:cs="Arial"/>
          <w:sz w:val="22"/>
          <w:szCs w:val="22"/>
        </w:rPr>
        <w:t xml:space="preserve"> (Accessed: 29 March 2025).</w:t>
      </w:r>
    </w:p>
    <w:p w14:paraId="2722D252" w14:textId="77777777" w:rsidR="00AF7FBD" w:rsidRPr="00AF7FBD" w:rsidRDefault="00AF7FBD" w:rsidP="001971A4">
      <w:pPr>
        <w:spacing w:line="360" w:lineRule="auto"/>
        <w:rPr>
          <w:rFonts w:ascii="Arial" w:hAnsi="Arial" w:cs="Arial"/>
          <w:sz w:val="22"/>
          <w:szCs w:val="22"/>
        </w:rPr>
      </w:pPr>
      <w:r w:rsidRPr="00AF7FBD">
        <w:rPr>
          <w:rFonts w:ascii="Arial" w:hAnsi="Arial" w:cs="Arial"/>
          <w:sz w:val="22"/>
          <w:szCs w:val="22"/>
        </w:rPr>
        <w:t xml:space="preserve">ERS Institute (2023) </w:t>
      </w:r>
      <w:r w:rsidRPr="00AF7FBD">
        <w:rPr>
          <w:rFonts w:ascii="Arial" w:hAnsi="Arial" w:cs="Arial"/>
          <w:i/>
          <w:iCs/>
          <w:sz w:val="22"/>
          <w:szCs w:val="22"/>
        </w:rPr>
        <w:t>Understanding the Environment Rating Scales (ERS)</w:t>
      </w:r>
      <w:r w:rsidRPr="00AF7FBD">
        <w:rPr>
          <w:rFonts w:ascii="Arial" w:hAnsi="Arial" w:cs="Arial"/>
          <w:sz w:val="22"/>
          <w:szCs w:val="22"/>
        </w:rPr>
        <w:t>. ERS Official Site.</w:t>
      </w:r>
    </w:p>
    <w:p w14:paraId="7DEB4E4E" w14:textId="77777777" w:rsidR="00AF7FBD" w:rsidRPr="00AF7FBD" w:rsidRDefault="00AF7FBD" w:rsidP="001971A4">
      <w:pPr>
        <w:spacing w:line="360" w:lineRule="auto"/>
        <w:rPr>
          <w:rFonts w:ascii="Arial" w:hAnsi="Arial" w:cs="Arial"/>
          <w:sz w:val="22"/>
          <w:szCs w:val="22"/>
        </w:rPr>
      </w:pPr>
      <w:r w:rsidRPr="00AF7FBD">
        <w:rPr>
          <w:rFonts w:ascii="Arial" w:hAnsi="Arial" w:cs="Arial"/>
          <w:sz w:val="22"/>
          <w:szCs w:val="22"/>
        </w:rPr>
        <w:t xml:space="preserve">Hallet, E. (2021) ‘Quality improvement in early childhood education: Challenges and opportunities’, </w:t>
      </w:r>
      <w:r w:rsidRPr="00AF7FBD">
        <w:rPr>
          <w:rFonts w:ascii="Arial" w:hAnsi="Arial" w:cs="Arial"/>
          <w:i/>
          <w:iCs/>
          <w:sz w:val="22"/>
          <w:szCs w:val="22"/>
        </w:rPr>
        <w:t>Early Child Development and Care</w:t>
      </w:r>
      <w:r w:rsidRPr="00AF7FBD">
        <w:rPr>
          <w:rFonts w:ascii="Arial" w:hAnsi="Arial" w:cs="Arial"/>
          <w:sz w:val="22"/>
          <w:szCs w:val="22"/>
        </w:rPr>
        <w:t xml:space="preserve">, 191(7-8), pp. 1193–1206. Available at: </w:t>
      </w:r>
      <w:hyperlink r:id="rId8" w:history="1">
        <w:r w:rsidRPr="00AF7FBD">
          <w:rPr>
            <w:rStyle w:val="Hyperlink"/>
            <w:rFonts w:ascii="Arial" w:hAnsi="Arial" w:cs="Arial"/>
            <w:sz w:val="22"/>
            <w:szCs w:val="22"/>
          </w:rPr>
          <w:t>https://doi.org/10.1080/03004430.2020.1867717</w:t>
        </w:r>
      </w:hyperlink>
      <w:r w:rsidRPr="00AF7FBD">
        <w:rPr>
          <w:rFonts w:ascii="Arial" w:hAnsi="Arial" w:cs="Arial"/>
          <w:sz w:val="22"/>
          <w:szCs w:val="22"/>
        </w:rPr>
        <w:t>.</w:t>
      </w:r>
    </w:p>
    <w:p w14:paraId="47280138" w14:textId="77777777" w:rsidR="00AF7FBD" w:rsidRPr="00AF7FBD" w:rsidRDefault="00AF7FBD" w:rsidP="001971A4">
      <w:pPr>
        <w:spacing w:line="360" w:lineRule="auto"/>
        <w:rPr>
          <w:rFonts w:ascii="Arial" w:hAnsi="Arial" w:cs="Arial"/>
          <w:sz w:val="22"/>
          <w:szCs w:val="22"/>
        </w:rPr>
      </w:pPr>
      <w:r w:rsidRPr="00AF7FBD">
        <w:rPr>
          <w:rFonts w:ascii="Arial" w:hAnsi="Arial" w:cs="Arial"/>
          <w:sz w:val="22"/>
          <w:szCs w:val="22"/>
        </w:rPr>
        <w:t xml:space="preserve">Harms, T., Clifford, R.M. and Cryer, D. (2023) </w:t>
      </w:r>
      <w:r w:rsidRPr="00AF7FBD">
        <w:rPr>
          <w:rFonts w:ascii="Arial" w:hAnsi="Arial" w:cs="Arial"/>
          <w:i/>
          <w:iCs/>
          <w:sz w:val="22"/>
          <w:szCs w:val="22"/>
        </w:rPr>
        <w:t>Early Childhood Environment Rating Scale, Third Edition (ECERS-3)</w:t>
      </w:r>
      <w:r w:rsidRPr="00AF7FBD">
        <w:rPr>
          <w:rFonts w:ascii="Arial" w:hAnsi="Arial" w:cs="Arial"/>
          <w:sz w:val="22"/>
          <w:szCs w:val="22"/>
        </w:rPr>
        <w:t>. Teachers College Press.</w:t>
      </w:r>
    </w:p>
    <w:p w14:paraId="64C396FC" w14:textId="77777777" w:rsidR="00AF7FBD" w:rsidRPr="00AF7FBD" w:rsidRDefault="00AF7FBD" w:rsidP="001971A4">
      <w:pPr>
        <w:spacing w:line="360" w:lineRule="auto"/>
        <w:rPr>
          <w:rFonts w:ascii="Arial" w:hAnsi="Arial" w:cs="Arial"/>
          <w:sz w:val="22"/>
          <w:szCs w:val="22"/>
        </w:rPr>
      </w:pPr>
      <w:proofErr w:type="spellStart"/>
      <w:r w:rsidRPr="00AF7FBD">
        <w:rPr>
          <w:rFonts w:ascii="Arial" w:hAnsi="Arial" w:cs="Arial"/>
          <w:sz w:val="22"/>
          <w:szCs w:val="22"/>
        </w:rPr>
        <w:t>MacBlain</w:t>
      </w:r>
      <w:proofErr w:type="spellEnd"/>
      <w:r w:rsidRPr="00AF7FBD">
        <w:rPr>
          <w:rFonts w:ascii="Arial" w:hAnsi="Arial" w:cs="Arial"/>
          <w:sz w:val="22"/>
          <w:szCs w:val="22"/>
        </w:rPr>
        <w:t xml:space="preserve">, S. (2022) </w:t>
      </w:r>
      <w:r w:rsidRPr="00AF7FBD">
        <w:rPr>
          <w:rFonts w:ascii="Arial" w:hAnsi="Arial" w:cs="Arial"/>
          <w:i/>
          <w:iCs/>
          <w:sz w:val="22"/>
          <w:szCs w:val="22"/>
        </w:rPr>
        <w:t>Learning Theories for Early Years Practice</w:t>
      </w:r>
      <w:r w:rsidRPr="00AF7FBD">
        <w:rPr>
          <w:rFonts w:ascii="Arial" w:hAnsi="Arial" w:cs="Arial"/>
          <w:sz w:val="22"/>
          <w:szCs w:val="22"/>
        </w:rPr>
        <w:t>. SAGE Publications.</w:t>
      </w:r>
    </w:p>
    <w:p w14:paraId="3E8432FD" w14:textId="77777777" w:rsidR="00AF7FBD" w:rsidRPr="00AF7FBD" w:rsidRDefault="00AF7FBD" w:rsidP="001971A4">
      <w:pPr>
        <w:spacing w:line="360" w:lineRule="auto"/>
        <w:rPr>
          <w:rFonts w:ascii="Arial" w:hAnsi="Arial" w:cs="Arial"/>
          <w:sz w:val="22"/>
          <w:szCs w:val="22"/>
        </w:rPr>
      </w:pPr>
      <w:r w:rsidRPr="00AF7FBD">
        <w:rPr>
          <w:rFonts w:ascii="Arial" w:hAnsi="Arial" w:cs="Arial"/>
          <w:sz w:val="22"/>
          <w:szCs w:val="22"/>
        </w:rPr>
        <w:t xml:space="preserve">Melhuish, E.C., Phan, M. and Sylva, K. (2023) </w:t>
      </w:r>
      <w:r w:rsidRPr="00AF7FBD">
        <w:rPr>
          <w:rFonts w:ascii="Arial" w:hAnsi="Arial" w:cs="Arial"/>
          <w:i/>
          <w:iCs/>
          <w:sz w:val="22"/>
          <w:szCs w:val="22"/>
        </w:rPr>
        <w:t>Quality Matters in Early Childhood Education: Current Trends and Future Directions</w:t>
      </w:r>
      <w:r w:rsidRPr="00AF7FBD">
        <w:rPr>
          <w:rFonts w:ascii="Arial" w:hAnsi="Arial" w:cs="Arial"/>
          <w:sz w:val="22"/>
          <w:szCs w:val="22"/>
        </w:rPr>
        <w:t>. SAGE Publications.</w:t>
      </w:r>
    </w:p>
    <w:p w14:paraId="70A4EDE5" w14:textId="77777777" w:rsidR="00AF7FBD" w:rsidRPr="00AF7FBD" w:rsidRDefault="00AF7FBD" w:rsidP="001971A4">
      <w:pPr>
        <w:spacing w:line="360" w:lineRule="auto"/>
        <w:rPr>
          <w:rFonts w:ascii="Arial" w:hAnsi="Arial" w:cs="Arial"/>
          <w:sz w:val="22"/>
          <w:szCs w:val="22"/>
        </w:rPr>
      </w:pPr>
      <w:r w:rsidRPr="00AF7FBD">
        <w:rPr>
          <w:rFonts w:ascii="Arial" w:hAnsi="Arial" w:cs="Arial"/>
          <w:sz w:val="22"/>
          <w:szCs w:val="22"/>
        </w:rPr>
        <w:t xml:space="preserve">Melhuish, E., Gardiner, J. and Morris, S. (2021) ‘Evaluating the impact of quality improvement frameworks in early childhood education’, </w:t>
      </w:r>
      <w:r w:rsidRPr="00AF7FBD">
        <w:rPr>
          <w:rFonts w:ascii="Arial" w:hAnsi="Arial" w:cs="Arial"/>
          <w:i/>
          <w:iCs/>
          <w:sz w:val="22"/>
          <w:szCs w:val="22"/>
        </w:rPr>
        <w:t>Journal of Early Childhood Research</w:t>
      </w:r>
      <w:r w:rsidRPr="00AF7FBD">
        <w:rPr>
          <w:rFonts w:ascii="Arial" w:hAnsi="Arial" w:cs="Arial"/>
          <w:sz w:val="22"/>
          <w:szCs w:val="22"/>
        </w:rPr>
        <w:t xml:space="preserve">, 19(3), pp. 245–260. Available at: </w:t>
      </w:r>
      <w:hyperlink r:id="rId9" w:history="1">
        <w:r w:rsidRPr="00AF7FBD">
          <w:rPr>
            <w:rStyle w:val="Hyperlink"/>
            <w:rFonts w:ascii="Arial" w:hAnsi="Arial" w:cs="Arial"/>
            <w:sz w:val="22"/>
            <w:szCs w:val="22"/>
          </w:rPr>
          <w:t>https://doi.org/10.1177/1476718X211015678</w:t>
        </w:r>
      </w:hyperlink>
      <w:r w:rsidRPr="00AF7FBD">
        <w:rPr>
          <w:rFonts w:ascii="Arial" w:hAnsi="Arial" w:cs="Arial"/>
          <w:sz w:val="22"/>
          <w:szCs w:val="22"/>
        </w:rPr>
        <w:t>.</w:t>
      </w:r>
    </w:p>
    <w:p w14:paraId="0247702B" w14:textId="77777777" w:rsidR="00AF7FBD" w:rsidRPr="00AF7FBD" w:rsidRDefault="00AF7FBD" w:rsidP="001971A4">
      <w:pPr>
        <w:spacing w:line="360" w:lineRule="auto"/>
        <w:rPr>
          <w:rFonts w:ascii="Arial" w:hAnsi="Arial" w:cs="Arial"/>
          <w:sz w:val="22"/>
          <w:szCs w:val="22"/>
        </w:rPr>
      </w:pPr>
      <w:r w:rsidRPr="00AF7FBD">
        <w:rPr>
          <w:rFonts w:ascii="Arial" w:hAnsi="Arial" w:cs="Arial"/>
          <w:sz w:val="22"/>
          <w:szCs w:val="22"/>
        </w:rPr>
        <w:t xml:space="preserve">Nutbrown, C. (2023) </w:t>
      </w:r>
      <w:r w:rsidRPr="00AF7FBD">
        <w:rPr>
          <w:rFonts w:ascii="Arial" w:hAnsi="Arial" w:cs="Arial"/>
          <w:i/>
          <w:iCs/>
          <w:sz w:val="22"/>
          <w:szCs w:val="22"/>
        </w:rPr>
        <w:t>Early Childhood Education &amp; Care: Quality, Standards, and Sustainability</w:t>
      </w:r>
      <w:r w:rsidRPr="00AF7FBD">
        <w:rPr>
          <w:rFonts w:ascii="Arial" w:hAnsi="Arial" w:cs="Arial"/>
          <w:sz w:val="22"/>
          <w:szCs w:val="22"/>
        </w:rPr>
        <w:t>. Routledge.</w:t>
      </w:r>
    </w:p>
    <w:p w14:paraId="09A6CC69" w14:textId="77777777" w:rsidR="00AF7FBD" w:rsidRPr="00AF7FBD" w:rsidRDefault="00AF7FBD" w:rsidP="001971A4">
      <w:pPr>
        <w:spacing w:line="360" w:lineRule="auto"/>
        <w:rPr>
          <w:rFonts w:ascii="Arial" w:hAnsi="Arial" w:cs="Arial"/>
          <w:sz w:val="22"/>
          <w:szCs w:val="22"/>
        </w:rPr>
      </w:pPr>
      <w:r w:rsidRPr="00AF7FBD">
        <w:rPr>
          <w:rFonts w:ascii="Arial" w:hAnsi="Arial" w:cs="Arial"/>
          <w:sz w:val="22"/>
          <w:szCs w:val="22"/>
        </w:rPr>
        <w:t xml:space="preserve">OECD (2022) </w:t>
      </w:r>
      <w:r w:rsidRPr="00AF7FBD">
        <w:rPr>
          <w:rFonts w:ascii="Arial" w:hAnsi="Arial" w:cs="Arial"/>
          <w:i/>
          <w:iCs/>
          <w:sz w:val="22"/>
          <w:szCs w:val="22"/>
        </w:rPr>
        <w:t>Quality assurance and improvement in early education and care</w:t>
      </w:r>
      <w:r w:rsidRPr="00AF7FBD">
        <w:rPr>
          <w:rFonts w:ascii="Arial" w:hAnsi="Arial" w:cs="Arial"/>
          <w:sz w:val="22"/>
          <w:szCs w:val="22"/>
        </w:rPr>
        <w:t>. OECD Publications.</w:t>
      </w:r>
    </w:p>
    <w:p w14:paraId="5EFC80C2" w14:textId="77777777" w:rsidR="00AF7FBD" w:rsidRPr="00AF7FBD" w:rsidRDefault="00AF7FBD" w:rsidP="001971A4">
      <w:pPr>
        <w:spacing w:line="360" w:lineRule="auto"/>
        <w:rPr>
          <w:rFonts w:ascii="Arial" w:hAnsi="Arial" w:cs="Arial"/>
          <w:sz w:val="22"/>
          <w:szCs w:val="22"/>
        </w:rPr>
      </w:pPr>
      <w:r w:rsidRPr="00AF7FBD">
        <w:rPr>
          <w:rFonts w:ascii="Arial" w:hAnsi="Arial" w:cs="Arial"/>
          <w:sz w:val="22"/>
          <w:szCs w:val="22"/>
        </w:rPr>
        <w:lastRenderedPageBreak/>
        <w:t xml:space="preserve">OECD (2023) </w:t>
      </w:r>
      <w:r w:rsidRPr="00AF7FBD">
        <w:rPr>
          <w:rFonts w:ascii="Arial" w:hAnsi="Arial" w:cs="Arial"/>
          <w:i/>
          <w:iCs/>
          <w:sz w:val="22"/>
          <w:szCs w:val="22"/>
        </w:rPr>
        <w:t>Advancing Early Childhood Education: Policies and Practices</w:t>
      </w:r>
      <w:r w:rsidRPr="00AF7FBD">
        <w:rPr>
          <w:rFonts w:ascii="Arial" w:hAnsi="Arial" w:cs="Arial"/>
          <w:sz w:val="22"/>
          <w:szCs w:val="22"/>
        </w:rPr>
        <w:t>. OECD Publishing.</w:t>
      </w:r>
    </w:p>
    <w:p w14:paraId="17E46E2F" w14:textId="77777777" w:rsidR="00AF7FBD" w:rsidRPr="00AF7FBD" w:rsidRDefault="00AF7FBD" w:rsidP="001971A4">
      <w:pPr>
        <w:spacing w:line="360" w:lineRule="auto"/>
        <w:rPr>
          <w:rFonts w:ascii="Arial" w:hAnsi="Arial" w:cs="Arial"/>
          <w:sz w:val="22"/>
          <w:szCs w:val="22"/>
        </w:rPr>
      </w:pPr>
      <w:r w:rsidRPr="00AF7FBD">
        <w:rPr>
          <w:rFonts w:ascii="Arial" w:hAnsi="Arial" w:cs="Arial"/>
          <w:sz w:val="22"/>
          <w:szCs w:val="22"/>
        </w:rPr>
        <w:t xml:space="preserve">Slot, P.L., Romijn, B.R. and </w:t>
      </w:r>
      <w:proofErr w:type="spellStart"/>
      <w:r w:rsidRPr="00AF7FBD">
        <w:rPr>
          <w:rFonts w:ascii="Arial" w:hAnsi="Arial" w:cs="Arial"/>
          <w:sz w:val="22"/>
          <w:szCs w:val="22"/>
        </w:rPr>
        <w:t>Wysłowska</w:t>
      </w:r>
      <w:proofErr w:type="spellEnd"/>
      <w:r w:rsidRPr="00AF7FBD">
        <w:rPr>
          <w:rFonts w:ascii="Arial" w:hAnsi="Arial" w:cs="Arial"/>
          <w:sz w:val="22"/>
          <w:szCs w:val="22"/>
        </w:rPr>
        <w:t xml:space="preserve">, O. (2021) ‘Assessing process quality in early childhood education: Findings from the ERS implementation’, </w:t>
      </w:r>
      <w:r w:rsidRPr="00AF7FBD">
        <w:rPr>
          <w:rFonts w:ascii="Arial" w:hAnsi="Arial" w:cs="Arial"/>
          <w:i/>
          <w:iCs/>
          <w:sz w:val="22"/>
          <w:szCs w:val="22"/>
        </w:rPr>
        <w:t>International Journal of Child Care and Education Policy</w:t>
      </w:r>
      <w:r w:rsidRPr="00AF7FBD">
        <w:rPr>
          <w:rFonts w:ascii="Arial" w:hAnsi="Arial" w:cs="Arial"/>
          <w:sz w:val="22"/>
          <w:szCs w:val="22"/>
        </w:rPr>
        <w:t xml:space="preserve">, 15(1), pp. 1–18. Available at: </w:t>
      </w:r>
      <w:hyperlink r:id="rId10" w:history="1">
        <w:r w:rsidRPr="00AF7FBD">
          <w:rPr>
            <w:rStyle w:val="Hyperlink"/>
            <w:rFonts w:ascii="Arial" w:hAnsi="Arial" w:cs="Arial"/>
            <w:sz w:val="22"/>
            <w:szCs w:val="22"/>
          </w:rPr>
          <w:t>https://doi.org/10.1186/s40723-021-00090-5</w:t>
        </w:r>
      </w:hyperlink>
      <w:r w:rsidRPr="00AF7FBD">
        <w:rPr>
          <w:rFonts w:ascii="Arial" w:hAnsi="Arial" w:cs="Arial"/>
          <w:sz w:val="22"/>
          <w:szCs w:val="22"/>
        </w:rPr>
        <w:t>.</w:t>
      </w:r>
    </w:p>
    <w:p w14:paraId="357E05D7" w14:textId="77777777" w:rsidR="00AF7FBD" w:rsidRPr="001971A4" w:rsidRDefault="00AF7FBD" w:rsidP="001971A4">
      <w:pPr>
        <w:spacing w:line="360" w:lineRule="auto"/>
        <w:rPr>
          <w:rFonts w:ascii="Arial" w:hAnsi="Arial" w:cs="Arial"/>
          <w:sz w:val="22"/>
          <w:szCs w:val="22"/>
        </w:rPr>
      </w:pPr>
      <w:r w:rsidRPr="00AF7FBD">
        <w:rPr>
          <w:rFonts w:ascii="Arial" w:hAnsi="Arial" w:cs="Arial"/>
          <w:sz w:val="22"/>
          <w:szCs w:val="22"/>
        </w:rPr>
        <w:t xml:space="preserve">Smith, J. and Brown, R. (2022) </w:t>
      </w:r>
      <w:r w:rsidRPr="00AF7FBD">
        <w:rPr>
          <w:rFonts w:ascii="Arial" w:hAnsi="Arial" w:cs="Arial"/>
          <w:i/>
          <w:iCs/>
          <w:sz w:val="22"/>
          <w:szCs w:val="22"/>
        </w:rPr>
        <w:t>Improving Process Quality in Early Childhood Education</w:t>
      </w:r>
      <w:r w:rsidRPr="00AF7FBD">
        <w:rPr>
          <w:rFonts w:ascii="Arial" w:hAnsi="Arial" w:cs="Arial"/>
          <w:sz w:val="22"/>
          <w:szCs w:val="22"/>
        </w:rPr>
        <w:t>. Springer.</w:t>
      </w:r>
    </w:p>
    <w:p w14:paraId="58AADB8D" w14:textId="3897E020" w:rsidR="00AF7FBD" w:rsidRPr="00AF7FBD" w:rsidRDefault="00AF7FBD" w:rsidP="001971A4">
      <w:pPr>
        <w:spacing w:line="360" w:lineRule="auto"/>
        <w:rPr>
          <w:rFonts w:ascii="Arial" w:hAnsi="Arial" w:cs="Arial"/>
          <w:sz w:val="22"/>
          <w:szCs w:val="22"/>
        </w:rPr>
      </w:pPr>
      <w:r w:rsidRPr="00AF7FBD">
        <w:rPr>
          <w:rFonts w:ascii="Arial" w:hAnsi="Arial" w:cs="Arial"/>
          <w:sz w:val="22"/>
          <w:szCs w:val="22"/>
        </w:rPr>
        <w:t xml:space="preserve">Zaslow, M., Anderson, R. and Martini, F. (2021) </w:t>
      </w:r>
      <w:r w:rsidRPr="00AF7FBD">
        <w:rPr>
          <w:rFonts w:ascii="Arial" w:hAnsi="Arial" w:cs="Arial"/>
          <w:i/>
          <w:iCs/>
          <w:sz w:val="22"/>
          <w:szCs w:val="22"/>
        </w:rPr>
        <w:t>Improving Quality in Early Childhood Programs: A Framework for Evaluation</w:t>
      </w:r>
      <w:r w:rsidRPr="00AF7FBD">
        <w:rPr>
          <w:rFonts w:ascii="Arial" w:hAnsi="Arial" w:cs="Arial"/>
          <w:sz w:val="22"/>
          <w:szCs w:val="22"/>
        </w:rPr>
        <w:t xml:space="preserve">. Springer. Available at: </w:t>
      </w:r>
      <w:hyperlink r:id="rId11" w:history="1">
        <w:r w:rsidRPr="00AF7FBD">
          <w:rPr>
            <w:rStyle w:val="Hyperlink"/>
            <w:rFonts w:ascii="Arial" w:hAnsi="Arial" w:cs="Arial"/>
            <w:sz w:val="22"/>
            <w:szCs w:val="22"/>
          </w:rPr>
          <w:t>https://doi.org/10.1007/978-3-030-75733-2</w:t>
        </w:r>
      </w:hyperlink>
      <w:r w:rsidRPr="00AF7FBD">
        <w:rPr>
          <w:rFonts w:ascii="Arial" w:hAnsi="Arial" w:cs="Arial"/>
          <w:sz w:val="22"/>
          <w:szCs w:val="22"/>
        </w:rPr>
        <w:t>.</w:t>
      </w:r>
    </w:p>
    <w:p w14:paraId="514855F7" w14:textId="77777777" w:rsidR="00356092" w:rsidRPr="001971A4" w:rsidRDefault="00356092" w:rsidP="001971A4">
      <w:pPr>
        <w:spacing w:line="360" w:lineRule="auto"/>
        <w:rPr>
          <w:rFonts w:ascii="Arial" w:hAnsi="Arial" w:cs="Arial"/>
          <w:sz w:val="22"/>
          <w:szCs w:val="22"/>
        </w:rPr>
      </w:pPr>
    </w:p>
    <w:sectPr w:rsidR="00356092" w:rsidRPr="001971A4">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201D4F" w14:textId="77777777" w:rsidR="002A3877" w:rsidRDefault="002A3877" w:rsidP="001971A4">
      <w:pPr>
        <w:spacing w:after="0" w:line="240" w:lineRule="auto"/>
      </w:pPr>
      <w:r>
        <w:separator/>
      </w:r>
    </w:p>
  </w:endnote>
  <w:endnote w:type="continuationSeparator" w:id="0">
    <w:p w14:paraId="0575F56A" w14:textId="77777777" w:rsidR="002A3877" w:rsidRDefault="002A3877" w:rsidP="001971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1943BC" w14:textId="77777777" w:rsidR="002A3877" w:rsidRDefault="002A3877" w:rsidP="001971A4">
      <w:pPr>
        <w:spacing w:after="0" w:line="240" w:lineRule="auto"/>
      </w:pPr>
      <w:r>
        <w:separator/>
      </w:r>
    </w:p>
  </w:footnote>
  <w:footnote w:type="continuationSeparator" w:id="0">
    <w:p w14:paraId="03EC770C" w14:textId="77777777" w:rsidR="002A3877" w:rsidRDefault="002A3877" w:rsidP="001971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82935" w14:textId="1A8C0BF3" w:rsidR="001971A4" w:rsidRDefault="001971A4">
    <w:pPr>
      <w:pStyle w:val="Header"/>
    </w:pPr>
    <w:r>
      <w:t xml:space="preserve">Aleisha Johnson </w:t>
    </w:r>
    <w:r>
      <w:tab/>
      <w:t xml:space="preserve">ecey6011 </w:t>
    </w:r>
    <w:r>
      <w:tab/>
      <w:t>2200646</w:t>
    </w:r>
    <w:r>
      <w:tab/>
      <w:t>word count 1981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E72DF"/>
    <w:multiLevelType w:val="multilevel"/>
    <w:tmpl w:val="48262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D803AB"/>
    <w:multiLevelType w:val="multilevel"/>
    <w:tmpl w:val="E9CAA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C26D69"/>
    <w:multiLevelType w:val="multilevel"/>
    <w:tmpl w:val="467A3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A712C8"/>
    <w:multiLevelType w:val="multilevel"/>
    <w:tmpl w:val="64F0C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6A40FE"/>
    <w:multiLevelType w:val="multilevel"/>
    <w:tmpl w:val="48BCB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35087F"/>
    <w:multiLevelType w:val="multilevel"/>
    <w:tmpl w:val="630885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BB2D65"/>
    <w:multiLevelType w:val="multilevel"/>
    <w:tmpl w:val="793A1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C60110"/>
    <w:multiLevelType w:val="multilevel"/>
    <w:tmpl w:val="BEA09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F34E57"/>
    <w:multiLevelType w:val="multilevel"/>
    <w:tmpl w:val="59743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934199"/>
    <w:multiLevelType w:val="multilevel"/>
    <w:tmpl w:val="BDEC8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084227"/>
    <w:multiLevelType w:val="multilevel"/>
    <w:tmpl w:val="3162F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4564969">
    <w:abstractNumId w:val="6"/>
  </w:num>
  <w:num w:numId="2" w16cid:durableId="2093890243">
    <w:abstractNumId w:val="5"/>
  </w:num>
  <w:num w:numId="3" w16cid:durableId="244266004">
    <w:abstractNumId w:val="10"/>
  </w:num>
  <w:num w:numId="4" w16cid:durableId="2078475270">
    <w:abstractNumId w:val="1"/>
  </w:num>
  <w:num w:numId="5" w16cid:durableId="903950605">
    <w:abstractNumId w:val="2"/>
  </w:num>
  <w:num w:numId="6" w16cid:durableId="1568223247">
    <w:abstractNumId w:val="7"/>
  </w:num>
  <w:num w:numId="7" w16cid:durableId="1952087608">
    <w:abstractNumId w:val="8"/>
  </w:num>
  <w:num w:numId="8" w16cid:durableId="726144396">
    <w:abstractNumId w:val="9"/>
  </w:num>
  <w:num w:numId="9" w16cid:durableId="1627002735">
    <w:abstractNumId w:val="4"/>
  </w:num>
  <w:num w:numId="10" w16cid:durableId="1509295874">
    <w:abstractNumId w:val="3"/>
  </w:num>
  <w:num w:numId="11" w16cid:durableId="283199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FAE"/>
    <w:rsid w:val="00095D47"/>
    <w:rsid w:val="00163658"/>
    <w:rsid w:val="00185865"/>
    <w:rsid w:val="001971A4"/>
    <w:rsid w:val="001C2C40"/>
    <w:rsid w:val="001C4A9A"/>
    <w:rsid w:val="00215869"/>
    <w:rsid w:val="00236F7D"/>
    <w:rsid w:val="002A3877"/>
    <w:rsid w:val="002B4604"/>
    <w:rsid w:val="0034172A"/>
    <w:rsid w:val="00356092"/>
    <w:rsid w:val="003A5C8A"/>
    <w:rsid w:val="00406755"/>
    <w:rsid w:val="00445A71"/>
    <w:rsid w:val="004A5CC5"/>
    <w:rsid w:val="004B4E38"/>
    <w:rsid w:val="004F2421"/>
    <w:rsid w:val="0056559B"/>
    <w:rsid w:val="00570E8F"/>
    <w:rsid w:val="005F314D"/>
    <w:rsid w:val="006419A8"/>
    <w:rsid w:val="0064700F"/>
    <w:rsid w:val="00667B97"/>
    <w:rsid w:val="006760FA"/>
    <w:rsid w:val="00753917"/>
    <w:rsid w:val="00776C8B"/>
    <w:rsid w:val="0081217F"/>
    <w:rsid w:val="00AF7FBD"/>
    <w:rsid w:val="00B237C8"/>
    <w:rsid w:val="00C53FAE"/>
    <w:rsid w:val="00CA06C8"/>
    <w:rsid w:val="00CC0902"/>
    <w:rsid w:val="00CD1A46"/>
    <w:rsid w:val="00CF31A3"/>
    <w:rsid w:val="00D00FD6"/>
    <w:rsid w:val="00D5059D"/>
    <w:rsid w:val="00D85D63"/>
    <w:rsid w:val="00E03FD6"/>
    <w:rsid w:val="00E44111"/>
    <w:rsid w:val="00E74213"/>
    <w:rsid w:val="00F56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249D6A"/>
  <w15:chartTrackingRefBased/>
  <w15:docId w15:val="{B58DB397-5559-402B-92FB-9A43CC4A9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F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3F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F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F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F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F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F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F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F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F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3F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3F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F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F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F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F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F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FAE"/>
    <w:rPr>
      <w:rFonts w:eastAsiaTheme="majorEastAsia" w:cstheme="majorBidi"/>
      <w:color w:val="272727" w:themeColor="text1" w:themeTint="D8"/>
    </w:rPr>
  </w:style>
  <w:style w:type="paragraph" w:styleId="Title">
    <w:name w:val="Title"/>
    <w:basedOn w:val="Normal"/>
    <w:next w:val="Normal"/>
    <w:link w:val="TitleChar"/>
    <w:uiPriority w:val="10"/>
    <w:qFormat/>
    <w:rsid w:val="00C53F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F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F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F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FAE"/>
    <w:pPr>
      <w:spacing w:before="160"/>
      <w:jc w:val="center"/>
    </w:pPr>
    <w:rPr>
      <w:i/>
      <w:iCs/>
      <w:color w:val="404040" w:themeColor="text1" w:themeTint="BF"/>
    </w:rPr>
  </w:style>
  <w:style w:type="character" w:customStyle="1" w:styleId="QuoteChar">
    <w:name w:val="Quote Char"/>
    <w:basedOn w:val="DefaultParagraphFont"/>
    <w:link w:val="Quote"/>
    <w:uiPriority w:val="29"/>
    <w:rsid w:val="00C53FAE"/>
    <w:rPr>
      <w:i/>
      <w:iCs/>
      <w:color w:val="404040" w:themeColor="text1" w:themeTint="BF"/>
    </w:rPr>
  </w:style>
  <w:style w:type="paragraph" w:styleId="ListParagraph">
    <w:name w:val="List Paragraph"/>
    <w:basedOn w:val="Normal"/>
    <w:uiPriority w:val="34"/>
    <w:qFormat/>
    <w:rsid w:val="00C53FAE"/>
    <w:pPr>
      <w:ind w:left="720"/>
      <w:contextualSpacing/>
    </w:pPr>
  </w:style>
  <w:style w:type="character" w:styleId="IntenseEmphasis">
    <w:name w:val="Intense Emphasis"/>
    <w:basedOn w:val="DefaultParagraphFont"/>
    <w:uiPriority w:val="21"/>
    <w:qFormat/>
    <w:rsid w:val="00C53FAE"/>
    <w:rPr>
      <w:i/>
      <w:iCs/>
      <w:color w:val="0F4761" w:themeColor="accent1" w:themeShade="BF"/>
    </w:rPr>
  </w:style>
  <w:style w:type="paragraph" w:styleId="IntenseQuote">
    <w:name w:val="Intense Quote"/>
    <w:basedOn w:val="Normal"/>
    <w:next w:val="Normal"/>
    <w:link w:val="IntenseQuoteChar"/>
    <w:uiPriority w:val="30"/>
    <w:qFormat/>
    <w:rsid w:val="00C53F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FAE"/>
    <w:rPr>
      <w:i/>
      <w:iCs/>
      <w:color w:val="0F4761" w:themeColor="accent1" w:themeShade="BF"/>
    </w:rPr>
  </w:style>
  <w:style w:type="character" w:styleId="IntenseReference">
    <w:name w:val="Intense Reference"/>
    <w:basedOn w:val="DefaultParagraphFont"/>
    <w:uiPriority w:val="32"/>
    <w:qFormat/>
    <w:rsid w:val="00C53FAE"/>
    <w:rPr>
      <w:b/>
      <w:bCs/>
      <w:smallCaps/>
      <w:color w:val="0F4761" w:themeColor="accent1" w:themeShade="BF"/>
      <w:spacing w:val="5"/>
    </w:rPr>
  </w:style>
  <w:style w:type="character" w:styleId="Hyperlink">
    <w:name w:val="Hyperlink"/>
    <w:basedOn w:val="DefaultParagraphFont"/>
    <w:uiPriority w:val="99"/>
    <w:unhideWhenUsed/>
    <w:rsid w:val="00E74213"/>
    <w:rPr>
      <w:color w:val="467886" w:themeColor="hyperlink"/>
      <w:u w:val="single"/>
    </w:rPr>
  </w:style>
  <w:style w:type="character" w:styleId="UnresolvedMention">
    <w:name w:val="Unresolved Mention"/>
    <w:basedOn w:val="DefaultParagraphFont"/>
    <w:uiPriority w:val="99"/>
    <w:semiHidden/>
    <w:unhideWhenUsed/>
    <w:rsid w:val="00E74213"/>
    <w:rPr>
      <w:color w:val="605E5C"/>
      <w:shd w:val="clear" w:color="auto" w:fill="E1DFDD"/>
    </w:rPr>
  </w:style>
  <w:style w:type="paragraph" w:styleId="Header">
    <w:name w:val="header"/>
    <w:basedOn w:val="Normal"/>
    <w:link w:val="HeaderChar"/>
    <w:uiPriority w:val="99"/>
    <w:unhideWhenUsed/>
    <w:rsid w:val="001971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71A4"/>
  </w:style>
  <w:style w:type="paragraph" w:styleId="Footer">
    <w:name w:val="footer"/>
    <w:basedOn w:val="Normal"/>
    <w:link w:val="FooterChar"/>
    <w:uiPriority w:val="99"/>
    <w:unhideWhenUsed/>
    <w:rsid w:val="001971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1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2042">
      <w:bodyDiv w:val="1"/>
      <w:marLeft w:val="0"/>
      <w:marRight w:val="0"/>
      <w:marTop w:val="0"/>
      <w:marBottom w:val="0"/>
      <w:divBdr>
        <w:top w:val="none" w:sz="0" w:space="0" w:color="auto"/>
        <w:left w:val="none" w:sz="0" w:space="0" w:color="auto"/>
        <w:bottom w:val="none" w:sz="0" w:space="0" w:color="auto"/>
        <w:right w:val="none" w:sz="0" w:space="0" w:color="auto"/>
      </w:divBdr>
    </w:div>
    <w:div w:id="9838874">
      <w:bodyDiv w:val="1"/>
      <w:marLeft w:val="0"/>
      <w:marRight w:val="0"/>
      <w:marTop w:val="0"/>
      <w:marBottom w:val="0"/>
      <w:divBdr>
        <w:top w:val="none" w:sz="0" w:space="0" w:color="auto"/>
        <w:left w:val="none" w:sz="0" w:space="0" w:color="auto"/>
        <w:bottom w:val="none" w:sz="0" w:space="0" w:color="auto"/>
        <w:right w:val="none" w:sz="0" w:space="0" w:color="auto"/>
      </w:divBdr>
    </w:div>
    <w:div w:id="10618538">
      <w:bodyDiv w:val="1"/>
      <w:marLeft w:val="0"/>
      <w:marRight w:val="0"/>
      <w:marTop w:val="0"/>
      <w:marBottom w:val="0"/>
      <w:divBdr>
        <w:top w:val="none" w:sz="0" w:space="0" w:color="auto"/>
        <w:left w:val="none" w:sz="0" w:space="0" w:color="auto"/>
        <w:bottom w:val="none" w:sz="0" w:space="0" w:color="auto"/>
        <w:right w:val="none" w:sz="0" w:space="0" w:color="auto"/>
      </w:divBdr>
    </w:div>
    <w:div w:id="68112714">
      <w:bodyDiv w:val="1"/>
      <w:marLeft w:val="0"/>
      <w:marRight w:val="0"/>
      <w:marTop w:val="0"/>
      <w:marBottom w:val="0"/>
      <w:divBdr>
        <w:top w:val="none" w:sz="0" w:space="0" w:color="auto"/>
        <w:left w:val="none" w:sz="0" w:space="0" w:color="auto"/>
        <w:bottom w:val="none" w:sz="0" w:space="0" w:color="auto"/>
        <w:right w:val="none" w:sz="0" w:space="0" w:color="auto"/>
      </w:divBdr>
    </w:div>
    <w:div w:id="87043765">
      <w:bodyDiv w:val="1"/>
      <w:marLeft w:val="0"/>
      <w:marRight w:val="0"/>
      <w:marTop w:val="0"/>
      <w:marBottom w:val="0"/>
      <w:divBdr>
        <w:top w:val="none" w:sz="0" w:space="0" w:color="auto"/>
        <w:left w:val="none" w:sz="0" w:space="0" w:color="auto"/>
        <w:bottom w:val="none" w:sz="0" w:space="0" w:color="auto"/>
        <w:right w:val="none" w:sz="0" w:space="0" w:color="auto"/>
      </w:divBdr>
    </w:div>
    <w:div w:id="87896445">
      <w:bodyDiv w:val="1"/>
      <w:marLeft w:val="0"/>
      <w:marRight w:val="0"/>
      <w:marTop w:val="0"/>
      <w:marBottom w:val="0"/>
      <w:divBdr>
        <w:top w:val="none" w:sz="0" w:space="0" w:color="auto"/>
        <w:left w:val="none" w:sz="0" w:space="0" w:color="auto"/>
        <w:bottom w:val="none" w:sz="0" w:space="0" w:color="auto"/>
        <w:right w:val="none" w:sz="0" w:space="0" w:color="auto"/>
      </w:divBdr>
    </w:div>
    <w:div w:id="93475725">
      <w:bodyDiv w:val="1"/>
      <w:marLeft w:val="0"/>
      <w:marRight w:val="0"/>
      <w:marTop w:val="0"/>
      <w:marBottom w:val="0"/>
      <w:divBdr>
        <w:top w:val="none" w:sz="0" w:space="0" w:color="auto"/>
        <w:left w:val="none" w:sz="0" w:space="0" w:color="auto"/>
        <w:bottom w:val="none" w:sz="0" w:space="0" w:color="auto"/>
        <w:right w:val="none" w:sz="0" w:space="0" w:color="auto"/>
      </w:divBdr>
    </w:div>
    <w:div w:id="211504700">
      <w:bodyDiv w:val="1"/>
      <w:marLeft w:val="0"/>
      <w:marRight w:val="0"/>
      <w:marTop w:val="0"/>
      <w:marBottom w:val="0"/>
      <w:divBdr>
        <w:top w:val="none" w:sz="0" w:space="0" w:color="auto"/>
        <w:left w:val="none" w:sz="0" w:space="0" w:color="auto"/>
        <w:bottom w:val="none" w:sz="0" w:space="0" w:color="auto"/>
        <w:right w:val="none" w:sz="0" w:space="0" w:color="auto"/>
      </w:divBdr>
    </w:div>
    <w:div w:id="242489534">
      <w:bodyDiv w:val="1"/>
      <w:marLeft w:val="0"/>
      <w:marRight w:val="0"/>
      <w:marTop w:val="0"/>
      <w:marBottom w:val="0"/>
      <w:divBdr>
        <w:top w:val="none" w:sz="0" w:space="0" w:color="auto"/>
        <w:left w:val="none" w:sz="0" w:space="0" w:color="auto"/>
        <w:bottom w:val="none" w:sz="0" w:space="0" w:color="auto"/>
        <w:right w:val="none" w:sz="0" w:space="0" w:color="auto"/>
      </w:divBdr>
    </w:div>
    <w:div w:id="249848763">
      <w:bodyDiv w:val="1"/>
      <w:marLeft w:val="0"/>
      <w:marRight w:val="0"/>
      <w:marTop w:val="0"/>
      <w:marBottom w:val="0"/>
      <w:divBdr>
        <w:top w:val="none" w:sz="0" w:space="0" w:color="auto"/>
        <w:left w:val="none" w:sz="0" w:space="0" w:color="auto"/>
        <w:bottom w:val="none" w:sz="0" w:space="0" w:color="auto"/>
        <w:right w:val="none" w:sz="0" w:space="0" w:color="auto"/>
      </w:divBdr>
    </w:div>
    <w:div w:id="260527821">
      <w:bodyDiv w:val="1"/>
      <w:marLeft w:val="0"/>
      <w:marRight w:val="0"/>
      <w:marTop w:val="0"/>
      <w:marBottom w:val="0"/>
      <w:divBdr>
        <w:top w:val="none" w:sz="0" w:space="0" w:color="auto"/>
        <w:left w:val="none" w:sz="0" w:space="0" w:color="auto"/>
        <w:bottom w:val="none" w:sz="0" w:space="0" w:color="auto"/>
        <w:right w:val="none" w:sz="0" w:space="0" w:color="auto"/>
      </w:divBdr>
    </w:div>
    <w:div w:id="329450140">
      <w:bodyDiv w:val="1"/>
      <w:marLeft w:val="0"/>
      <w:marRight w:val="0"/>
      <w:marTop w:val="0"/>
      <w:marBottom w:val="0"/>
      <w:divBdr>
        <w:top w:val="none" w:sz="0" w:space="0" w:color="auto"/>
        <w:left w:val="none" w:sz="0" w:space="0" w:color="auto"/>
        <w:bottom w:val="none" w:sz="0" w:space="0" w:color="auto"/>
        <w:right w:val="none" w:sz="0" w:space="0" w:color="auto"/>
      </w:divBdr>
    </w:div>
    <w:div w:id="332491942">
      <w:bodyDiv w:val="1"/>
      <w:marLeft w:val="0"/>
      <w:marRight w:val="0"/>
      <w:marTop w:val="0"/>
      <w:marBottom w:val="0"/>
      <w:divBdr>
        <w:top w:val="none" w:sz="0" w:space="0" w:color="auto"/>
        <w:left w:val="none" w:sz="0" w:space="0" w:color="auto"/>
        <w:bottom w:val="none" w:sz="0" w:space="0" w:color="auto"/>
        <w:right w:val="none" w:sz="0" w:space="0" w:color="auto"/>
      </w:divBdr>
    </w:div>
    <w:div w:id="363293751">
      <w:bodyDiv w:val="1"/>
      <w:marLeft w:val="0"/>
      <w:marRight w:val="0"/>
      <w:marTop w:val="0"/>
      <w:marBottom w:val="0"/>
      <w:divBdr>
        <w:top w:val="none" w:sz="0" w:space="0" w:color="auto"/>
        <w:left w:val="none" w:sz="0" w:space="0" w:color="auto"/>
        <w:bottom w:val="none" w:sz="0" w:space="0" w:color="auto"/>
        <w:right w:val="none" w:sz="0" w:space="0" w:color="auto"/>
      </w:divBdr>
    </w:div>
    <w:div w:id="426463922">
      <w:bodyDiv w:val="1"/>
      <w:marLeft w:val="0"/>
      <w:marRight w:val="0"/>
      <w:marTop w:val="0"/>
      <w:marBottom w:val="0"/>
      <w:divBdr>
        <w:top w:val="none" w:sz="0" w:space="0" w:color="auto"/>
        <w:left w:val="none" w:sz="0" w:space="0" w:color="auto"/>
        <w:bottom w:val="none" w:sz="0" w:space="0" w:color="auto"/>
        <w:right w:val="none" w:sz="0" w:space="0" w:color="auto"/>
      </w:divBdr>
    </w:div>
    <w:div w:id="432634387">
      <w:bodyDiv w:val="1"/>
      <w:marLeft w:val="0"/>
      <w:marRight w:val="0"/>
      <w:marTop w:val="0"/>
      <w:marBottom w:val="0"/>
      <w:divBdr>
        <w:top w:val="none" w:sz="0" w:space="0" w:color="auto"/>
        <w:left w:val="none" w:sz="0" w:space="0" w:color="auto"/>
        <w:bottom w:val="none" w:sz="0" w:space="0" w:color="auto"/>
        <w:right w:val="none" w:sz="0" w:space="0" w:color="auto"/>
      </w:divBdr>
    </w:div>
    <w:div w:id="437453271">
      <w:bodyDiv w:val="1"/>
      <w:marLeft w:val="0"/>
      <w:marRight w:val="0"/>
      <w:marTop w:val="0"/>
      <w:marBottom w:val="0"/>
      <w:divBdr>
        <w:top w:val="none" w:sz="0" w:space="0" w:color="auto"/>
        <w:left w:val="none" w:sz="0" w:space="0" w:color="auto"/>
        <w:bottom w:val="none" w:sz="0" w:space="0" w:color="auto"/>
        <w:right w:val="none" w:sz="0" w:space="0" w:color="auto"/>
      </w:divBdr>
    </w:div>
    <w:div w:id="464393344">
      <w:bodyDiv w:val="1"/>
      <w:marLeft w:val="0"/>
      <w:marRight w:val="0"/>
      <w:marTop w:val="0"/>
      <w:marBottom w:val="0"/>
      <w:divBdr>
        <w:top w:val="none" w:sz="0" w:space="0" w:color="auto"/>
        <w:left w:val="none" w:sz="0" w:space="0" w:color="auto"/>
        <w:bottom w:val="none" w:sz="0" w:space="0" w:color="auto"/>
        <w:right w:val="none" w:sz="0" w:space="0" w:color="auto"/>
      </w:divBdr>
    </w:div>
    <w:div w:id="472218489">
      <w:bodyDiv w:val="1"/>
      <w:marLeft w:val="0"/>
      <w:marRight w:val="0"/>
      <w:marTop w:val="0"/>
      <w:marBottom w:val="0"/>
      <w:divBdr>
        <w:top w:val="none" w:sz="0" w:space="0" w:color="auto"/>
        <w:left w:val="none" w:sz="0" w:space="0" w:color="auto"/>
        <w:bottom w:val="none" w:sz="0" w:space="0" w:color="auto"/>
        <w:right w:val="none" w:sz="0" w:space="0" w:color="auto"/>
      </w:divBdr>
    </w:div>
    <w:div w:id="657272160">
      <w:bodyDiv w:val="1"/>
      <w:marLeft w:val="0"/>
      <w:marRight w:val="0"/>
      <w:marTop w:val="0"/>
      <w:marBottom w:val="0"/>
      <w:divBdr>
        <w:top w:val="none" w:sz="0" w:space="0" w:color="auto"/>
        <w:left w:val="none" w:sz="0" w:space="0" w:color="auto"/>
        <w:bottom w:val="none" w:sz="0" w:space="0" w:color="auto"/>
        <w:right w:val="none" w:sz="0" w:space="0" w:color="auto"/>
      </w:divBdr>
    </w:div>
    <w:div w:id="768621258">
      <w:bodyDiv w:val="1"/>
      <w:marLeft w:val="0"/>
      <w:marRight w:val="0"/>
      <w:marTop w:val="0"/>
      <w:marBottom w:val="0"/>
      <w:divBdr>
        <w:top w:val="none" w:sz="0" w:space="0" w:color="auto"/>
        <w:left w:val="none" w:sz="0" w:space="0" w:color="auto"/>
        <w:bottom w:val="none" w:sz="0" w:space="0" w:color="auto"/>
        <w:right w:val="none" w:sz="0" w:space="0" w:color="auto"/>
      </w:divBdr>
    </w:div>
    <w:div w:id="816068663">
      <w:bodyDiv w:val="1"/>
      <w:marLeft w:val="0"/>
      <w:marRight w:val="0"/>
      <w:marTop w:val="0"/>
      <w:marBottom w:val="0"/>
      <w:divBdr>
        <w:top w:val="none" w:sz="0" w:space="0" w:color="auto"/>
        <w:left w:val="none" w:sz="0" w:space="0" w:color="auto"/>
        <w:bottom w:val="none" w:sz="0" w:space="0" w:color="auto"/>
        <w:right w:val="none" w:sz="0" w:space="0" w:color="auto"/>
      </w:divBdr>
    </w:div>
    <w:div w:id="821776857">
      <w:bodyDiv w:val="1"/>
      <w:marLeft w:val="0"/>
      <w:marRight w:val="0"/>
      <w:marTop w:val="0"/>
      <w:marBottom w:val="0"/>
      <w:divBdr>
        <w:top w:val="none" w:sz="0" w:space="0" w:color="auto"/>
        <w:left w:val="none" w:sz="0" w:space="0" w:color="auto"/>
        <w:bottom w:val="none" w:sz="0" w:space="0" w:color="auto"/>
        <w:right w:val="none" w:sz="0" w:space="0" w:color="auto"/>
      </w:divBdr>
    </w:div>
    <w:div w:id="823665245">
      <w:bodyDiv w:val="1"/>
      <w:marLeft w:val="0"/>
      <w:marRight w:val="0"/>
      <w:marTop w:val="0"/>
      <w:marBottom w:val="0"/>
      <w:divBdr>
        <w:top w:val="none" w:sz="0" w:space="0" w:color="auto"/>
        <w:left w:val="none" w:sz="0" w:space="0" w:color="auto"/>
        <w:bottom w:val="none" w:sz="0" w:space="0" w:color="auto"/>
        <w:right w:val="none" w:sz="0" w:space="0" w:color="auto"/>
      </w:divBdr>
    </w:div>
    <w:div w:id="825894937">
      <w:bodyDiv w:val="1"/>
      <w:marLeft w:val="0"/>
      <w:marRight w:val="0"/>
      <w:marTop w:val="0"/>
      <w:marBottom w:val="0"/>
      <w:divBdr>
        <w:top w:val="none" w:sz="0" w:space="0" w:color="auto"/>
        <w:left w:val="none" w:sz="0" w:space="0" w:color="auto"/>
        <w:bottom w:val="none" w:sz="0" w:space="0" w:color="auto"/>
        <w:right w:val="none" w:sz="0" w:space="0" w:color="auto"/>
      </w:divBdr>
    </w:div>
    <w:div w:id="830482889">
      <w:bodyDiv w:val="1"/>
      <w:marLeft w:val="0"/>
      <w:marRight w:val="0"/>
      <w:marTop w:val="0"/>
      <w:marBottom w:val="0"/>
      <w:divBdr>
        <w:top w:val="none" w:sz="0" w:space="0" w:color="auto"/>
        <w:left w:val="none" w:sz="0" w:space="0" w:color="auto"/>
        <w:bottom w:val="none" w:sz="0" w:space="0" w:color="auto"/>
        <w:right w:val="none" w:sz="0" w:space="0" w:color="auto"/>
      </w:divBdr>
    </w:div>
    <w:div w:id="882909232">
      <w:bodyDiv w:val="1"/>
      <w:marLeft w:val="0"/>
      <w:marRight w:val="0"/>
      <w:marTop w:val="0"/>
      <w:marBottom w:val="0"/>
      <w:divBdr>
        <w:top w:val="none" w:sz="0" w:space="0" w:color="auto"/>
        <w:left w:val="none" w:sz="0" w:space="0" w:color="auto"/>
        <w:bottom w:val="none" w:sz="0" w:space="0" w:color="auto"/>
        <w:right w:val="none" w:sz="0" w:space="0" w:color="auto"/>
      </w:divBdr>
    </w:div>
    <w:div w:id="894587700">
      <w:bodyDiv w:val="1"/>
      <w:marLeft w:val="0"/>
      <w:marRight w:val="0"/>
      <w:marTop w:val="0"/>
      <w:marBottom w:val="0"/>
      <w:divBdr>
        <w:top w:val="none" w:sz="0" w:space="0" w:color="auto"/>
        <w:left w:val="none" w:sz="0" w:space="0" w:color="auto"/>
        <w:bottom w:val="none" w:sz="0" w:space="0" w:color="auto"/>
        <w:right w:val="none" w:sz="0" w:space="0" w:color="auto"/>
      </w:divBdr>
    </w:div>
    <w:div w:id="903952530">
      <w:bodyDiv w:val="1"/>
      <w:marLeft w:val="0"/>
      <w:marRight w:val="0"/>
      <w:marTop w:val="0"/>
      <w:marBottom w:val="0"/>
      <w:divBdr>
        <w:top w:val="none" w:sz="0" w:space="0" w:color="auto"/>
        <w:left w:val="none" w:sz="0" w:space="0" w:color="auto"/>
        <w:bottom w:val="none" w:sz="0" w:space="0" w:color="auto"/>
        <w:right w:val="none" w:sz="0" w:space="0" w:color="auto"/>
      </w:divBdr>
    </w:div>
    <w:div w:id="952514634">
      <w:bodyDiv w:val="1"/>
      <w:marLeft w:val="0"/>
      <w:marRight w:val="0"/>
      <w:marTop w:val="0"/>
      <w:marBottom w:val="0"/>
      <w:divBdr>
        <w:top w:val="none" w:sz="0" w:space="0" w:color="auto"/>
        <w:left w:val="none" w:sz="0" w:space="0" w:color="auto"/>
        <w:bottom w:val="none" w:sz="0" w:space="0" w:color="auto"/>
        <w:right w:val="none" w:sz="0" w:space="0" w:color="auto"/>
      </w:divBdr>
    </w:div>
    <w:div w:id="1083065707">
      <w:bodyDiv w:val="1"/>
      <w:marLeft w:val="0"/>
      <w:marRight w:val="0"/>
      <w:marTop w:val="0"/>
      <w:marBottom w:val="0"/>
      <w:divBdr>
        <w:top w:val="none" w:sz="0" w:space="0" w:color="auto"/>
        <w:left w:val="none" w:sz="0" w:space="0" w:color="auto"/>
        <w:bottom w:val="none" w:sz="0" w:space="0" w:color="auto"/>
        <w:right w:val="none" w:sz="0" w:space="0" w:color="auto"/>
      </w:divBdr>
    </w:div>
    <w:div w:id="1142427517">
      <w:bodyDiv w:val="1"/>
      <w:marLeft w:val="0"/>
      <w:marRight w:val="0"/>
      <w:marTop w:val="0"/>
      <w:marBottom w:val="0"/>
      <w:divBdr>
        <w:top w:val="none" w:sz="0" w:space="0" w:color="auto"/>
        <w:left w:val="none" w:sz="0" w:space="0" w:color="auto"/>
        <w:bottom w:val="none" w:sz="0" w:space="0" w:color="auto"/>
        <w:right w:val="none" w:sz="0" w:space="0" w:color="auto"/>
      </w:divBdr>
    </w:div>
    <w:div w:id="1150051337">
      <w:bodyDiv w:val="1"/>
      <w:marLeft w:val="0"/>
      <w:marRight w:val="0"/>
      <w:marTop w:val="0"/>
      <w:marBottom w:val="0"/>
      <w:divBdr>
        <w:top w:val="none" w:sz="0" w:space="0" w:color="auto"/>
        <w:left w:val="none" w:sz="0" w:space="0" w:color="auto"/>
        <w:bottom w:val="none" w:sz="0" w:space="0" w:color="auto"/>
        <w:right w:val="none" w:sz="0" w:space="0" w:color="auto"/>
      </w:divBdr>
    </w:div>
    <w:div w:id="1154025913">
      <w:bodyDiv w:val="1"/>
      <w:marLeft w:val="0"/>
      <w:marRight w:val="0"/>
      <w:marTop w:val="0"/>
      <w:marBottom w:val="0"/>
      <w:divBdr>
        <w:top w:val="none" w:sz="0" w:space="0" w:color="auto"/>
        <w:left w:val="none" w:sz="0" w:space="0" w:color="auto"/>
        <w:bottom w:val="none" w:sz="0" w:space="0" w:color="auto"/>
        <w:right w:val="none" w:sz="0" w:space="0" w:color="auto"/>
      </w:divBdr>
    </w:div>
    <w:div w:id="1174421798">
      <w:bodyDiv w:val="1"/>
      <w:marLeft w:val="0"/>
      <w:marRight w:val="0"/>
      <w:marTop w:val="0"/>
      <w:marBottom w:val="0"/>
      <w:divBdr>
        <w:top w:val="none" w:sz="0" w:space="0" w:color="auto"/>
        <w:left w:val="none" w:sz="0" w:space="0" w:color="auto"/>
        <w:bottom w:val="none" w:sz="0" w:space="0" w:color="auto"/>
        <w:right w:val="none" w:sz="0" w:space="0" w:color="auto"/>
      </w:divBdr>
    </w:div>
    <w:div w:id="1260285983">
      <w:bodyDiv w:val="1"/>
      <w:marLeft w:val="0"/>
      <w:marRight w:val="0"/>
      <w:marTop w:val="0"/>
      <w:marBottom w:val="0"/>
      <w:divBdr>
        <w:top w:val="none" w:sz="0" w:space="0" w:color="auto"/>
        <w:left w:val="none" w:sz="0" w:space="0" w:color="auto"/>
        <w:bottom w:val="none" w:sz="0" w:space="0" w:color="auto"/>
        <w:right w:val="none" w:sz="0" w:space="0" w:color="auto"/>
      </w:divBdr>
      <w:divsChild>
        <w:div w:id="774985475">
          <w:marLeft w:val="0"/>
          <w:marRight w:val="0"/>
          <w:marTop w:val="0"/>
          <w:marBottom w:val="0"/>
          <w:divBdr>
            <w:top w:val="none" w:sz="0" w:space="0" w:color="auto"/>
            <w:left w:val="none" w:sz="0" w:space="0" w:color="auto"/>
            <w:bottom w:val="none" w:sz="0" w:space="0" w:color="auto"/>
            <w:right w:val="none" w:sz="0" w:space="0" w:color="auto"/>
          </w:divBdr>
        </w:div>
        <w:div w:id="540481491">
          <w:marLeft w:val="0"/>
          <w:marRight w:val="0"/>
          <w:marTop w:val="0"/>
          <w:marBottom w:val="0"/>
          <w:divBdr>
            <w:top w:val="none" w:sz="0" w:space="0" w:color="auto"/>
            <w:left w:val="none" w:sz="0" w:space="0" w:color="auto"/>
            <w:bottom w:val="none" w:sz="0" w:space="0" w:color="auto"/>
            <w:right w:val="none" w:sz="0" w:space="0" w:color="auto"/>
          </w:divBdr>
        </w:div>
        <w:div w:id="428894886">
          <w:marLeft w:val="0"/>
          <w:marRight w:val="0"/>
          <w:marTop w:val="0"/>
          <w:marBottom w:val="0"/>
          <w:divBdr>
            <w:top w:val="none" w:sz="0" w:space="0" w:color="auto"/>
            <w:left w:val="none" w:sz="0" w:space="0" w:color="auto"/>
            <w:bottom w:val="none" w:sz="0" w:space="0" w:color="auto"/>
            <w:right w:val="none" w:sz="0" w:space="0" w:color="auto"/>
          </w:divBdr>
        </w:div>
        <w:div w:id="278802699">
          <w:marLeft w:val="0"/>
          <w:marRight w:val="0"/>
          <w:marTop w:val="0"/>
          <w:marBottom w:val="0"/>
          <w:divBdr>
            <w:top w:val="none" w:sz="0" w:space="0" w:color="auto"/>
            <w:left w:val="none" w:sz="0" w:space="0" w:color="auto"/>
            <w:bottom w:val="none" w:sz="0" w:space="0" w:color="auto"/>
            <w:right w:val="none" w:sz="0" w:space="0" w:color="auto"/>
          </w:divBdr>
        </w:div>
        <w:div w:id="315111158">
          <w:marLeft w:val="0"/>
          <w:marRight w:val="0"/>
          <w:marTop w:val="0"/>
          <w:marBottom w:val="0"/>
          <w:divBdr>
            <w:top w:val="none" w:sz="0" w:space="0" w:color="auto"/>
            <w:left w:val="none" w:sz="0" w:space="0" w:color="auto"/>
            <w:bottom w:val="none" w:sz="0" w:space="0" w:color="auto"/>
            <w:right w:val="none" w:sz="0" w:space="0" w:color="auto"/>
          </w:divBdr>
        </w:div>
        <w:div w:id="260526651">
          <w:marLeft w:val="0"/>
          <w:marRight w:val="0"/>
          <w:marTop w:val="0"/>
          <w:marBottom w:val="0"/>
          <w:divBdr>
            <w:top w:val="none" w:sz="0" w:space="0" w:color="auto"/>
            <w:left w:val="none" w:sz="0" w:space="0" w:color="auto"/>
            <w:bottom w:val="none" w:sz="0" w:space="0" w:color="auto"/>
            <w:right w:val="none" w:sz="0" w:space="0" w:color="auto"/>
          </w:divBdr>
        </w:div>
        <w:div w:id="923034744">
          <w:marLeft w:val="0"/>
          <w:marRight w:val="0"/>
          <w:marTop w:val="0"/>
          <w:marBottom w:val="0"/>
          <w:divBdr>
            <w:top w:val="none" w:sz="0" w:space="0" w:color="auto"/>
            <w:left w:val="none" w:sz="0" w:space="0" w:color="auto"/>
            <w:bottom w:val="none" w:sz="0" w:space="0" w:color="auto"/>
            <w:right w:val="none" w:sz="0" w:space="0" w:color="auto"/>
          </w:divBdr>
        </w:div>
        <w:div w:id="2029407428">
          <w:marLeft w:val="0"/>
          <w:marRight w:val="0"/>
          <w:marTop w:val="0"/>
          <w:marBottom w:val="0"/>
          <w:divBdr>
            <w:top w:val="none" w:sz="0" w:space="0" w:color="auto"/>
            <w:left w:val="none" w:sz="0" w:space="0" w:color="auto"/>
            <w:bottom w:val="none" w:sz="0" w:space="0" w:color="auto"/>
            <w:right w:val="none" w:sz="0" w:space="0" w:color="auto"/>
          </w:divBdr>
        </w:div>
        <w:div w:id="132021572">
          <w:marLeft w:val="0"/>
          <w:marRight w:val="0"/>
          <w:marTop w:val="0"/>
          <w:marBottom w:val="0"/>
          <w:divBdr>
            <w:top w:val="none" w:sz="0" w:space="0" w:color="auto"/>
            <w:left w:val="none" w:sz="0" w:space="0" w:color="auto"/>
            <w:bottom w:val="none" w:sz="0" w:space="0" w:color="auto"/>
            <w:right w:val="none" w:sz="0" w:space="0" w:color="auto"/>
          </w:divBdr>
        </w:div>
        <w:div w:id="1282885224">
          <w:marLeft w:val="0"/>
          <w:marRight w:val="0"/>
          <w:marTop w:val="0"/>
          <w:marBottom w:val="0"/>
          <w:divBdr>
            <w:top w:val="none" w:sz="0" w:space="0" w:color="auto"/>
            <w:left w:val="none" w:sz="0" w:space="0" w:color="auto"/>
            <w:bottom w:val="none" w:sz="0" w:space="0" w:color="auto"/>
            <w:right w:val="none" w:sz="0" w:space="0" w:color="auto"/>
          </w:divBdr>
        </w:div>
        <w:div w:id="489255988">
          <w:marLeft w:val="0"/>
          <w:marRight w:val="0"/>
          <w:marTop w:val="0"/>
          <w:marBottom w:val="0"/>
          <w:divBdr>
            <w:top w:val="none" w:sz="0" w:space="0" w:color="auto"/>
            <w:left w:val="none" w:sz="0" w:space="0" w:color="auto"/>
            <w:bottom w:val="none" w:sz="0" w:space="0" w:color="auto"/>
            <w:right w:val="none" w:sz="0" w:space="0" w:color="auto"/>
          </w:divBdr>
        </w:div>
        <w:div w:id="339042988">
          <w:marLeft w:val="0"/>
          <w:marRight w:val="0"/>
          <w:marTop w:val="0"/>
          <w:marBottom w:val="0"/>
          <w:divBdr>
            <w:top w:val="none" w:sz="0" w:space="0" w:color="auto"/>
            <w:left w:val="none" w:sz="0" w:space="0" w:color="auto"/>
            <w:bottom w:val="none" w:sz="0" w:space="0" w:color="auto"/>
            <w:right w:val="none" w:sz="0" w:space="0" w:color="auto"/>
          </w:divBdr>
        </w:div>
        <w:div w:id="244535418">
          <w:marLeft w:val="0"/>
          <w:marRight w:val="0"/>
          <w:marTop w:val="0"/>
          <w:marBottom w:val="0"/>
          <w:divBdr>
            <w:top w:val="none" w:sz="0" w:space="0" w:color="auto"/>
            <w:left w:val="none" w:sz="0" w:space="0" w:color="auto"/>
            <w:bottom w:val="none" w:sz="0" w:space="0" w:color="auto"/>
            <w:right w:val="none" w:sz="0" w:space="0" w:color="auto"/>
          </w:divBdr>
        </w:div>
        <w:div w:id="2035810844">
          <w:marLeft w:val="0"/>
          <w:marRight w:val="0"/>
          <w:marTop w:val="0"/>
          <w:marBottom w:val="0"/>
          <w:divBdr>
            <w:top w:val="none" w:sz="0" w:space="0" w:color="auto"/>
            <w:left w:val="none" w:sz="0" w:space="0" w:color="auto"/>
            <w:bottom w:val="none" w:sz="0" w:space="0" w:color="auto"/>
            <w:right w:val="none" w:sz="0" w:space="0" w:color="auto"/>
          </w:divBdr>
        </w:div>
        <w:div w:id="1925991815">
          <w:marLeft w:val="0"/>
          <w:marRight w:val="0"/>
          <w:marTop w:val="0"/>
          <w:marBottom w:val="0"/>
          <w:divBdr>
            <w:top w:val="none" w:sz="0" w:space="0" w:color="auto"/>
            <w:left w:val="none" w:sz="0" w:space="0" w:color="auto"/>
            <w:bottom w:val="none" w:sz="0" w:space="0" w:color="auto"/>
            <w:right w:val="none" w:sz="0" w:space="0" w:color="auto"/>
          </w:divBdr>
        </w:div>
      </w:divsChild>
    </w:div>
    <w:div w:id="1308315468">
      <w:bodyDiv w:val="1"/>
      <w:marLeft w:val="0"/>
      <w:marRight w:val="0"/>
      <w:marTop w:val="0"/>
      <w:marBottom w:val="0"/>
      <w:divBdr>
        <w:top w:val="none" w:sz="0" w:space="0" w:color="auto"/>
        <w:left w:val="none" w:sz="0" w:space="0" w:color="auto"/>
        <w:bottom w:val="none" w:sz="0" w:space="0" w:color="auto"/>
        <w:right w:val="none" w:sz="0" w:space="0" w:color="auto"/>
      </w:divBdr>
    </w:div>
    <w:div w:id="1342776377">
      <w:bodyDiv w:val="1"/>
      <w:marLeft w:val="0"/>
      <w:marRight w:val="0"/>
      <w:marTop w:val="0"/>
      <w:marBottom w:val="0"/>
      <w:divBdr>
        <w:top w:val="none" w:sz="0" w:space="0" w:color="auto"/>
        <w:left w:val="none" w:sz="0" w:space="0" w:color="auto"/>
        <w:bottom w:val="none" w:sz="0" w:space="0" w:color="auto"/>
        <w:right w:val="none" w:sz="0" w:space="0" w:color="auto"/>
      </w:divBdr>
    </w:div>
    <w:div w:id="1359812850">
      <w:bodyDiv w:val="1"/>
      <w:marLeft w:val="0"/>
      <w:marRight w:val="0"/>
      <w:marTop w:val="0"/>
      <w:marBottom w:val="0"/>
      <w:divBdr>
        <w:top w:val="none" w:sz="0" w:space="0" w:color="auto"/>
        <w:left w:val="none" w:sz="0" w:space="0" w:color="auto"/>
        <w:bottom w:val="none" w:sz="0" w:space="0" w:color="auto"/>
        <w:right w:val="none" w:sz="0" w:space="0" w:color="auto"/>
      </w:divBdr>
    </w:div>
    <w:div w:id="1470586947">
      <w:bodyDiv w:val="1"/>
      <w:marLeft w:val="0"/>
      <w:marRight w:val="0"/>
      <w:marTop w:val="0"/>
      <w:marBottom w:val="0"/>
      <w:divBdr>
        <w:top w:val="none" w:sz="0" w:space="0" w:color="auto"/>
        <w:left w:val="none" w:sz="0" w:space="0" w:color="auto"/>
        <w:bottom w:val="none" w:sz="0" w:space="0" w:color="auto"/>
        <w:right w:val="none" w:sz="0" w:space="0" w:color="auto"/>
      </w:divBdr>
    </w:div>
    <w:div w:id="1478958498">
      <w:bodyDiv w:val="1"/>
      <w:marLeft w:val="0"/>
      <w:marRight w:val="0"/>
      <w:marTop w:val="0"/>
      <w:marBottom w:val="0"/>
      <w:divBdr>
        <w:top w:val="none" w:sz="0" w:space="0" w:color="auto"/>
        <w:left w:val="none" w:sz="0" w:space="0" w:color="auto"/>
        <w:bottom w:val="none" w:sz="0" w:space="0" w:color="auto"/>
        <w:right w:val="none" w:sz="0" w:space="0" w:color="auto"/>
      </w:divBdr>
    </w:div>
    <w:div w:id="1494107335">
      <w:bodyDiv w:val="1"/>
      <w:marLeft w:val="0"/>
      <w:marRight w:val="0"/>
      <w:marTop w:val="0"/>
      <w:marBottom w:val="0"/>
      <w:divBdr>
        <w:top w:val="none" w:sz="0" w:space="0" w:color="auto"/>
        <w:left w:val="none" w:sz="0" w:space="0" w:color="auto"/>
        <w:bottom w:val="none" w:sz="0" w:space="0" w:color="auto"/>
        <w:right w:val="none" w:sz="0" w:space="0" w:color="auto"/>
      </w:divBdr>
    </w:div>
    <w:div w:id="1535458412">
      <w:bodyDiv w:val="1"/>
      <w:marLeft w:val="0"/>
      <w:marRight w:val="0"/>
      <w:marTop w:val="0"/>
      <w:marBottom w:val="0"/>
      <w:divBdr>
        <w:top w:val="none" w:sz="0" w:space="0" w:color="auto"/>
        <w:left w:val="none" w:sz="0" w:space="0" w:color="auto"/>
        <w:bottom w:val="none" w:sz="0" w:space="0" w:color="auto"/>
        <w:right w:val="none" w:sz="0" w:space="0" w:color="auto"/>
      </w:divBdr>
    </w:div>
    <w:div w:id="1562521687">
      <w:bodyDiv w:val="1"/>
      <w:marLeft w:val="0"/>
      <w:marRight w:val="0"/>
      <w:marTop w:val="0"/>
      <w:marBottom w:val="0"/>
      <w:divBdr>
        <w:top w:val="none" w:sz="0" w:space="0" w:color="auto"/>
        <w:left w:val="none" w:sz="0" w:space="0" w:color="auto"/>
        <w:bottom w:val="none" w:sz="0" w:space="0" w:color="auto"/>
        <w:right w:val="none" w:sz="0" w:space="0" w:color="auto"/>
      </w:divBdr>
    </w:div>
    <w:div w:id="1571577367">
      <w:bodyDiv w:val="1"/>
      <w:marLeft w:val="0"/>
      <w:marRight w:val="0"/>
      <w:marTop w:val="0"/>
      <w:marBottom w:val="0"/>
      <w:divBdr>
        <w:top w:val="none" w:sz="0" w:space="0" w:color="auto"/>
        <w:left w:val="none" w:sz="0" w:space="0" w:color="auto"/>
        <w:bottom w:val="none" w:sz="0" w:space="0" w:color="auto"/>
        <w:right w:val="none" w:sz="0" w:space="0" w:color="auto"/>
      </w:divBdr>
    </w:div>
    <w:div w:id="1598979869">
      <w:bodyDiv w:val="1"/>
      <w:marLeft w:val="0"/>
      <w:marRight w:val="0"/>
      <w:marTop w:val="0"/>
      <w:marBottom w:val="0"/>
      <w:divBdr>
        <w:top w:val="none" w:sz="0" w:space="0" w:color="auto"/>
        <w:left w:val="none" w:sz="0" w:space="0" w:color="auto"/>
        <w:bottom w:val="none" w:sz="0" w:space="0" w:color="auto"/>
        <w:right w:val="none" w:sz="0" w:space="0" w:color="auto"/>
      </w:divBdr>
    </w:div>
    <w:div w:id="1604418602">
      <w:bodyDiv w:val="1"/>
      <w:marLeft w:val="0"/>
      <w:marRight w:val="0"/>
      <w:marTop w:val="0"/>
      <w:marBottom w:val="0"/>
      <w:divBdr>
        <w:top w:val="none" w:sz="0" w:space="0" w:color="auto"/>
        <w:left w:val="none" w:sz="0" w:space="0" w:color="auto"/>
        <w:bottom w:val="none" w:sz="0" w:space="0" w:color="auto"/>
        <w:right w:val="none" w:sz="0" w:space="0" w:color="auto"/>
      </w:divBdr>
      <w:divsChild>
        <w:div w:id="1195534171">
          <w:marLeft w:val="0"/>
          <w:marRight w:val="0"/>
          <w:marTop w:val="0"/>
          <w:marBottom w:val="0"/>
          <w:divBdr>
            <w:top w:val="none" w:sz="0" w:space="0" w:color="auto"/>
            <w:left w:val="none" w:sz="0" w:space="0" w:color="auto"/>
            <w:bottom w:val="none" w:sz="0" w:space="0" w:color="auto"/>
            <w:right w:val="none" w:sz="0" w:space="0" w:color="auto"/>
          </w:divBdr>
        </w:div>
        <w:div w:id="1062169454">
          <w:marLeft w:val="0"/>
          <w:marRight w:val="0"/>
          <w:marTop w:val="0"/>
          <w:marBottom w:val="0"/>
          <w:divBdr>
            <w:top w:val="none" w:sz="0" w:space="0" w:color="auto"/>
            <w:left w:val="none" w:sz="0" w:space="0" w:color="auto"/>
            <w:bottom w:val="none" w:sz="0" w:space="0" w:color="auto"/>
            <w:right w:val="none" w:sz="0" w:space="0" w:color="auto"/>
          </w:divBdr>
        </w:div>
        <w:div w:id="2067414586">
          <w:marLeft w:val="0"/>
          <w:marRight w:val="0"/>
          <w:marTop w:val="0"/>
          <w:marBottom w:val="0"/>
          <w:divBdr>
            <w:top w:val="none" w:sz="0" w:space="0" w:color="auto"/>
            <w:left w:val="none" w:sz="0" w:space="0" w:color="auto"/>
            <w:bottom w:val="none" w:sz="0" w:space="0" w:color="auto"/>
            <w:right w:val="none" w:sz="0" w:space="0" w:color="auto"/>
          </w:divBdr>
        </w:div>
        <w:div w:id="1066025540">
          <w:marLeft w:val="0"/>
          <w:marRight w:val="0"/>
          <w:marTop w:val="0"/>
          <w:marBottom w:val="0"/>
          <w:divBdr>
            <w:top w:val="none" w:sz="0" w:space="0" w:color="auto"/>
            <w:left w:val="none" w:sz="0" w:space="0" w:color="auto"/>
            <w:bottom w:val="none" w:sz="0" w:space="0" w:color="auto"/>
            <w:right w:val="none" w:sz="0" w:space="0" w:color="auto"/>
          </w:divBdr>
        </w:div>
        <w:div w:id="963735213">
          <w:marLeft w:val="0"/>
          <w:marRight w:val="0"/>
          <w:marTop w:val="0"/>
          <w:marBottom w:val="0"/>
          <w:divBdr>
            <w:top w:val="none" w:sz="0" w:space="0" w:color="auto"/>
            <w:left w:val="none" w:sz="0" w:space="0" w:color="auto"/>
            <w:bottom w:val="none" w:sz="0" w:space="0" w:color="auto"/>
            <w:right w:val="none" w:sz="0" w:space="0" w:color="auto"/>
          </w:divBdr>
        </w:div>
        <w:div w:id="3170100">
          <w:marLeft w:val="0"/>
          <w:marRight w:val="0"/>
          <w:marTop w:val="0"/>
          <w:marBottom w:val="0"/>
          <w:divBdr>
            <w:top w:val="none" w:sz="0" w:space="0" w:color="auto"/>
            <w:left w:val="none" w:sz="0" w:space="0" w:color="auto"/>
            <w:bottom w:val="none" w:sz="0" w:space="0" w:color="auto"/>
            <w:right w:val="none" w:sz="0" w:space="0" w:color="auto"/>
          </w:divBdr>
        </w:div>
        <w:div w:id="1978025202">
          <w:marLeft w:val="0"/>
          <w:marRight w:val="0"/>
          <w:marTop w:val="0"/>
          <w:marBottom w:val="0"/>
          <w:divBdr>
            <w:top w:val="none" w:sz="0" w:space="0" w:color="auto"/>
            <w:left w:val="none" w:sz="0" w:space="0" w:color="auto"/>
            <w:bottom w:val="none" w:sz="0" w:space="0" w:color="auto"/>
            <w:right w:val="none" w:sz="0" w:space="0" w:color="auto"/>
          </w:divBdr>
        </w:div>
        <w:div w:id="606279117">
          <w:marLeft w:val="0"/>
          <w:marRight w:val="0"/>
          <w:marTop w:val="0"/>
          <w:marBottom w:val="0"/>
          <w:divBdr>
            <w:top w:val="none" w:sz="0" w:space="0" w:color="auto"/>
            <w:left w:val="none" w:sz="0" w:space="0" w:color="auto"/>
            <w:bottom w:val="none" w:sz="0" w:space="0" w:color="auto"/>
            <w:right w:val="none" w:sz="0" w:space="0" w:color="auto"/>
          </w:divBdr>
        </w:div>
        <w:div w:id="2010400196">
          <w:marLeft w:val="0"/>
          <w:marRight w:val="0"/>
          <w:marTop w:val="0"/>
          <w:marBottom w:val="0"/>
          <w:divBdr>
            <w:top w:val="none" w:sz="0" w:space="0" w:color="auto"/>
            <w:left w:val="none" w:sz="0" w:space="0" w:color="auto"/>
            <w:bottom w:val="none" w:sz="0" w:space="0" w:color="auto"/>
            <w:right w:val="none" w:sz="0" w:space="0" w:color="auto"/>
          </w:divBdr>
        </w:div>
        <w:div w:id="188614270">
          <w:marLeft w:val="0"/>
          <w:marRight w:val="0"/>
          <w:marTop w:val="0"/>
          <w:marBottom w:val="0"/>
          <w:divBdr>
            <w:top w:val="none" w:sz="0" w:space="0" w:color="auto"/>
            <w:left w:val="none" w:sz="0" w:space="0" w:color="auto"/>
            <w:bottom w:val="none" w:sz="0" w:space="0" w:color="auto"/>
            <w:right w:val="none" w:sz="0" w:space="0" w:color="auto"/>
          </w:divBdr>
        </w:div>
        <w:div w:id="245384605">
          <w:marLeft w:val="0"/>
          <w:marRight w:val="0"/>
          <w:marTop w:val="0"/>
          <w:marBottom w:val="0"/>
          <w:divBdr>
            <w:top w:val="none" w:sz="0" w:space="0" w:color="auto"/>
            <w:left w:val="none" w:sz="0" w:space="0" w:color="auto"/>
            <w:bottom w:val="none" w:sz="0" w:space="0" w:color="auto"/>
            <w:right w:val="none" w:sz="0" w:space="0" w:color="auto"/>
          </w:divBdr>
        </w:div>
        <w:div w:id="943002406">
          <w:marLeft w:val="0"/>
          <w:marRight w:val="0"/>
          <w:marTop w:val="0"/>
          <w:marBottom w:val="0"/>
          <w:divBdr>
            <w:top w:val="none" w:sz="0" w:space="0" w:color="auto"/>
            <w:left w:val="none" w:sz="0" w:space="0" w:color="auto"/>
            <w:bottom w:val="none" w:sz="0" w:space="0" w:color="auto"/>
            <w:right w:val="none" w:sz="0" w:space="0" w:color="auto"/>
          </w:divBdr>
        </w:div>
        <w:div w:id="371542144">
          <w:marLeft w:val="0"/>
          <w:marRight w:val="0"/>
          <w:marTop w:val="0"/>
          <w:marBottom w:val="0"/>
          <w:divBdr>
            <w:top w:val="none" w:sz="0" w:space="0" w:color="auto"/>
            <w:left w:val="none" w:sz="0" w:space="0" w:color="auto"/>
            <w:bottom w:val="none" w:sz="0" w:space="0" w:color="auto"/>
            <w:right w:val="none" w:sz="0" w:space="0" w:color="auto"/>
          </w:divBdr>
        </w:div>
        <w:div w:id="2010054886">
          <w:marLeft w:val="0"/>
          <w:marRight w:val="0"/>
          <w:marTop w:val="0"/>
          <w:marBottom w:val="0"/>
          <w:divBdr>
            <w:top w:val="none" w:sz="0" w:space="0" w:color="auto"/>
            <w:left w:val="none" w:sz="0" w:space="0" w:color="auto"/>
            <w:bottom w:val="none" w:sz="0" w:space="0" w:color="auto"/>
            <w:right w:val="none" w:sz="0" w:space="0" w:color="auto"/>
          </w:divBdr>
        </w:div>
        <w:div w:id="231427013">
          <w:marLeft w:val="0"/>
          <w:marRight w:val="0"/>
          <w:marTop w:val="0"/>
          <w:marBottom w:val="0"/>
          <w:divBdr>
            <w:top w:val="none" w:sz="0" w:space="0" w:color="auto"/>
            <w:left w:val="none" w:sz="0" w:space="0" w:color="auto"/>
            <w:bottom w:val="none" w:sz="0" w:space="0" w:color="auto"/>
            <w:right w:val="none" w:sz="0" w:space="0" w:color="auto"/>
          </w:divBdr>
        </w:div>
      </w:divsChild>
    </w:div>
    <w:div w:id="1630626369">
      <w:bodyDiv w:val="1"/>
      <w:marLeft w:val="0"/>
      <w:marRight w:val="0"/>
      <w:marTop w:val="0"/>
      <w:marBottom w:val="0"/>
      <w:divBdr>
        <w:top w:val="none" w:sz="0" w:space="0" w:color="auto"/>
        <w:left w:val="none" w:sz="0" w:space="0" w:color="auto"/>
        <w:bottom w:val="none" w:sz="0" w:space="0" w:color="auto"/>
        <w:right w:val="none" w:sz="0" w:space="0" w:color="auto"/>
      </w:divBdr>
    </w:div>
    <w:div w:id="1670718591">
      <w:bodyDiv w:val="1"/>
      <w:marLeft w:val="0"/>
      <w:marRight w:val="0"/>
      <w:marTop w:val="0"/>
      <w:marBottom w:val="0"/>
      <w:divBdr>
        <w:top w:val="none" w:sz="0" w:space="0" w:color="auto"/>
        <w:left w:val="none" w:sz="0" w:space="0" w:color="auto"/>
        <w:bottom w:val="none" w:sz="0" w:space="0" w:color="auto"/>
        <w:right w:val="none" w:sz="0" w:space="0" w:color="auto"/>
      </w:divBdr>
    </w:div>
    <w:div w:id="1722746513">
      <w:bodyDiv w:val="1"/>
      <w:marLeft w:val="0"/>
      <w:marRight w:val="0"/>
      <w:marTop w:val="0"/>
      <w:marBottom w:val="0"/>
      <w:divBdr>
        <w:top w:val="none" w:sz="0" w:space="0" w:color="auto"/>
        <w:left w:val="none" w:sz="0" w:space="0" w:color="auto"/>
        <w:bottom w:val="none" w:sz="0" w:space="0" w:color="auto"/>
        <w:right w:val="none" w:sz="0" w:space="0" w:color="auto"/>
      </w:divBdr>
    </w:div>
    <w:div w:id="1724862285">
      <w:bodyDiv w:val="1"/>
      <w:marLeft w:val="0"/>
      <w:marRight w:val="0"/>
      <w:marTop w:val="0"/>
      <w:marBottom w:val="0"/>
      <w:divBdr>
        <w:top w:val="none" w:sz="0" w:space="0" w:color="auto"/>
        <w:left w:val="none" w:sz="0" w:space="0" w:color="auto"/>
        <w:bottom w:val="none" w:sz="0" w:space="0" w:color="auto"/>
        <w:right w:val="none" w:sz="0" w:space="0" w:color="auto"/>
      </w:divBdr>
    </w:div>
    <w:div w:id="1743285634">
      <w:bodyDiv w:val="1"/>
      <w:marLeft w:val="0"/>
      <w:marRight w:val="0"/>
      <w:marTop w:val="0"/>
      <w:marBottom w:val="0"/>
      <w:divBdr>
        <w:top w:val="none" w:sz="0" w:space="0" w:color="auto"/>
        <w:left w:val="none" w:sz="0" w:space="0" w:color="auto"/>
        <w:bottom w:val="none" w:sz="0" w:space="0" w:color="auto"/>
        <w:right w:val="none" w:sz="0" w:space="0" w:color="auto"/>
      </w:divBdr>
    </w:div>
    <w:div w:id="1809472707">
      <w:bodyDiv w:val="1"/>
      <w:marLeft w:val="0"/>
      <w:marRight w:val="0"/>
      <w:marTop w:val="0"/>
      <w:marBottom w:val="0"/>
      <w:divBdr>
        <w:top w:val="none" w:sz="0" w:space="0" w:color="auto"/>
        <w:left w:val="none" w:sz="0" w:space="0" w:color="auto"/>
        <w:bottom w:val="none" w:sz="0" w:space="0" w:color="auto"/>
        <w:right w:val="none" w:sz="0" w:space="0" w:color="auto"/>
      </w:divBdr>
    </w:div>
    <w:div w:id="1849901028">
      <w:bodyDiv w:val="1"/>
      <w:marLeft w:val="0"/>
      <w:marRight w:val="0"/>
      <w:marTop w:val="0"/>
      <w:marBottom w:val="0"/>
      <w:divBdr>
        <w:top w:val="none" w:sz="0" w:space="0" w:color="auto"/>
        <w:left w:val="none" w:sz="0" w:space="0" w:color="auto"/>
        <w:bottom w:val="none" w:sz="0" w:space="0" w:color="auto"/>
        <w:right w:val="none" w:sz="0" w:space="0" w:color="auto"/>
      </w:divBdr>
    </w:div>
    <w:div w:id="1869948913">
      <w:bodyDiv w:val="1"/>
      <w:marLeft w:val="0"/>
      <w:marRight w:val="0"/>
      <w:marTop w:val="0"/>
      <w:marBottom w:val="0"/>
      <w:divBdr>
        <w:top w:val="none" w:sz="0" w:space="0" w:color="auto"/>
        <w:left w:val="none" w:sz="0" w:space="0" w:color="auto"/>
        <w:bottom w:val="none" w:sz="0" w:space="0" w:color="auto"/>
        <w:right w:val="none" w:sz="0" w:space="0" w:color="auto"/>
      </w:divBdr>
    </w:div>
    <w:div w:id="1913080570">
      <w:bodyDiv w:val="1"/>
      <w:marLeft w:val="0"/>
      <w:marRight w:val="0"/>
      <w:marTop w:val="0"/>
      <w:marBottom w:val="0"/>
      <w:divBdr>
        <w:top w:val="none" w:sz="0" w:space="0" w:color="auto"/>
        <w:left w:val="none" w:sz="0" w:space="0" w:color="auto"/>
        <w:bottom w:val="none" w:sz="0" w:space="0" w:color="auto"/>
        <w:right w:val="none" w:sz="0" w:space="0" w:color="auto"/>
      </w:divBdr>
    </w:div>
    <w:div w:id="1918592341">
      <w:bodyDiv w:val="1"/>
      <w:marLeft w:val="0"/>
      <w:marRight w:val="0"/>
      <w:marTop w:val="0"/>
      <w:marBottom w:val="0"/>
      <w:divBdr>
        <w:top w:val="none" w:sz="0" w:space="0" w:color="auto"/>
        <w:left w:val="none" w:sz="0" w:space="0" w:color="auto"/>
        <w:bottom w:val="none" w:sz="0" w:space="0" w:color="auto"/>
        <w:right w:val="none" w:sz="0" w:space="0" w:color="auto"/>
      </w:divBdr>
    </w:div>
    <w:div w:id="1930232308">
      <w:bodyDiv w:val="1"/>
      <w:marLeft w:val="0"/>
      <w:marRight w:val="0"/>
      <w:marTop w:val="0"/>
      <w:marBottom w:val="0"/>
      <w:divBdr>
        <w:top w:val="none" w:sz="0" w:space="0" w:color="auto"/>
        <w:left w:val="none" w:sz="0" w:space="0" w:color="auto"/>
        <w:bottom w:val="none" w:sz="0" w:space="0" w:color="auto"/>
        <w:right w:val="none" w:sz="0" w:space="0" w:color="auto"/>
      </w:divBdr>
    </w:div>
    <w:div w:id="1933663354">
      <w:bodyDiv w:val="1"/>
      <w:marLeft w:val="0"/>
      <w:marRight w:val="0"/>
      <w:marTop w:val="0"/>
      <w:marBottom w:val="0"/>
      <w:divBdr>
        <w:top w:val="none" w:sz="0" w:space="0" w:color="auto"/>
        <w:left w:val="none" w:sz="0" w:space="0" w:color="auto"/>
        <w:bottom w:val="none" w:sz="0" w:space="0" w:color="auto"/>
        <w:right w:val="none" w:sz="0" w:space="0" w:color="auto"/>
      </w:divBdr>
    </w:div>
    <w:div w:id="1951469739">
      <w:bodyDiv w:val="1"/>
      <w:marLeft w:val="0"/>
      <w:marRight w:val="0"/>
      <w:marTop w:val="0"/>
      <w:marBottom w:val="0"/>
      <w:divBdr>
        <w:top w:val="none" w:sz="0" w:space="0" w:color="auto"/>
        <w:left w:val="none" w:sz="0" w:space="0" w:color="auto"/>
        <w:bottom w:val="none" w:sz="0" w:space="0" w:color="auto"/>
        <w:right w:val="none" w:sz="0" w:space="0" w:color="auto"/>
      </w:divBdr>
    </w:div>
    <w:div w:id="1956591402">
      <w:bodyDiv w:val="1"/>
      <w:marLeft w:val="0"/>
      <w:marRight w:val="0"/>
      <w:marTop w:val="0"/>
      <w:marBottom w:val="0"/>
      <w:divBdr>
        <w:top w:val="none" w:sz="0" w:space="0" w:color="auto"/>
        <w:left w:val="none" w:sz="0" w:space="0" w:color="auto"/>
        <w:bottom w:val="none" w:sz="0" w:space="0" w:color="auto"/>
        <w:right w:val="none" w:sz="0" w:space="0" w:color="auto"/>
      </w:divBdr>
    </w:div>
    <w:div w:id="1972856664">
      <w:bodyDiv w:val="1"/>
      <w:marLeft w:val="0"/>
      <w:marRight w:val="0"/>
      <w:marTop w:val="0"/>
      <w:marBottom w:val="0"/>
      <w:divBdr>
        <w:top w:val="none" w:sz="0" w:space="0" w:color="auto"/>
        <w:left w:val="none" w:sz="0" w:space="0" w:color="auto"/>
        <w:bottom w:val="none" w:sz="0" w:space="0" w:color="auto"/>
        <w:right w:val="none" w:sz="0" w:space="0" w:color="auto"/>
      </w:divBdr>
    </w:div>
    <w:div w:id="1998457608">
      <w:bodyDiv w:val="1"/>
      <w:marLeft w:val="0"/>
      <w:marRight w:val="0"/>
      <w:marTop w:val="0"/>
      <w:marBottom w:val="0"/>
      <w:divBdr>
        <w:top w:val="none" w:sz="0" w:space="0" w:color="auto"/>
        <w:left w:val="none" w:sz="0" w:space="0" w:color="auto"/>
        <w:bottom w:val="none" w:sz="0" w:space="0" w:color="auto"/>
        <w:right w:val="none" w:sz="0" w:space="0" w:color="auto"/>
      </w:divBdr>
    </w:div>
    <w:div w:id="2001159129">
      <w:bodyDiv w:val="1"/>
      <w:marLeft w:val="0"/>
      <w:marRight w:val="0"/>
      <w:marTop w:val="0"/>
      <w:marBottom w:val="0"/>
      <w:divBdr>
        <w:top w:val="none" w:sz="0" w:space="0" w:color="auto"/>
        <w:left w:val="none" w:sz="0" w:space="0" w:color="auto"/>
        <w:bottom w:val="none" w:sz="0" w:space="0" w:color="auto"/>
        <w:right w:val="none" w:sz="0" w:space="0" w:color="auto"/>
      </w:divBdr>
    </w:div>
    <w:div w:id="2009285355">
      <w:bodyDiv w:val="1"/>
      <w:marLeft w:val="0"/>
      <w:marRight w:val="0"/>
      <w:marTop w:val="0"/>
      <w:marBottom w:val="0"/>
      <w:divBdr>
        <w:top w:val="none" w:sz="0" w:space="0" w:color="auto"/>
        <w:left w:val="none" w:sz="0" w:space="0" w:color="auto"/>
        <w:bottom w:val="none" w:sz="0" w:space="0" w:color="auto"/>
        <w:right w:val="none" w:sz="0" w:space="0" w:color="auto"/>
      </w:divBdr>
    </w:div>
    <w:div w:id="2010792763">
      <w:bodyDiv w:val="1"/>
      <w:marLeft w:val="0"/>
      <w:marRight w:val="0"/>
      <w:marTop w:val="0"/>
      <w:marBottom w:val="0"/>
      <w:divBdr>
        <w:top w:val="none" w:sz="0" w:space="0" w:color="auto"/>
        <w:left w:val="none" w:sz="0" w:space="0" w:color="auto"/>
        <w:bottom w:val="none" w:sz="0" w:space="0" w:color="auto"/>
        <w:right w:val="none" w:sz="0" w:space="0" w:color="auto"/>
      </w:divBdr>
    </w:div>
    <w:div w:id="2020817102">
      <w:bodyDiv w:val="1"/>
      <w:marLeft w:val="0"/>
      <w:marRight w:val="0"/>
      <w:marTop w:val="0"/>
      <w:marBottom w:val="0"/>
      <w:divBdr>
        <w:top w:val="none" w:sz="0" w:space="0" w:color="auto"/>
        <w:left w:val="none" w:sz="0" w:space="0" w:color="auto"/>
        <w:bottom w:val="none" w:sz="0" w:space="0" w:color="auto"/>
        <w:right w:val="none" w:sz="0" w:space="0" w:color="auto"/>
      </w:divBdr>
    </w:div>
    <w:div w:id="2029747603">
      <w:bodyDiv w:val="1"/>
      <w:marLeft w:val="0"/>
      <w:marRight w:val="0"/>
      <w:marTop w:val="0"/>
      <w:marBottom w:val="0"/>
      <w:divBdr>
        <w:top w:val="none" w:sz="0" w:space="0" w:color="auto"/>
        <w:left w:val="none" w:sz="0" w:space="0" w:color="auto"/>
        <w:bottom w:val="none" w:sz="0" w:space="0" w:color="auto"/>
        <w:right w:val="none" w:sz="0" w:space="0" w:color="auto"/>
      </w:divBdr>
    </w:div>
    <w:div w:id="2043749576">
      <w:bodyDiv w:val="1"/>
      <w:marLeft w:val="0"/>
      <w:marRight w:val="0"/>
      <w:marTop w:val="0"/>
      <w:marBottom w:val="0"/>
      <w:divBdr>
        <w:top w:val="none" w:sz="0" w:space="0" w:color="auto"/>
        <w:left w:val="none" w:sz="0" w:space="0" w:color="auto"/>
        <w:bottom w:val="none" w:sz="0" w:space="0" w:color="auto"/>
        <w:right w:val="none" w:sz="0" w:space="0" w:color="auto"/>
      </w:divBdr>
    </w:div>
    <w:div w:id="2066293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04430.2020.186771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arlyyears.wale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978-3-030-75733-2" TargetMode="External"/><Relationship Id="rId5" Type="http://schemas.openxmlformats.org/officeDocument/2006/relationships/footnotes" Target="footnotes.xml"/><Relationship Id="rId10" Type="http://schemas.openxmlformats.org/officeDocument/2006/relationships/hyperlink" Target="https://doi.org/10.1186/s40723-021-00090-5" TargetMode="External"/><Relationship Id="rId4" Type="http://schemas.openxmlformats.org/officeDocument/2006/relationships/webSettings" Target="webSettings.xml"/><Relationship Id="rId9" Type="http://schemas.openxmlformats.org/officeDocument/2006/relationships/hyperlink" Target="https://doi.org/10.1177/1476718X21101567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8944</TotalTime>
  <Pages>7</Pages>
  <Words>2634</Words>
  <Characters>15018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Aleisha Camille Johnson</dc:creator>
  <cp:keywords/>
  <dc:description/>
  <cp:lastModifiedBy>Aleisha Camille Johnson</cp:lastModifiedBy>
  <cp:revision>29</cp:revision>
  <cp:lastPrinted>2025-03-23T17:36:00Z</cp:lastPrinted>
  <dcterms:created xsi:type="dcterms:W3CDTF">2025-03-23T17:35:00Z</dcterms:created>
  <dcterms:modified xsi:type="dcterms:W3CDTF">2025-03-30T20:59:00Z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ebb9913c-4ea1-4180-bacb-5d070347f6de</vt:lpwstr>
  </property>
</Properties>
</file>