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5873B" w14:textId="77777777" w:rsidR="003703AE" w:rsidRDefault="003703AE" w:rsidP="008A1392"/>
    <w:p w14:paraId="1FC8A75E" w14:textId="77777777" w:rsidR="003703AE" w:rsidRPr="00B36CF4" w:rsidRDefault="003703AE" w:rsidP="008A1392">
      <w:pPr>
        <w:rPr>
          <w:b/>
          <w:bCs/>
          <w:sz w:val="40"/>
          <w:szCs w:val="40"/>
        </w:rPr>
      </w:pPr>
      <w:r w:rsidRPr="00B36CF4">
        <w:rPr>
          <w:b/>
          <w:bCs/>
          <w:sz w:val="40"/>
          <w:szCs w:val="40"/>
        </w:rPr>
        <w:t xml:space="preserve">Introduction </w:t>
      </w:r>
    </w:p>
    <w:p w14:paraId="1F8324AD" w14:textId="77777777" w:rsidR="003703AE" w:rsidRDefault="003703AE" w:rsidP="008A1392"/>
    <w:p w14:paraId="23BC742A" w14:textId="77777777" w:rsidR="003703AE" w:rsidRDefault="003703AE" w:rsidP="008A1392"/>
    <w:p w14:paraId="4FBE0F2D" w14:textId="3F1B32FC" w:rsidR="008A1392" w:rsidRDefault="008A1392" w:rsidP="008A1392">
      <w:r>
        <w:t xml:space="preserve">Coaching and mentoring play integral roles in fostering personal and professional development within healthcare </w:t>
      </w:r>
      <w:r w:rsidR="002B24A7">
        <w:t>organisations</w:t>
      </w:r>
      <w:r>
        <w:t xml:space="preserve">. While both disciplines share similarities, they also have distinct characteristics and applications. This paper provides an overview of coaching and mentoring, explores their differences, outlines the benefits of implementing coaching and mentoring programs, discusses the concept of a coaching culture, delineates key steps for rolling out effective programs, and examines the opportunities presented by technology in this </w:t>
      </w:r>
      <w:r w:rsidR="002B24A7">
        <w:t>endeavour</w:t>
      </w:r>
      <w:r w:rsidR="00D9473D">
        <w:t xml:space="preserve"> </w:t>
      </w:r>
      <w:r w:rsidR="005573B3">
        <w:t>(</w:t>
      </w:r>
      <w:r w:rsidR="00D9473D">
        <w:t>B</w:t>
      </w:r>
      <w:r w:rsidR="00A37399">
        <w:t>arden, 2</w:t>
      </w:r>
      <w:r w:rsidR="005573B3">
        <w:t>006).</w:t>
      </w:r>
    </w:p>
    <w:p w14:paraId="495909EA" w14:textId="77777777" w:rsidR="008A1392" w:rsidRDefault="008A1392" w:rsidP="008A1392"/>
    <w:p w14:paraId="77DE244E" w14:textId="77777777" w:rsidR="008A1392" w:rsidRDefault="008A1392" w:rsidP="008A1392">
      <w:r>
        <w:t>An Overview of Coaching and Mentoring:</w:t>
      </w:r>
    </w:p>
    <w:p w14:paraId="0791D439" w14:textId="731A417B" w:rsidR="00997939" w:rsidRDefault="008A1392" w:rsidP="00997939">
      <w:r>
        <w:t xml:space="preserve">Coaching and mentoring are two approaches aimed at supporting individuals in achieving their goals, enhancing their skills, and </w:t>
      </w:r>
      <w:r w:rsidR="002B24A7">
        <w:t>maximising</w:t>
      </w:r>
      <w:r>
        <w:t xml:space="preserve"> their potential. Coaching typically involves a structured process where a coach facilitates the learning and development of a </w:t>
      </w:r>
      <w:r w:rsidR="002B24A7">
        <w:t>coached</w:t>
      </w:r>
      <w:r w:rsidR="00997939">
        <w:t xml:space="preserve"> through goal setting, feedback, and accountability. Mentoring, on the other hand, is </w:t>
      </w:r>
      <w:r w:rsidR="00FE4D34">
        <w:t>characterised</w:t>
      </w:r>
      <w:r w:rsidR="00997939">
        <w:t xml:space="preserve"> by a more informal relationship where an experienced individual (mentor) provides guidance, advice, and support to a less experienced individual (mentee) based on their own experiences and insights</w:t>
      </w:r>
      <w:r w:rsidR="00E657F4">
        <w:t xml:space="preserve"> </w:t>
      </w:r>
      <w:r w:rsidR="00F8334B">
        <w:t>(</w:t>
      </w:r>
      <w:r w:rsidR="00E657F4">
        <w:t>Blessing</w:t>
      </w:r>
      <w:r w:rsidR="00B4557C">
        <w:t>whit</w:t>
      </w:r>
      <w:r w:rsidR="00E724A4">
        <w:t>e</w:t>
      </w:r>
      <w:r w:rsidR="00B4557C">
        <w:t xml:space="preserve">, </w:t>
      </w:r>
      <w:r w:rsidR="00F8334B">
        <w:t>2009)</w:t>
      </w:r>
      <w:r w:rsidR="00E051E5">
        <w:t>.</w:t>
      </w:r>
    </w:p>
    <w:p w14:paraId="00874256" w14:textId="77777777" w:rsidR="00997939" w:rsidRDefault="00997939" w:rsidP="00997939"/>
    <w:p w14:paraId="6008967C" w14:textId="77777777" w:rsidR="00997939" w:rsidRDefault="00997939" w:rsidP="00997939">
      <w:r>
        <w:t>Key Differences Between Coaching and Mentoring:</w:t>
      </w:r>
    </w:p>
    <w:p w14:paraId="49255244" w14:textId="75A5C241" w:rsidR="004B7B60" w:rsidRDefault="00997939" w:rsidP="004B7B60">
      <w:r>
        <w:t>While coaching and mentoring share the objective of supporting individual growth, they differ in several aspects. Coaching tends to be more focused on specific goals and performance improvement, often within a defined timeframe. Mentoring, conversely, tends to be broader in scope and may involve a longer-term relationship aimed at career development and personal growth. Additionally, coaching is typically provided by external coaches or internal managers</w:t>
      </w:r>
      <w:r w:rsidR="004B7B60">
        <w:t xml:space="preserve"> with coaching skills, while mentoring often occurs between individuals within the same organisation</w:t>
      </w:r>
      <w:r w:rsidR="001C5D16">
        <w:t xml:space="preserve"> </w:t>
      </w:r>
      <w:r w:rsidR="004C1E2B">
        <w:t>(</w:t>
      </w:r>
      <w:r w:rsidR="001C5D16">
        <w:t>Ba</w:t>
      </w:r>
      <w:r w:rsidR="00DF2E02">
        <w:t>n</w:t>
      </w:r>
      <w:r w:rsidR="000C7965">
        <w:t>dura,</w:t>
      </w:r>
      <w:r w:rsidR="00735E22">
        <w:t xml:space="preserve"> 19</w:t>
      </w:r>
      <w:r w:rsidR="004C1E2B">
        <w:t>69)</w:t>
      </w:r>
      <w:r w:rsidR="00E051E5">
        <w:t>.</w:t>
      </w:r>
    </w:p>
    <w:p w14:paraId="37D1DE82" w14:textId="77777777" w:rsidR="004B7B60" w:rsidRDefault="004B7B60" w:rsidP="004B7B60"/>
    <w:p w14:paraId="0951F8F9" w14:textId="77777777" w:rsidR="004B7B60" w:rsidRDefault="004B7B60" w:rsidP="004B7B60">
      <w:r>
        <w:t>Benefits of Coaching and Mentoring Programs:</w:t>
      </w:r>
    </w:p>
    <w:p w14:paraId="28C91078" w14:textId="29A41A4F" w:rsidR="004B7B60" w:rsidRDefault="004B7B60" w:rsidP="004B7B60">
      <w:r>
        <w:t xml:space="preserve">Implementing coaching and mentoring programs can yield numerous benefits for both staff and the wider </w:t>
      </w:r>
      <w:r w:rsidR="00106F10">
        <w:t>organisation</w:t>
      </w:r>
      <w:r>
        <w:t>. For staff, these programs offer opportunities for skill development, career advancement, increased confidence, and enhanced job satisfaction</w:t>
      </w:r>
      <w:r w:rsidR="00C913EC">
        <w:t xml:space="preserve"> </w:t>
      </w:r>
      <w:r w:rsidR="004714F8">
        <w:t>(</w:t>
      </w:r>
      <w:r w:rsidR="00C913EC">
        <w:t>Cooper</w:t>
      </w:r>
      <w:r w:rsidR="007B42D1">
        <w:t>rider</w:t>
      </w:r>
      <w:r w:rsidR="00E802E8">
        <w:t xml:space="preserve"> and </w:t>
      </w:r>
      <w:r w:rsidR="00510E73">
        <w:t>Whitney, 1999</w:t>
      </w:r>
      <w:r w:rsidR="004714F8">
        <w:t>).</w:t>
      </w:r>
      <w:r>
        <w:t xml:space="preserve"> Mentoring programs provide mentees with valuable insights, networking opportunities, and access to senior leaders. From an </w:t>
      </w:r>
      <w:r w:rsidR="00106F10">
        <w:t xml:space="preserve">organisational </w:t>
      </w:r>
      <w:r>
        <w:t>perspective, coaching and mentoring programs contribute to talent retention, succession planning, knowledge transfer, and a culture of continuous learning and development</w:t>
      </w:r>
      <w:r w:rsidR="00B70816">
        <w:t xml:space="preserve"> </w:t>
      </w:r>
      <w:r w:rsidR="00E051E5">
        <w:t>(</w:t>
      </w:r>
      <w:r w:rsidR="002B295C">
        <w:t>Crit</w:t>
      </w:r>
      <w:r w:rsidR="003531E2">
        <w:t>ch</w:t>
      </w:r>
      <w:r w:rsidR="009E262D">
        <w:t>ley</w:t>
      </w:r>
      <w:r w:rsidR="006D6213">
        <w:t xml:space="preserve">, </w:t>
      </w:r>
      <w:r w:rsidR="00C058CA">
        <w:t>2009</w:t>
      </w:r>
      <w:r w:rsidR="00E051E5">
        <w:t>).</w:t>
      </w:r>
    </w:p>
    <w:p w14:paraId="4489A548" w14:textId="77777777" w:rsidR="004B7B60" w:rsidRDefault="004B7B60" w:rsidP="004B7B60"/>
    <w:p w14:paraId="6F96A541" w14:textId="77777777" w:rsidR="004B7B60" w:rsidRDefault="004B7B60" w:rsidP="004B7B60">
      <w:r>
        <w:t>Understanding a Coaching Culture:</w:t>
      </w:r>
    </w:p>
    <w:p w14:paraId="11A1D0B2" w14:textId="7F58E312" w:rsidR="00661448" w:rsidRDefault="004B7B60" w:rsidP="00661448">
      <w:r>
        <w:t xml:space="preserve">A coaching culture refers to an </w:t>
      </w:r>
      <w:r w:rsidR="00106F10">
        <w:t>organisational</w:t>
      </w:r>
      <w:r>
        <w:t xml:space="preserve"> environment where coaching principles and practices are embedded into everyday interactions and processes. In</w:t>
      </w:r>
      <w:r w:rsidR="00661448">
        <w:t xml:space="preserve"> </w:t>
      </w:r>
      <w:r w:rsidR="00C2261C">
        <w:t>healthcare settings</w:t>
      </w:r>
      <w:r w:rsidR="00661448">
        <w:t xml:space="preserve">, fostering a coaching culture can lead to improved communication, collaboration, and patient outcomes. It encourages a mindset of inquiry, reflection, and continuous improvement among team members. A coaching culture also promotes accountability, empowerment, and shared leadership, ultimately contributing to </w:t>
      </w:r>
      <w:r w:rsidR="00C2261C">
        <w:t>organisational</w:t>
      </w:r>
      <w:r w:rsidR="00661448">
        <w:t xml:space="preserve"> effectiveness and resilience</w:t>
      </w:r>
      <w:r w:rsidR="00665F1B">
        <w:t xml:space="preserve"> </w:t>
      </w:r>
      <w:r w:rsidR="00E82658">
        <w:t>(</w:t>
      </w:r>
      <w:r w:rsidR="00E038B5">
        <w:t>Bennett</w:t>
      </w:r>
      <w:r w:rsidR="00E82658">
        <w:t>, 2004)</w:t>
      </w:r>
    </w:p>
    <w:p w14:paraId="07D00712" w14:textId="77777777" w:rsidR="00661448" w:rsidRDefault="00661448" w:rsidP="00661448"/>
    <w:p w14:paraId="52ABFF2D" w14:textId="77777777" w:rsidR="00661448" w:rsidRDefault="00661448" w:rsidP="00661448">
      <w:r>
        <w:t>Key Steps to Rolling Out Effective Programs:</w:t>
      </w:r>
    </w:p>
    <w:p w14:paraId="6C6F9B4D" w14:textId="16AA782F" w:rsidR="008A1392" w:rsidRDefault="00661448">
      <w:r>
        <w:t xml:space="preserve">Rolling out effective coaching and mentoring programs requires careful planning, stakeholder engagement, and ongoing evaluation. Key steps include conducting needs assessments to identify areas for development, defining program objectives and success criteria, recruiting and training coaches and mentors, matching participants based on their goals and preferences, establishing clear </w:t>
      </w:r>
      <w:r>
        <w:lastRenderedPageBreak/>
        <w:t>guidelines and expectations, providing ongoing support and resources, and evaluating program outcomes to inform future improvements</w:t>
      </w:r>
      <w:r w:rsidR="0021246A">
        <w:t xml:space="preserve"> (Belbin, 2003)</w:t>
      </w:r>
    </w:p>
    <w:p w14:paraId="5B985102" w14:textId="77777777" w:rsidR="00AE3449" w:rsidRDefault="00AE3449"/>
    <w:p w14:paraId="65E4AA65" w14:textId="77777777" w:rsidR="00AE3449" w:rsidRDefault="00AE3449" w:rsidP="00AE3449">
      <w:r>
        <w:t>Opportunities Presented by Technology:</w:t>
      </w:r>
    </w:p>
    <w:p w14:paraId="1069DA42" w14:textId="00F379F5" w:rsidR="00AE3449" w:rsidRDefault="00AE3449" w:rsidP="00AE3449">
      <w:r>
        <w:t>Technology offers numerous opportunities for enhancing coaching and mentoring programs in healthcare organisations. Virtual coaching platforms and video conferencing tools enable remote coaching sessions, expanding access to coaching services and overcoming geographical barriers. Online mentoring platforms facilitate mentor-mentee matching, communication, and resource sharing. Additionally, digital tools such as mobile apps and learning management systems can support ongoing learning, goal tracking, and feedback collection, enhancing the effectiveness and scalability of coaching and mentoring initiatives</w:t>
      </w:r>
      <w:r w:rsidR="002605CB">
        <w:t xml:space="preserve"> </w:t>
      </w:r>
      <w:r w:rsidR="00CA7ED0">
        <w:t>(</w:t>
      </w:r>
      <w:r w:rsidR="00F96F46">
        <w:t>E</w:t>
      </w:r>
      <w:r w:rsidR="007F6643">
        <w:t>arley</w:t>
      </w:r>
      <w:r w:rsidR="00AE0A26">
        <w:t xml:space="preserve"> and </w:t>
      </w:r>
      <w:r w:rsidR="00EB290E">
        <w:t>A</w:t>
      </w:r>
      <w:r w:rsidR="00AD1C47">
        <w:t>ng</w:t>
      </w:r>
      <w:r w:rsidR="00C246FA">
        <w:t>, 2003)</w:t>
      </w:r>
      <w:r w:rsidR="00CA7ED0">
        <w:t>.</w:t>
      </w:r>
    </w:p>
    <w:p w14:paraId="47E6C93A" w14:textId="77777777" w:rsidR="00AE3449" w:rsidRDefault="00AE3449" w:rsidP="00AE3449"/>
    <w:p w14:paraId="7BC29932" w14:textId="77777777" w:rsidR="00AE3449" w:rsidRDefault="00AE3449" w:rsidP="00AE3449">
      <w:r>
        <w:t>Conclusion:</w:t>
      </w:r>
    </w:p>
    <w:p w14:paraId="33C34761" w14:textId="62E2735B" w:rsidR="00AE3449" w:rsidRDefault="00AE3449">
      <w:r>
        <w:t xml:space="preserve">Coaching and mentoring programs play vital roles in fostering individual and organisational growth within healthcare settings. By understanding the differences between coaching and mentoring, recognising their benefits, </w:t>
      </w:r>
      <w:r w:rsidR="000979D4" w:rsidRPr="000979D4">
        <w:t xml:space="preserve">cultivating a coaching culture, and implementing effective programs, healthcare </w:t>
      </w:r>
      <w:r w:rsidR="00930FAF" w:rsidRPr="000979D4">
        <w:t>organisations</w:t>
      </w:r>
      <w:r w:rsidR="000979D4" w:rsidRPr="000979D4">
        <w:t xml:space="preserve"> can empower their staff, enhance patient care, and achieve sustainable success. Leveraging technology further enhances the reach and impact of coaching and mentoring initiatives, enabling </w:t>
      </w:r>
      <w:r w:rsidR="00930FAF">
        <w:t>organisations</w:t>
      </w:r>
      <w:r w:rsidR="000979D4" w:rsidRPr="000979D4">
        <w:t xml:space="preserve"> to adapt to evolving healthcare landscapes and address the</w:t>
      </w:r>
      <w:r w:rsidR="00CE2DA0">
        <w:t xml:space="preserve"> diverse needs of their employees</w:t>
      </w:r>
      <w:r w:rsidR="00461079">
        <w:t>.</w:t>
      </w:r>
    </w:p>
    <w:p w14:paraId="3AED7BFF" w14:textId="77777777" w:rsidR="00B36CF4" w:rsidRDefault="00B36CF4"/>
    <w:p w14:paraId="6BD53992" w14:textId="77777777" w:rsidR="00B36CF4" w:rsidRDefault="00B36CF4"/>
    <w:p w14:paraId="3F170C2C" w14:textId="77777777" w:rsidR="00B36CF4" w:rsidRDefault="00B36CF4"/>
    <w:p w14:paraId="5483EE7F" w14:textId="302017C1" w:rsidR="00B36CF4" w:rsidRDefault="00B36CF4">
      <w:pPr>
        <w:rPr>
          <w:b/>
          <w:bCs/>
          <w:sz w:val="40"/>
          <w:szCs w:val="40"/>
        </w:rPr>
      </w:pPr>
      <w:r w:rsidRPr="00B36CF4">
        <w:rPr>
          <w:b/>
          <w:bCs/>
          <w:sz w:val="40"/>
          <w:szCs w:val="40"/>
        </w:rPr>
        <w:t>References</w:t>
      </w:r>
    </w:p>
    <w:p w14:paraId="62550206" w14:textId="77777777" w:rsidR="008474F4" w:rsidRDefault="008474F4">
      <w:pPr>
        <w:rPr>
          <w:b/>
          <w:bCs/>
          <w:sz w:val="40"/>
          <w:szCs w:val="40"/>
        </w:rPr>
      </w:pPr>
    </w:p>
    <w:p w14:paraId="7325F10C" w14:textId="77777777" w:rsidR="008474F4" w:rsidRDefault="008474F4">
      <w:pPr>
        <w:rPr>
          <w:b/>
          <w:bCs/>
          <w:sz w:val="40"/>
          <w:szCs w:val="40"/>
        </w:rPr>
      </w:pPr>
    </w:p>
    <w:p w14:paraId="437B0232" w14:textId="77777777" w:rsidR="008474F4" w:rsidRPr="00B827B3" w:rsidRDefault="008474F4" w:rsidP="008474F4">
      <w:pPr>
        <w:pStyle w:val="NormalWeb"/>
        <w:spacing w:before="200" w:beforeAutospacing="0" w:after="0" w:afterAutospacing="0" w:line="216" w:lineRule="auto"/>
        <w:ind w:left="360" w:hanging="360"/>
        <w:rPr>
          <w:rFonts w:asciiTheme="minorHAnsi" w:eastAsiaTheme="minorEastAsia" w:hAnsi="Univers Condensed Light" w:cstheme="minorBidi"/>
          <w:color w:val="000000" w:themeColor="text1"/>
          <w:kern w:val="24"/>
          <w:sz w:val="18"/>
          <w:szCs w:val="18"/>
          <w:lang w:val="en-US"/>
        </w:rPr>
      </w:pPr>
      <w:r w:rsidRPr="00B827B3">
        <w:rPr>
          <w:rFonts w:asciiTheme="minorHAnsi" w:eastAsiaTheme="minorEastAsia" w:hAnsi="Univers Condensed Light" w:cstheme="minorBidi"/>
          <w:color w:val="000000" w:themeColor="text1"/>
          <w:kern w:val="24"/>
          <w:sz w:val="18"/>
          <w:szCs w:val="18"/>
          <w:lang w:val="en-US"/>
        </w:rPr>
        <w:t xml:space="preserve">Bandura, A. (1969) </w:t>
      </w:r>
      <w:r w:rsidRPr="00B827B3">
        <w:rPr>
          <w:rFonts w:asciiTheme="minorHAnsi" w:eastAsiaTheme="minorEastAsia" w:hAnsi="Univers Condensed Light" w:cstheme="minorBidi"/>
          <w:i/>
          <w:color w:val="000000" w:themeColor="text1"/>
          <w:kern w:val="24"/>
          <w:sz w:val="18"/>
          <w:szCs w:val="18"/>
          <w:lang w:val="en-US"/>
        </w:rPr>
        <w:t>Principles of Behavior Modification</w:t>
      </w:r>
      <w:r w:rsidRPr="00B827B3">
        <w:rPr>
          <w:rFonts w:asciiTheme="minorHAnsi" w:eastAsiaTheme="minorEastAsia" w:hAnsi="Univers Condensed Light" w:cstheme="minorBidi"/>
          <w:color w:val="000000" w:themeColor="text1"/>
          <w:kern w:val="24"/>
          <w:sz w:val="18"/>
          <w:szCs w:val="18"/>
          <w:lang w:val="en-US"/>
        </w:rPr>
        <w:t>. New York: Holt, Rinehart and Winston.</w:t>
      </w:r>
    </w:p>
    <w:p w14:paraId="578FFB71" w14:textId="3C603BC7" w:rsidR="00214926" w:rsidRPr="00B827B3" w:rsidRDefault="00214926" w:rsidP="00214926">
      <w:pPr>
        <w:pStyle w:val="NormalWeb"/>
        <w:spacing w:before="200" w:beforeAutospacing="0" w:after="0" w:afterAutospacing="0" w:line="216" w:lineRule="auto"/>
        <w:ind w:left="360" w:hanging="360"/>
        <w:rPr>
          <w:color w:val="000000" w:themeColor="text1"/>
        </w:rPr>
      </w:pPr>
      <w:r w:rsidRPr="00B827B3">
        <w:rPr>
          <w:rFonts w:asciiTheme="minorHAnsi" w:eastAsiaTheme="minorEastAsia" w:hAnsi="Univers Condensed Light" w:cstheme="minorBidi"/>
          <w:color w:val="000000" w:themeColor="text1"/>
          <w:kern w:val="24"/>
          <w:sz w:val="18"/>
          <w:szCs w:val="18"/>
          <w:lang w:val="en-US"/>
        </w:rPr>
        <w:t xml:space="preserve">Barden, S. (2006) The Team: the heart of executive coaching, Coach and Mentor: </w:t>
      </w:r>
      <w:r w:rsidRPr="00B827B3">
        <w:rPr>
          <w:rFonts w:asciiTheme="minorHAnsi" w:eastAsiaTheme="minorEastAsia" w:hAnsi="Univers Condensed Light" w:cstheme="minorBidi"/>
          <w:i/>
          <w:iCs/>
          <w:color w:val="000000" w:themeColor="text1"/>
          <w:kern w:val="24"/>
          <w:sz w:val="18"/>
          <w:szCs w:val="18"/>
          <w:lang w:val="en-US"/>
        </w:rPr>
        <w:t>The Journal of Oxford School coaching and Mentoring, 6:6-7.</w:t>
      </w:r>
    </w:p>
    <w:p w14:paraId="5D0BB4DA" w14:textId="450D28CC" w:rsidR="008474F4" w:rsidRPr="00B827B3" w:rsidRDefault="001E596C" w:rsidP="00214926">
      <w:pPr>
        <w:pStyle w:val="NormalWeb"/>
        <w:spacing w:before="200" w:beforeAutospacing="0" w:after="0" w:afterAutospacing="0" w:line="216" w:lineRule="auto"/>
        <w:ind w:left="360" w:hanging="360"/>
        <w:rPr>
          <w:color w:val="000000" w:themeColor="text1"/>
        </w:rPr>
      </w:pPr>
      <w:r w:rsidRPr="00B827B3">
        <w:rPr>
          <w:rFonts w:asciiTheme="minorHAnsi" w:eastAsiaTheme="minorEastAsia" w:hAnsi="Univers Condensed Light" w:cstheme="minorBidi"/>
          <w:color w:val="000000" w:themeColor="text1"/>
          <w:kern w:val="24"/>
          <w:sz w:val="18"/>
          <w:szCs w:val="18"/>
          <w:lang w:val="en-US"/>
        </w:rPr>
        <w:t>Belbin</w:t>
      </w:r>
      <w:r w:rsidR="007051C1" w:rsidRPr="00B827B3">
        <w:rPr>
          <w:rFonts w:asciiTheme="minorHAnsi" w:eastAsiaTheme="minorEastAsia" w:hAnsi="Univers Condensed Light" w:cstheme="minorBidi"/>
          <w:color w:val="000000" w:themeColor="text1"/>
          <w:kern w:val="24"/>
          <w:sz w:val="18"/>
          <w:szCs w:val="18"/>
          <w:lang w:val="en-US"/>
        </w:rPr>
        <w:t>, M</w:t>
      </w:r>
      <w:r w:rsidR="00532374" w:rsidRPr="00B827B3">
        <w:rPr>
          <w:rFonts w:asciiTheme="minorHAnsi" w:eastAsiaTheme="minorEastAsia" w:hAnsi="Univers Condensed Light" w:cstheme="minorBidi"/>
          <w:color w:val="000000" w:themeColor="text1"/>
          <w:kern w:val="24"/>
          <w:sz w:val="18"/>
          <w:szCs w:val="18"/>
          <w:lang w:val="en-US"/>
        </w:rPr>
        <w:t>.</w:t>
      </w:r>
      <w:r w:rsidR="007C2719" w:rsidRPr="00B827B3">
        <w:rPr>
          <w:rFonts w:asciiTheme="minorHAnsi" w:eastAsiaTheme="minorEastAsia" w:hAnsi="Univers Condensed Light" w:cstheme="minorBidi"/>
          <w:color w:val="000000" w:themeColor="text1"/>
          <w:kern w:val="24"/>
          <w:sz w:val="18"/>
          <w:szCs w:val="18"/>
          <w:lang w:val="en-US"/>
        </w:rPr>
        <w:t xml:space="preserve"> (2</w:t>
      </w:r>
      <w:r w:rsidR="0079373D" w:rsidRPr="00B827B3">
        <w:rPr>
          <w:rFonts w:asciiTheme="minorHAnsi" w:eastAsiaTheme="minorEastAsia" w:hAnsi="Univers Condensed Light" w:cstheme="minorBidi"/>
          <w:color w:val="000000" w:themeColor="text1"/>
          <w:kern w:val="24"/>
          <w:sz w:val="18"/>
          <w:szCs w:val="18"/>
          <w:lang w:val="en-US"/>
        </w:rPr>
        <w:t>00</w:t>
      </w:r>
      <w:r w:rsidR="00E372A9" w:rsidRPr="00B827B3">
        <w:rPr>
          <w:rFonts w:asciiTheme="minorHAnsi" w:eastAsiaTheme="minorEastAsia" w:hAnsi="Univers Condensed Light" w:cstheme="minorBidi"/>
          <w:color w:val="000000" w:themeColor="text1"/>
          <w:kern w:val="24"/>
          <w:sz w:val="18"/>
          <w:szCs w:val="18"/>
          <w:lang w:val="en-US"/>
        </w:rPr>
        <w:t>0)</w:t>
      </w:r>
      <w:r w:rsidR="00F7522F" w:rsidRPr="00B827B3">
        <w:rPr>
          <w:rFonts w:asciiTheme="minorHAnsi" w:eastAsiaTheme="minorEastAsia" w:hAnsi="Univers Condensed Light" w:cstheme="minorBidi"/>
          <w:color w:val="000000" w:themeColor="text1"/>
          <w:kern w:val="24"/>
          <w:sz w:val="18"/>
          <w:szCs w:val="18"/>
          <w:lang w:val="en-US"/>
        </w:rPr>
        <w:t xml:space="preserve"> </w:t>
      </w:r>
      <w:r w:rsidR="00F7522F" w:rsidRPr="00B827B3">
        <w:rPr>
          <w:rFonts w:asciiTheme="minorHAnsi" w:eastAsiaTheme="minorEastAsia" w:hAnsi="Univers Condensed Light" w:cstheme="minorBidi"/>
          <w:i/>
          <w:color w:val="000000" w:themeColor="text1"/>
          <w:kern w:val="24"/>
          <w:sz w:val="18"/>
          <w:szCs w:val="18"/>
          <w:lang w:val="en-US"/>
        </w:rPr>
        <w:t>Be</w:t>
      </w:r>
      <w:r w:rsidR="00AC73C5" w:rsidRPr="00B827B3">
        <w:rPr>
          <w:rFonts w:asciiTheme="minorHAnsi" w:eastAsiaTheme="minorEastAsia" w:hAnsi="Univers Condensed Light" w:cstheme="minorBidi"/>
          <w:i/>
          <w:color w:val="000000" w:themeColor="text1"/>
          <w:kern w:val="24"/>
          <w:sz w:val="18"/>
          <w:szCs w:val="18"/>
          <w:lang w:val="en-US"/>
        </w:rPr>
        <w:t>yon</w:t>
      </w:r>
      <w:r w:rsidR="00E510B5" w:rsidRPr="00B827B3">
        <w:rPr>
          <w:rFonts w:asciiTheme="minorHAnsi" w:eastAsiaTheme="minorEastAsia" w:hAnsi="Univers Condensed Light" w:cstheme="minorBidi"/>
          <w:i/>
          <w:color w:val="000000" w:themeColor="text1"/>
          <w:kern w:val="24"/>
          <w:sz w:val="18"/>
          <w:szCs w:val="18"/>
          <w:lang w:val="en-US"/>
        </w:rPr>
        <w:t>d the Team</w:t>
      </w:r>
      <w:r w:rsidR="00297892" w:rsidRPr="00B827B3">
        <w:rPr>
          <w:rFonts w:asciiTheme="minorHAnsi" w:eastAsiaTheme="minorEastAsia" w:hAnsi="Univers Condensed Light" w:cstheme="minorBidi"/>
          <w:i/>
          <w:color w:val="000000" w:themeColor="text1"/>
          <w:kern w:val="24"/>
          <w:sz w:val="18"/>
          <w:szCs w:val="18"/>
          <w:lang w:val="en-US"/>
        </w:rPr>
        <w:t>.</w:t>
      </w:r>
      <w:r w:rsidR="00297892" w:rsidRPr="00B827B3">
        <w:rPr>
          <w:rFonts w:asciiTheme="minorHAnsi" w:eastAsiaTheme="minorEastAsia" w:hAnsi="Univers Condensed Light" w:cstheme="minorBidi"/>
          <w:color w:val="000000" w:themeColor="text1"/>
          <w:kern w:val="24"/>
          <w:sz w:val="18"/>
          <w:szCs w:val="18"/>
          <w:lang w:val="en-US"/>
        </w:rPr>
        <w:t xml:space="preserve"> London: Butter</w:t>
      </w:r>
      <w:r w:rsidR="00C81B07" w:rsidRPr="00B827B3">
        <w:rPr>
          <w:rFonts w:asciiTheme="minorHAnsi" w:eastAsiaTheme="minorEastAsia" w:hAnsi="Univers Condensed Light" w:cstheme="minorBidi"/>
          <w:color w:val="000000" w:themeColor="text1"/>
          <w:kern w:val="24"/>
          <w:sz w:val="18"/>
          <w:szCs w:val="18"/>
          <w:lang w:val="en-US"/>
        </w:rPr>
        <w:t>worth-Heineman</w:t>
      </w:r>
      <w:r w:rsidR="00C31262" w:rsidRPr="00B827B3">
        <w:rPr>
          <w:rFonts w:asciiTheme="minorHAnsi" w:eastAsiaTheme="minorEastAsia" w:hAnsi="Univers Condensed Light" w:cstheme="minorBidi"/>
          <w:color w:val="000000" w:themeColor="text1"/>
          <w:kern w:val="24"/>
          <w:sz w:val="18"/>
          <w:szCs w:val="18"/>
          <w:lang w:val="en-US"/>
        </w:rPr>
        <w:t>n.</w:t>
      </w:r>
    </w:p>
    <w:p w14:paraId="34701058" w14:textId="77777777" w:rsidR="00FF445D" w:rsidRPr="00B827B3" w:rsidRDefault="00FF445D" w:rsidP="00FF445D">
      <w:pPr>
        <w:pStyle w:val="NormalWeb"/>
        <w:spacing w:before="200" w:beforeAutospacing="0" w:after="0" w:afterAutospacing="0" w:line="216" w:lineRule="auto"/>
        <w:ind w:left="360" w:hanging="360"/>
        <w:rPr>
          <w:color w:val="000000" w:themeColor="text1"/>
        </w:rPr>
      </w:pPr>
      <w:r w:rsidRPr="00B827B3">
        <w:rPr>
          <w:rFonts w:asciiTheme="minorHAnsi" w:eastAsiaTheme="minorEastAsia" w:hAnsi="Univers Condensed Light" w:cstheme="minorBidi"/>
          <w:color w:val="000000" w:themeColor="text1"/>
          <w:kern w:val="24"/>
          <w:sz w:val="18"/>
          <w:szCs w:val="18"/>
          <w:lang w:val="en-US"/>
        </w:rPr>
        <w:t xml:space="preserve">Belbin, M. (2003)) </w:t>
      </w:r>
      <w:r w:rsidRPr="00B827B3">
        <w:rPr>
          <w:rFonts w:asciiTheme="minorHAnsi" w:eastAsiaTheme="minorEastAsia" w:hAnsi="Univers Condensed Light" w:cstheme="minorBidi"/>
          <w:i/>
          <w:color w:val="000000" w:themeColor="text1"/>
          <w:kern w:val="24"/>
          <w:sz w:val="18"/>
          <w:szCs w:val="18"/>
          <w:lang w:val="en-US"/>
        </w:rPr>
        <w:t>Team Roles at work</w:t>
      </w:r>
      <w:r w:rsidRPr="00B827B3">
        <w:rPr>
          <w:rFonts w:asciiTheme="minorHAnsi" w:eastAsiaTheme="minorEastAsia" w:hAnsi="Univers Condensed Light" w:cstheme="minorBidi"/>
          <w:color w:val="000000" w:themeColor="text1"/>
          <w:kern w:val="24"/>
          <w:sz w:val="18"/>
          <w:szCs w:val="18"/>
          <w:lang w:val="en-US"/>
        </w:rPr>
        <w:t>, 2</w:t>
      </w:r>
      <w:r w:rsidRPr="00B827B3">
        <w:rPr>
          <w:rFonts w:asciiTheme="minorHAnsi" w:eastAsiaTheme="minorEastAsia" w:hAnsi="Univers Condensed Light" w:cstheme="minorBidi"/>
          <w:color w:val="000000" w:themeColor="text1"/>
          <w:kern w:val="24"/>
          <w:position w:val="5"/>
          <w:sz w:val="18"/>
          <w:szCs w:val="18"/>
          <w:vertAlign w:val="superscript"/>
          <w:lang w:val="en-US"/>
        </w:rPr>
        <w:t>nd</w:t>
      </w:r>
      <w:r w:rsidRPr="00B827B3">
        <w:rPr>
          <w:rFonts w:asciiTheme="minorHAnsi" w:eastAsiaTheme="minorEastAsia" w:hAnsi="Univers Condensed Light" w:cstheme="minorBidi"/>
          <w:color w:val="000000" w:themeColor="text1"/>
          <w:kern w:val="24"/>
          <w:sz w:val="18"/>
          <w:szCs w:val="18"/>
          <w:lang w:val="en-US"/>
        </w:rPr>
        <w:t xml:space="preserve"> edn. London: Butterworth-Heinemann.</w:t>
      </w:r>
    </w:p>
    <w:p w14:paraId="73DEAA5F" w14:textId="1D4DD7A2" w:rsidR="003343C4" w:rsidRPr="00B827B3" w:rsidRDefault="00FF445D" w:rsidP="003343C4">
      <w:pPr>
        <w:pStyle w:val="NormalWeb"/>
        <w:spacing w:before="200" w:beforeAutospacing="0" w:after="0" w:afterAutospacing="0" w:line="216" w:lineRule="auto"/>
        <w:ind w:left="360" w:hanging="360"/>
        <w:rPr>
          <w:color w:val="000000" w:themeColor="text1"/>
        </w:rPr>
      </w:pPr>
      <w:r w:rsidRPr="00B827B3">
        <w:rPr>
          <w:rFonts w:asciiTheme="minorHAnsi" w:eastAsiaTheme="minorEastAsia" w:hAnsi="Univers Condensed Light" w:cstheme="minorBidi"/>
          <w:color w:val="000000" w:themeColor="text1"/>
          <w:kern w:val="24"/>
          <w:sz w:val="18"/>
          <w:szCs w:val="18"/>
          <w:lang w:val="en-US"/>
        </w:rPr>
        <w:t>Bennett, M.J. (2004) Becoming interculturally competent, in J.S Wurzel (ed) Toward Multiculturalism: a Reader in Multicultural Education. Newton, MA: In</w:t>
      </w:r>
      <w:r w:rsidR="007D6F25" w:rsidRPr="00B827B3">
        <w:rPr>
          <w:rFonts w:asciiTheme="minorHAnsi" w:eastAsiaTheme="minorEastAsia" w:hAnsi="Univers Condensed Light" w:cstheme="minorBidi"/>
          <w:color w:val="000000" w:themeColor="text1"/>
          <w:kern w:val="24"/>
          <w:sz w:val="18"/>
          <w:szCs w:val="18"/>
          <w:lang w:val="en-US"/>
        </w:rPr>
        <w:t>?</w:t>
      </w:r>
      <w:r w:rsidR="003343C4" w:rsidRPr="00B827B3">
        <w:rPr>
          <w:rFonts w:asciiTheme="minorHAnsi" w:eastAsiaTheme="minorEastAsia" w:hAnsi="Univers Condensed Light" w:cstheme="minorBidi"/>
          <w:color w:val="000000" w:themeColor="text1"/>
          <w:kern w:val="24"/>
          <w:sz w:val="18"/>
          <w:szCs w:val="18"/>
          <w:lang w:val="en-US"/>
        </w:rPr>
        <w:t xml:space="preserve"> Bennett, M.J. (2004) Becoming interculturally competent, in J.S Wurzel (ed) Toward Multiculturalism: a Reader in Multicultural Education. Newton, MA: Intercultural Resource Corporation.</w:t>
      </w:r>
    </w:p>
    <w:p w14:paraId="65E2B5CC" w14:textId="47872E9C" w:rsidR="00D462A7" w:rsidRDefault="003343C4" w:rsidP="00B827B3">
      <w:pPr>
        <w:pStyle w:val="NormalWeb"/>
        <w:spacing w:before="200" w:beforeAutospacing="0" w:after="0" w:afterAutospacing="0" w:line="216" w:lineRule="auto"/>
        <w:ind w:left="360" w:hanging="360"/>
        <w:rPr>
          <w:rFonts w:asciiTheme="minorHAnsi" w:eastAsiaTheme="minorEastAsia" w:hAnsi="Univers Condensed Light" w:cstheme="minorBidi"/>
          <w:i/>
          <w:iCs/>
          <w:color w:val="000000" w:themeColor="text1"/>
          <w:kern w:val="24"/>
          <w:sz w:val="18"/>
          <w:szCs w:val="18"/>
          <w:lang w:val="en-US"/>
        </w:rPr>
      </w:pPr>
      <w:r w:rsidRPr="00B827B3">
        <w:rPr>
          <w:rFonts w:asciiTheme="minorHAnsi" w:eastAsiaTheme="minorEastAsia" w:hAnsi="Univers Condensed Light" w:cstheme="minorBidi"/>
          <w:color w:val="000000" w:themeColor="text1"/>
          <w:kern w:val="24"/>
          <w:sz w:val="18"/>
          <w:szCs w:val="18"/>
          <w:lang w:val="en-US"/>
        </w:rPr>
        <w:t xml:space="preserve">Barden, S. (2006) The Team: the heart of executive coaching, Coach and Mentor: </w:t>
      </w:r>
      <w:r w:rsidRPr="00B827B3">
        <w:rPr>
          <w:rFonts w:asciiTheme="minorHAnsi" w:eastAsiaTheme="minorEastAsia" w:hAnsi="Univers Condensed Light" w:cstheme="minorBidi"/>
          <w:i/>
          <w:iCs/>
          <w:color w:val="000000" w:themeColor="text1"/>
          <w:kern w:val="24"/>
          <w:sz w:val="18"/>
          <w:szCs w:val="18"/>
          <w:lang w:val="en-US"/>
        </w:rPr>
        <w:t>The Journal of Oxford School coaching and Mentoring, 6:6-7.</w:t>
      </w:r>
    </w:p>
    <w:p w14:paraId="2181B80F" w14:textId="1C8F0BC7" w:rsidR="00866743" w:rsidRDefault="00E173C2" w:rsidP="00B827B3">
      <w:pPr>
        <w:pStyle w:val="NormalWeb"/>
        <w:spacing w:before="200" w:beforeAutospacing="0" w:after="0" w:afterAutospacing="0" w:line="216" w:lineRule="auto"/>
        <w:ind w:left="360" w:hanging="360"/>
        <w:rPr>
          <w:rFonts w:asciiTheme="minorHAnsi" w:eastAsiaTheme="minorEastAsia" w:hAnsi="Univers Condensed Light" w:cstheme="minorBidi"/>
          <w:color w:val="000000" w:themeColor="text1"/>
          <w:kern w:val="24"/>
          <w:sz w:val="18"/>
          <w:szCs w:val="18"/>
          <w:lang w:val="en-US"/>
        </w:rPr>
      </w:pPr>
      <w:r w:rsidRPr="00203714">
        <w:rPr>
          <w:rFonts w:asciiTheme="minorHAnsi" w:eastAsiaTheme="minorEastAsia" w:hAnsi="Univers Condensed Light" w:cstheme="minorBidi"/>
          <w:color w:val="000000" w:themeColor="text1"/>
          <w:kern w:val="24"/>
          <w:sz w:val="18"/>
          <w:szCs w:val="18"/>
          <w:lang w:val="en-US"/>
        </w:rPr>
        <w:t>Ber</w:t>
      </w:r>
      <w:r w:rsidR="006A4767" w:rsidRPr="00203714">
        <w:rPr>
          <w:rFonts w:asciiTheme="minorHAnsi" w:eastAsiaTheme="minorEastAsia" w:hAnsi="Univers Condensed Light" w:cstheme="minorBidi"/>
          <w:color w:val="000000" w:themeColor="text1"/>
          <w:kern w:val="24"/>
          <w:sz w:val="18"/>
          <w:szCs w:val="18"/>
          <w:lang w:val="en-US"/>
        </w:rPr>
        <w:t>ne</w:t>
      </w:r>
      <w:r w:rsidR="00C3678B">
        <w:rPr>
          <w:rFonts w:asciiTheme="minorHAnsi" w:eastAsiaTheme="minorEastAsia" w:hAnsi="Univers Condensed Light" w:cstheme="minorBidi"/>
          <w:color w:val="000000" w:themeColor="text1"/>
          <w:kern w:val="24"/>
          <w:sz w:val="18"/>
          <w:szCs w:val="18"/>
          <w:lang w:val="en-US"/>
        </w:rPr>
        <w:t>, E</w:t>
      </w:r>
      <w:r w:rsidR="00786B7A">
        <w:rPr>
          <w:rFonts w:asciiTheme="minorHAnsi" w:eastAsiaTheme="minorEastAsia" w:hAnsi="Univers Condensed Light" w:cstheme="minorBidi"/>
          <w:color w:val="000000" w:themeColor="text1"/>
          <w:kern w:val="24"/>
          <w:sz w:val="18"/>
          <w:szCs w:val="18"/>
          <w:lang w:val="en-US"/>
        </w:rPr>
        <w:t xml:space="preserve">. </w:t>
      </w:r>
      <w:r w:rsidR="00A23D2F">
        <w:rPr>
          <w:rFonts w:asciiTheme="minorHAnsi" w:eastAsiaTheme="minorEastAsia" w:hAnsi="Univers Condensed Light" w:cstheme="minorBidi"/>
          <w:color w:val="000000" w:themeColor="text1"/>
          <w:kern w:val="24"/>
          <w:sz w:val="18"/>
          <w:szCs w:val="18"/>
          <w:lang w:val="en-US"/>
        </w:rPr>
        <w:t xml:space="preserve">(1972) </w:t>
      </w:r>
      <w:r w:rsidR="00A23D2F" w:rsidRPr="00B206F0">
        <w:rPr>
          <w:rFonts w:asciiTheme="minorHAnsi" w:eastAsiaTheme="minorEastAsia" w:hAnsi="Univers Condensed Light" w:cstheme="minorBidi"/>
          <w:i/>
          <w:iCs/>
          <w:color w:val="000000" w:themeColor="text1"/>
          <w:kern w:val="24"/>
          <w:sz w:val="18"/>
          <w:szCs w:val="18"/>
          <w:lang w:val="en-US"/>
        </w:rPr>
        <w:t xml:space="preserve">What </w:t>
      </w:r>
      <w:r w:rsidR="00AE57AF" w:rsidRPr="00B206F0">
        <w:rPr>
          <w:rFonts w:asciiTheme="minorHAnsi" w:eastAsiaTheme="minorEastAsia" w:hAnsi="Univers Condensed Light" w:cstheme="minorBidi"/>
          <w:i/>
          <w:iCs/>
          <w:color w:val="000000" w:themeColor="text1"/>
          <w:kern w:val="24"/>
          <w:sz w:val="18"/>
          <w:szCs w:val="18"/>
          <w:lang w:val="en-US"/>
        </w:rPr>
        <w:t xml:space="preserve">Do You Say </w:t>
      </w:r>
      <w:r w:rsidR="003642CA" w:rsidRPr="00B206F0">
        <w:rPr>
          <w:rFonts w:asciiTheme="minorHAnsi" w:eastAsiaTheme="minorEastAsia" w:hAnsi="Univers Condensed Light" w:cstheme="minorBidi"/>
          <w:i/>
          <w:iCs/>
          <w:color w:val="000000" w:themeColor="text1"/>
          <w:kern w:val="24"/>
          <w:sz w:val="18"/>
          <w:szCs w:val="18"/>
          <w:lang w:val="en-US"/>
        </w:rPr>
        <w:t>After</w:t>
      </w:r>
      <w:r w:rsidR="00A76AE1" w:rsidRPr="00B206F0">
        <w:rPr>
          <w:rFonts w:asciiTheme="minorHAnsi" w:eastAsiaTheme="minorEastAsia" w:hAnsi="Univers Condensed Light" w:cstheme="minorBidi"/>
          <w:i/>
          <w:iCs/>
          <w:color w:val="000000" w:themeColor="text1"/>
          <w:kern w:val="24"/>
          <w:sz w:val="18"/>
          <w:szCs w:val="18"/>
          <w:lang w:val="en-US"/>
        </w:rPr>
        <w:t xml:space="preserve"> You</w:t>
      </w:r>
      <w:r w:rsidR="005A2C81" w:rsidRPr="00B206F0">
        <w:rPr>
          <w:rFonts w:asciiTheme="minorHAnsi" w:eastAsiaTheme="minorEastAsia" w:hAnsi="Univers Condensed Light" w:cstheme="minorBidi"/>
          <w:i/>
          <w:iCs/>
          <w:color w:val="000000" w:themeColor="text1"/>
          <w:kern w:val="24"/>
          <w:sz w:val="18"/>
          <w:szCs w:val="18"/>
          <w:lang w:val="en-US"/>
        </w:rPr>
        <w:t xml:space="preserve"> Say</w:t>
      </w:r>
      <w:r w:rsidR="00541F44" w:rsidRPr="00B206F0">
        <w:rPr>
          <w:rFonts w:asciiTheme="minorHAnsi" w:eastAsiaTheme="minorEastAsia" w:hAnsi="Univers Condensed Light" w:cstheme="minorBidi"/>
          <w:i/>
          <w:iCs/>
          <w:color w:val="000000" w:themeColor="text1"/>
          <w:kern w:val="24"/>
          <w:sz w:val="18"/>
          <w:szCs w:val="18"/>
          <w:lang w:val="en-US"/>
        </w:rPr>
        <w:t xml:space="preserve"> Hello</w:t>
      </w:r>
      <w:r w:rsidR="00541F44">
        <w:rPr>
          <w:rFonts w:asciiTheme="minorHAnsi" w:eastAsiaTheme="minorEastAsia" w:hAnsi="Univers Condensed Light" w:cstheme="minorBidi"/>
          <w:color w:val="000000" w:themeColor="text1"/>
          <w:kern w:val="24"/>
          <w:sz w:val="18"/>
          <w:szCs w:val="18"/>
          <w:lang w:val="en-US"/>
        </w:rPr>
        <w:t>?</w:t>
      </w:r>
      <w:r w:rsidR="00115D74">
        <w:rPr>
          <w:rFonts w:asciiTheme="minorHAnsi" w:eastAsiaTheme="minorEastAsia" w:hAnsi="Univers Condensed Light" w:cstheme="minorBidi"/>
          <w:color w:val="000000" w:themeColor="text1"/>
          <w:kern w:val="24"/>
          <w:sz w:val="18"/>
          <w:szCs w:val="18"/>
          <w:lang w:val="en-US"/>
        </w:rPr>
        <w:t xml:space="preserve"> London: </w:t>
      </w:r>
      <w:r w:rsidR="00D444E8">
        <w:rPr>
          <w:rFonts w:asciiTheme="minorHAnsi" w:eastAsiaTheme="minorEastAsia" w:hAnsi="Univers Condensed Light" w:cstheme="minorBidi"/>
          <w:color w:val="000000" w:themeColor="text1"/>
          <w:kern w:val="24"/>
          <w:sz w:val="18"/>
          <w:szCs w:val="18"/>
          <w:lang w:val="en-US"/>
        </w:rPr>
        <w:t>Norton</w:t>
      </w:r>
      <w:r w:rsidR="00C9258B">
        <w:rPr>
          <w:rFonts w:asciiTheme="minorHAnsi" w:eastAsiaTheme="minorEastAsia" w:hAnsi="Univers Condensed Light" w:cstheme="minorBidi"/>
          <w:color w:val="000000" w:themeColor="text1"/>
          <w:kern w:val="24"/>
          <w:sz w:val="18"/>
          <w:szCs w:val="18"/>
          <w:lang w:val="en-US"/>
        </w:rPr>
        <w:t xml:space="preserve"> and C</w:t>
      </w:r>
      <w:r w:rsidR="0030429D">
        <w:rPr>
          <w:rFonts w:asciiTheme="minorHAnsi" w:eastAsiaTheme="minorEastAsia" w:hAnsi="Univers Condensed Light" w:cstheme="minorBidi"/>
          <w:color w:val="000000" w:themeColor="text1"/>
          <w:kern w:val="24"/>
          <w:sz w:val="18"/>
          <w:szCs w:val="18"/>
          <w:lang w:val="en-US"/>
        </w:rPr>
        <w:t>o.</w:t>
      </w:r>
    </w:p>
    <w:p w14:paraId="0FAB1A87" w14:textId="62398D70" w:rsidR="008E7368" w:rsidRPr="00203714" w:rsidRDefault="0086187D" w:rsidP="00B827B3">
      <w:pPr>
        <w:pStyle w:val="NormalWeb"/>
        <w:spacing w:before="200" w:beforeAutospacing="0" w:after="0" w:afterAutospacing="0" w:line="216" w:lineRule="auto"/>
        <w:ind w:left="360" w:hanging="360"/>
        <w:rPr>
          <w:rFonts w:asciiTheme="minorHAnsi" w:eastAsiaTheme="minorEastAsia" w:hAnsi="Univers Condensed Light" w:cstheme="minorBidi"/>
          <w:color w:val="000000" w:themeColor="text1"/>
          <w:kern w:val="24"/>
          <w:sz w:val="18"/>
          <w:szCs w:val="18"/>
          <w:lang w:val="en-US"/>
        </w:rPr>
      </w:pPr>
      <w:r>
        <w:rPr>
          <w:rFonts w:asciiTheme="minorHAnsi" w:eastAsiaTheme="minorEastAsia" w:hAnsi="Univers Condensed Light" w:cstheme="minorBidi"/>
          <w:color w:val="000000" w:themeColor="text1"/>
          <w:kern w:val="24"/>
          <w:sz w:val="18"/>
          <w:szCs w:val="18"/>
          <w:lang w:val="en-US"/>
        </w:rPr>
        <w:t>Blanchar</w:t>
      </w:r>
      <w:r w:rsidR="00EC3911">
        <w:rPr>
          <w:rFonts w:asciiTheme="minorHAnsi" w:eastAsiaTheme="minorEastAsia" w:hAnsi="Univers Condensed Light" w:cstheme="minorBidi"/>
          <w:color w:val="000000" w:themeColor="text1"/>
          <w:kern w:val="24"/>
          <w:sz w:val="18"/>
          <w:szCs w:val="18"/>
          <w:lang w:val="en-US"/>
        </w:rPr>
        <w:t>d, K</w:t>
      </w:r>
      <w:r w:rsidR="00D73A58">
        <w:rPr>
          <w:rFonts w:asciiTheme="minorHAnsi" w:eastAsiaTheme="minorEastAsia" w:hAnsi="Univers Condensed Light" w:cstheme="minorBidi"/>
          <w:color w:val="000000" w:themeColor="text1"/>
          <w:kern w:val="24"/>
          <w:sz w:val="18"/>
          <w:szCs w:val="18"/>
          <w:lang w:val="en-US"/>
        </w:rPr>
        <w:t>. (1</w:t>
      </w:r>
      <w:r w:rsidR="00A363EB">
        <w:rPr>
          <w:rFonts w:asciiTheme="minorHAnsi" w:eastAsiaTheme="minorEastAsia" w:hAnsi="Univers Condensed Light" w:cstheme="minorBidi"/>
          <w:color w:val="000000" w:themeColor="text1"/>
          <w:kern w:val="24"/>
          <w:sz w:val="18"/>
          <w:szCs w:val="18"/>
          <w:lang w:val="en-US"/>
        </w:rPr>
        <w:t xml:space="preserve">994) </w:t>
      </w:r>
      <w:r w:rsidR="00A363EB" w:rsidRPr="00534979">
        <w:rPr>
          <w:rFonts w:asciiTheme="minorHAnsi" w:eastAsiaTheme="minorEastAsia" w:hAnsi="Univers Condensed Light" w:cstheme="minorBidi"/>
          <w:i/>
          <w:iCs/>
          <w:color w:val="000000" w:themeColor="text1"/>
          <w:kern w:val="24"/>
          <w:sz w:val="18"/>
          <w:szCs w:val="18"/>
          <w:lang w:val="en-US"/>
        </w:rPr>
        <w:t>Leadership</w:t>
      </w:r>
      <w:r w:rsidR="0001061F" w:rsidRPr="00534979">
        <w:rPr>
          <w:rFonts w:asciiTheme="minorHAnsi" w:eastAsiaTheme="minorEastAsia" w:hAnsi="Univers Condensed Light" w:cstheme="minorBidi"/>
          <w:i/>
          <w:iCs/>
          <w:color w:val="000000" w:themeColor="text1"/>
          <w:kern w:val="24"/>
          <w:sz w:val="18"/>
          <w:szCs w:val="18"/>
          <w:lang w:val="en-US"/>
        </w:rPr>
        <w:t xml:space="preserve"> and the One </w:t>
      </w:r>
      <w:r w:rsidR="00346B02" w:rsidRPr="00534979">
        <w:rPr>
          <w:rFonts w:asciiTheme="minorHAnsi" w:eastAsiaTheme="minorEastAsia" w:hAnsi="Univers Condensed Light" w:cstheme="minorBidi"/>
          <w:i/>
          <w:iCs/>
          <w:color w:val="000000" w:themeColor="text1"/>
          <w:kern w:val="24"/>
          <w:sz w:val="18"/>
          <w:szCs w:val="18"/>
          <w:lang w:val="en-US"/>
        </w:rPr>
        <w:t>-Minute</w:t>
      </w:r>
      <w:r w:rsidR="008F0A08" w:rsidRPr="00534979">
        <w:rPr>
          <w:rFonts w:asciiTheme="minorHAnsi" w:eastAsiaTheme="minorEastAsia" w:hAnsi="Univers Condensed Light" w:cstheme="minorBidi"/>
          <w:i/>
          <w:iCs/>
          <w:color w:val="000000" w:themeColor="text1"/>
          <w:kern w:val="24"/>
          <w:sz w:val="18"/>
          <w:szCs w:val="18"/>
          <w:lang w:val="en-US"/>
        </w:rPr>
        <w:t xml:space="preserve"> Manager</w:t>
      </w:r>
      <w:r w:rsidR="00936C5A">
        <w:rPr>
          <w:rFonts w:asciiTheme="minorHAnsi" w:eastAsiaTheme="minorEastAsia" w:hAnsi="Univers Condensed Light" w:cstheme="minorBidi"/>
          <w:color w:val="000000" w:themeColor="text1"/>
          <w:kern w:val="24"/>
          <w:sz w:val="18"/>
          <w:szCs w:val="18"/>
          <w:lang w:val="en-US"/>
        </w:rPr>
        <w:t>. London</w:t>
      </w:r>
      <w:r w:rsidR="00960518">
        <w:rPr>
          <w:rFonts w:asciiTheme="minorHAnsi" w:eastAsiaTheme="minorEastAsia" w:hAnsi="Univers Condensed Light" w:cstheme="minorBidi"/>
          <w:color w:val="000000" w:themeColor="text1"/>
          <w:kern w:val="24"/>
          <w:sz w:val="18"/>
          <w:szCs w:val="18"/>
          <w:lang w:val="en-US"/>
        </w:rPr>
        <w:t>: Ha</w:t>
      </w:r>
      <w:r w:rsidR="00C65C7F">
        <w:rPr>
          <w:rFonts w:asciiTheme="minorHAnsi" w:eastAsiaTheme="minorEastAsia" w:hAnsi="Univers Condensed Light" w:cstheme="minorBidi"/>
          <w:color w:val="000000" w:themeColor="text1"/>
          <w:kern w:val="24"/>
          <w:sz w:val="18"/>
          <w:szCs w:val="18"/>
          <w:lang w:val="en-US"/>
        </w:rPr>
        <w:t>rper</w:t>
      </w:r>
      <w:r w:rsidR="00A05374">
        <w:rPr>
          <w:rFonts w:asciiTheme="minorHAnsi" w:eastAsiaTheme="minorEastAsia" w:hAnsi="Univers Condensed Light" w:cstheme="minorBidi"/>
          <w:color w:val="000000" w:themeColor="text1"/>
          <w:kern w:val="24"/>
          <w:sz w:val="18"/>
          <w:szCs w:val="18"/>
          <w:lang w:val="en-US"/>
        </w:rPr>
        <w:t xml:space="preserve"> Collins</w:t>
      </w:r>
      <w:r w:rsidR="00D2555E">
        <w:rPr>
          <w:rFonts w:asciiTheme="minorHAnsi" w:eastAsiaTheme="minorEastAsia" w:hAnsi="Univers Condensed Light" w:cstheme="minorBidi"/>
          <w:color w:val="000000" w:themeColor="text1"/>
          <w:kern w:val="24"/>
          <w:sz w:val="18"/>
          <w:szCs w:val="18"/>
          <w:lang w:val="en-US"/>
        </w:rPr>
        <w:t>.</w:t>
      </w:r>
    </w:p>
    <w:p w14:paraId="4D5803FB" w14:textId="77777777" w:rsidR="00FF445D" w:rsidRPr="00B827B3" w:rsidRDefault="00FF445D" w:rsidP="00FF445D">
      <w:pPr>
        <w:pStyle w:val="NormalWeb"/>
        <w:spacing w:before="200" w:beforeAutospacing="0" w:after="0" w:afterAutospacing="0" w:line="216" w:lineRule="auto"/>
        <w:ind w:left="360" w:hanging="360"/>
        <w:rPr>
          <w:color w:val="000000" w:themeColor="text1"/>
        </w:rPr>
      </w:pPr>
      <w:r w:rsidRPr="00B827B3">
        <w:rPr>
          <w:rFonts w:asciiTheme="minorHAnsi" w:eastAsiaTheme="minorEastAsia" w:hAnsi="Univers Condensed Light" w:cstheme="minorBidi"/>
          <w:color w:val="000000" w:themeColor="text1"/>
          <w:kern w:val="24"/>
          <w:sz w:val="18"/>
          <w:szCs w:val="18"/>
          <w:lang w:val="en-US"/>
        </w:rPr>
        <w:t>Blessingwhite, (2009</w:t>
      </w:r>
      <w:r w:rsidRPr="00B827B3">
        <w:rPr>
          <w:rFonts w:asciiTheme="minorHAnsi" w:eastAsiaTheme="minorEastAsia" w:hAnsi="Univers Condensed Light" w:cstheme="minorBidi"/>
          <w:i/>
          <w:color w:val="000000" w:themeColor="text1"/>
          <w:kern w:val="24"/>
          <w:sz w:val="18"/>
          <w:szCs w:val="18"/>
          <w:lang w:val="en-US"/>
        </w:rPr>
        <w:t>) The Coaching Conundrum: Building a Coaching Culture that Drives Organizational Success</w:t>
      </w:r>
      <w:r w:rsidRPr="00B827B3">
        <w:rPr>
          <w:rFonts w:asciiTheme="minorHAnsi" w:eastAsiaTheme="minorEastAsia" w:hAnsi="Univers Condensed Light" w:cstheme="minorBidi"/>
          <w:color w:val="000000" w:themeColor="text1"/>
          <w:kern w:val="24"/>
          <w:sz w:val="18"/>
          <w:szCs w:val="18"/>
          <w:lang w:val="en-US"/>
        </w:rPr>
        <w:t>. Available at: www.blessingwhite.com.</w:t>
      </w:r>
    </w:p>
    <w:p w14:paraId="449D8123" w14:textId="77777777" w:rsidR="00FF445D" w:rsidRPr="00B827B3" w:rsidRDefault="00FF445D" w:rsidP="00FF445D">
      <w:pPr>
        <w:pStyle w:val="NormalWeb"/>
        <w:spacing w:before="200" w:beforeAutospacing="0" w:after="0" w:afterAutospacing="0" w:line="216" w:lineRule="auto"/>
        <w:ind w:left="360" w:hanging="360"/>
        <w:rPr>
          <w:color w:val="000000" w:themeColor="text1"/>
        </w:rPr>
      </w:pPr>
      <w:r w:rsidRPr="00B827B3">
        <w:rPr>
          <w:rFonts w:asciiTheme="minorHAnsi" w:eastAsiaTheme="minorEastAsia" w:hAnsi="Univers Condensed Light" w:cstheme="minorBidi"/>
          <w:color w:val="000000" w:themeColor="text1"/>
          <w:kern w:val="24"/>
          <w:sz w:val="18"/>
          <w:szCs w:val="18"/>
          <w:lang w:val="en-US"/>
        </w:rPr>
        <w:t>Clutterbuck, D. (2001</w:t>
      </w:r>
      <w:r w:rsidRPr="00B827B3">
        <w:rPr>
          <w:rFonts w:asciiTheme="minorHAnsi" w:eastAsiaTheme="minorEastAsia" w:hAnsi="Univers Condensed Light" w:cstheme="minorBidi"/>
          <w:i/>
          <w:color w:val="000000" w:themeColor="text1"/>
          <w:kern w:val="24"/>
          <w:sz w:val="18"/>
          <w:szCs w:val="18"/>
          <w:lang w:val="en-US"/>
        </w:rPr>
        <w:t>) Everyone Needs a Mentor</w:t>
      </w:r>
      <w:r w:rsidRPr="00B827B3">
        <w:rPr>
          <w:rFonts w:asciiTheme="minorHAnsi" w:eastAsiaTheme="minorEastAsia" w:hAnsi="Univers Condensed Light" w:cstheme="minorBidi"/>
          <w:color w:val="000000" w:themeColor="text1"/>
          <w:kern w:val="24"/>
          <w:sz w:val="18"/>
          <w:szCs w:val="18"/>
          <w:lang w:val="en-US"/>
        </w:rPr>
        <w:t>. London: CIPD.</w:t>
      </w:r>
    </w:p>
    <w:p w14:paraId="696FE418" w14:textId="6FDF7223" w:rsidR="00FF445D" w:rsidRPr="00B827B3" w:rsidRDefault="00FF445D" w:rsidP="00FF445D">
      <w:pPr>
        <w:pStyle w:val="NormalWeb"/>
        <w:spacing w:before="200" w:beforeAutospacing="0" w:after="0" w:afterAutospacing="0" w:line="216" w:lineRule="auto"/>
        <w:ind w:left="360" w:hanging="360"/>
        <w:rPr>
          <w:color w:val="000000" w:themeColor="text1"/>
        </w:rPr>
      </w:pPr>
      <w:r w:rsidRPr="00B827B3">
        <w:rPr>
          <w:rFonts w:asciiTheme="minorHAnsi" w:eastAsiaTheme="minorEastAsia" w:hAnsi="Univers Condensed Light" w:cstheme="minorBidi"/>
          <w:color w:val="000000" w:themeColor="text1"/>
          <w:kern w:val="24"/>
          <w:sz w:val="18"/>
          <w:szCs w:val="18"/>
          <w:lang w:val="en-US"/>
        </w:rPr>
        <w:t xml:space="preserve">Clutterbuck, D. (2012) Understanding diversity mentoring, in D. Clutterbuck, K.M. Poulsen and F Kachan (eds) </w:t>
      </w:r>
      <w:r w:rsidR="00237421" w:rsidRPr="00B827B3">
        <w:rPr>
          <w:rFonts w:asciiTheme="minorHAnsi" w:eastAsiaTheme="minorEastAsia" w:hAnsi="Univers Condensed Light" w:cstheme="minorBidi"/>
          <w:i/>
          <w:color w:val="000000" w:themeColor="text1"/>
          <w:kern w:val="24"/>
          <w:sz w:val="18"/>
          <w:szCs w:val="18"/>
          <w:lang w:val="en-US"/>
        </w:rPr>
        <w:t>Developing Successful</w:t>
      </w:r>
      <w:r w:rsidRPr="00B827B3">
        <w:rPr>
          <w:rFonts w:asciiTheme="minorHAnsi" w:eastAsiaTheme="minorEastAsia" w:hAnsi="Univers Condensed Light" w:cstheme="minorBidi"/>
          <w:i/>
          <w:color w:val="000000" w:themeColor="text1"/>
          <w:kern w:val="24"/>
          <w:sz w:val="18"/>
          <w:szCs w:val="18"/>
          <w:lang w:val="en-US"/>
        </w:rPr>
        <w:t xml:space="preserve"> Diversity Mentoring programmed: An International Casebook</w:t>
      </w:r>
      <w:r w:rsidRPr="00B827B3">
        <w:rPr>
          <w:rFonts w:asciiTheme="minorHAnsi" w:eastAsiaTheme="minorEastAsia" w:hAnsi="Univers Condensed Light" w:cstheme="minorBidi"/>
          <w:color w:val="000000" w:themeColor="text1"/>
          <w:kern w:val="24"/>
          <w:sz w:val="18"/>
          <w:szCs w:val="18"/>
          <w:lang w:val="en-US"/>
        </w:rPr>
        <w:t>: Maidenhead: Open University Press</w:t>
      </w:r>
    </w:p>
    <w:p w14:paraId="048E5865" w14:textId="77777777" w:rsidR="00FF445D" w:rsidRPr="00B827B3" w:rsidRDefault="00FF445D" w:rsidP="00FF445D">
      <w:pPr>
        <w:pStyle w:val="NormalWeb"/>
        <w:spacing w:before="200" w:beforeAutospacing="0" w:after="0" w:afterAutospacing="0" w:line="216" w:lineRule="auto"/>
        <w:ind w:left="360" w:hanging="360"/>
        <w:rPr>
          <w:color w:val="000000" w:themeColor="text1"/>
        </w:rPr>
      </w:pPr>
      <w:r w:rsidRPr="00B827B3">
        <w:rPr>
          <w:rFonts w:asciiTheme="minorHAnsi" w:eastAsiaTheme="minorEastAsia" w:hAnsi="Univers Condensed Light" w:cstheme="minorBidi"/>
          <w:color w:val="000000" w:themeColor="text1"/>
          <w:kern w:val="24"/>
          <w:sz w:val="18"/>
          <w:szCs w:val="18"/>
          <w:lang w:val="en-US"/>
        </w:rPr>
        <w:t xml:space="preserve">Cooperrider D.L. and Whitney, D. (1999) Appreciative enquiry: a positive revolution in change, in O. Holman and T. Davane (eds) </w:t>
      </w:r>
      <w:r w:rsidRPr="00B827B3">
        <w:rPr>
          <w:rFonts w:asciiTheme="minorHAnsi" w:eastAsiaTheme="minorEastAsia" w:hAnsi="Univers Condensed Light" w:cstheme="minorBidi"/>
          <w:i/>
          <w:color w:val="000000" w:themeColor="text1"/>
          <w:kern w:val="24"/>
          <w:sz w:val="18"/>
          <w:szCs w:val="18"/>
          <w:lang w:val="en-US"/>
        </w:rPr>
        <w:t>The Change Handbook: Group Methods for Shaping the Future</w:t>
      </w:r>
      <w:r w:rsidRPr="00B827B3">
        <w:rPr>
          <w:rFonts w:asciiTheme="minorHAnsi" w:eastAsiaTheme="minorEastAsia" w:hAnsi="Univers Condensed Light" w:cstheme="minorBidi"/>
          <w:color w:val="000000" w:themeColor="text1"/>
          <w:kern w:val="24"/>
          <w:sz w:val="18"/>
          <w:szCs w:val="18"/>
          <w:lang w:val="en-US"/>
        </w:rPr>
        <w:t>. San Francisco, CA: Berrett-Koehler.</w:t>
      </w:r>
    </w:p>
    <w:p w14:paraId="63E1CED7" w14:textId="77777777" w:rsidR="00FF445D" w:rsidRPr="00B827B3" w:rsidRDefault="00FF445D" w:rsidP="00FF445D">
      <w:pPr>
        <w:pStyle w:val="NormalWeb"/>
        <w:spacing w:before="200" w:beforeAutospacing="0" w:after="0" w:afterAutospacing="0" w:line="216" w:lineRule="auto"/>
        <w:ind w:left="360" w:hanging="360"/>
        <w:rPr>
          <w:color w:val="000000" w:themeColor="text1"/>
        </w:rPr>
      </w:pPr>
      <w:r w:rsidRPr="00B827B3">
        <w:rPr>
          <w:rFonts w:asciiTheme="minorHAnsi" w:eastAsiaTheme="minorEastAsia" w:hAnsi="Univers Condensed Light" w:cstheme="minorBidi"/>
          <w:color w:val="000000" w:themeColor="text1"/>
          <w:kern w:val="24"/>
          <w:sz w:val="18"/>
          <w:szCs w:val="18"/>
          <w:lang w:val="en-US"/>
        </w:rPr>
        <w:lastRenderedPageBreak/>
        <w:t>Critchley, B. (2009) Relational coaching: taking courage and making a difference</w:t>
      </w:r>
      <w:r w:rsidRPr="00B827B3">
        <w:rPr>
          <w:rFonts w:asciiTheme="minorHAnsi" w:eastAsiaTheme="minorEastAsia" w:hAnsi="Univers Condensed Light" w:cstheme="minorBidi"/>
          <w:i/>
          <w:color w:val="000000" w:themeColor="text1"/>
          <w:kern w:val="24"/>
          <w:sz w:val="18"/>
          <w:szCs w:val="18"/>
          <w:lang w:val="en-US"/>
        </w:rPr>
        <w:t>, International Journal of Mentoring and Coaching,</w:t>
      </w:r>
      <w:r w:rsidRPr="00B827B3">
        <w:rPr>
          <w:rFonts w:asciiTheme="minorHAnsi" w:eastAsiaTheme="minorEastAsia" w:hAnsi="Univers Condensed Light" w:cstheme="minorBidi"/>
          <w:color w:val="000000" w:themeColor="text1"/>
          <w:kern w:val="24"/>
          <w:sz w:val="18"/>
          <w:szCs w:val="18"/>
          <w:lang w:val="en-US"/>
        </w:rPr>
        <w:t xml:space="preserve"> 7 (2): 25-35.</w:t>
      </w:r>
    </w:p>
    <w:p w14:paraId="68C8F820" w14:textId="77777777" w:rsidR="00FF445D" w:rsidRPr="00B827B3" w:rsidRDefault="00FF445D" w:rsidP="00FF445D">
      <w:pPr>
        <w:pStyle w:val="NormalWeb"/>
        <w:spacing w:before="200" w:beforeAutospacing="0" w:after="0" w:afterAutospacing="0" w:line="216" w:lineRule="auto"/>
        <w:ind w:left="360" w:hanging="360"/>
        <w:rPr>
          <w:color w:val="000000" w:themeColor="text1"/>
        </w:rPr>
      </w:pPr>
      <w:r w:rsidRPr="00B827B3">
        <w:rPr>
          <w:rFonts w:asciiTheme="minorHAnsi" w:eastAsiaTheme="minorEastAsia" w:hAnsi="Univers Condensed Light" w:cstheme="minorBidi"/>
          <w:color w:val="000000" w:themeColor="text1"/>
          <w:kern w:val="24"/>
          <w:sz w:val="18"/>
          <w:szCs w:val="18"/>
          <w:lang w:val="en-US"/>
        </w:rPr>
        <w:t>Earley. P.C and Ang, S. (2003</w:t>
      </w:r>
      <w:r w:rsidRPr="00B827B3">
        <w:rPr>
          <w:rFonts w:asciiTheme="minorHAnsi" w:eastAsiaTheme="minorEastAsia" w:hAnsi="Univers Condensed Light" w:cstheme="minorBidi"/>
          <w:i/>
          <w:color w:val="000000" w:themeColor="text1"/>
          <w:kern w:val="24"/>
          <w:sz w:val="18"/>
          <w:szCs w:val="18"/>
          <w:lang w:val="en-US"/>
        </w:rPr>
        <w:t>) Cultural Intelligence</w:t>
      </w:r>
      <w:r w:rsidRPr="00B827B3">
        <w:rPr>
          <w:rFonts w:asciiTheme="minorHAnsi" w:eastAsiaTheme="minorEastAsia" w:hAnsi="Univers Condensed Light" w:cstheme="minorBidi"/>
          <w:color w:val="000000" w:themeColor="text1"/>
          <w:kern w:val="24"/>
          <w:sz w:val="18"/>
          <w:szCs w:val="18"/>
          <w:lang w:val="en-US"/>
        </w:rPr>
        <w:t>. Stanford, CA: Stanford University Press.</w:t>
      </w:r>
    </w:p>
    <w:p w14:paraId="00E3E4A8" w14:textId="77777777" w:rsidR="00FF445D" w:rsidRPr="00B827B3" w:rsidRDefault="00FF445D" w:rsidP="00FF445D">
      <w:pPr>
        <w:pStyle w:val="NormalWeb"/>
        <w:spacing w:before="200" w:beforeAutospacing="0" w:after="0" w:afterAutospacing="0" w:line="216" w:lineRule="auto"/>
        <w:ind w:left="360" w:hanging="360"/>
        <w:rPr>
          <w:color w:val="000000" w:themeColor="text1"/>
        </w:rPr>
      </w:pPr>
      <w:r w:rsidRPr="00B827B3">
        <w:rPr>
          <w:rFonts w:asciiTheme="minorHAnsi" w:eastAsiaTheme="minorEastAsia" w:hAnsi="Univers Condensed Light" w:cstheme="minorBidi"/>
          <w:color w:val="000000" w:themeColor="text1"/>
          <w:kern w:val="24"/>
          <w:sz w:val="18"/>
          <w:szCs w:val="18"/>
          <w:lang w:val="en-US"/>
        </w:rPr>
        <w:t xml:space="preserve">Ellis, A., Gordon, J., Neenan, M. and Palmer, S. (1997) </w:t>
      </w:r>
      <w:r w:rsidRPr="00B827B3">
        <w:rPr>
          <w:rFonts w:asciiTheme="minorHAnsi" w:eastAsiaTheme="minorEastAsia" w:hAnsi="Univers Condensed Light" w:cstheme="minorBidi"/>
          <w:i/>
          <w:color w:val="000000" w:themeColor="text1"/>
          <w:kern w:val="24"/>
          <w:sz w:val="18"/>
          <w:szCs w:val="18"/>
          <w:lang w:val="en-US"/>
        </w:rPr>
        <w:t>Stress Counseling</w:t>
      </w:r>
      <w:r w:rsidRPr="00B827B3">
        <w:rPr>
          <w:rFonts w:asciiTheme="minorHAnsi" w:eastAsiaTheme="minorEastAsia" w:hAnsi="Univers Condensed Light" w:cstheme="minorBidi"/>
          <w:color w:val="000000" w:themeColor="text1"/>
          <w:kern w:val="24"/>
          <w:sz w:val="18"/>
          <w:szCs w:val="18"/>
          <w:lang w:val="en-US"/>
        </w:rPr>
        <w:t xml:space="preserve">: </w:t>
      </w:r>
      <w:r w:rsidRPr="00B827B3">
        <w:rPr>
          <w:rFonts w:asciiTheme="minorHAnsi" w:eastAsiaTheme="minorEastAsia" w:hAnsi="Univers Condensed Light" w:cstheme="minorBidi"/>
          <w:i/>
          <w:color w:val="000000" w:themeColor="text1"/>
          <w:kern w:val="24"/>
          <w:sz w:val="18"/>
          <w:szCs w:val="18"/>
          <w:lang w:val="en-US"/>
        </w:rPr>
        <w:t>A Relational-Emotive Behavior Approach</w:t>
      </w:r>
      <w:r w:rsidRPr="00B827B3">
        <w:rPr>
          <w:rFonts w:asciiTheme="minorHAnsi" w:eastAsiaTheme="minorEastAsia" w:hAnsi="Univers Condensed Light" w:cstheme="minorBidi"/>
          <w:color w:val="000000" w:themeColor="text1"/>
          <w:kern w:val="24"/>
          <w:sz w:val="18"/>
          <w:szCs w:val="18"/>
          <w:lang w:val="en-US"/>
        </w:rPr>
        <w:t>. New York: Springer.</w:t>
      </w:r>
    </w:p>
    <w:p w14:paraId="15296E0A" w14:textId="77777777" w:rsidR="00B36CF4" w:rsidRPr="00B827B3" w:rsidRDefault="00B36CF4">
      <w:pPr>
        <w:rPr>
          <w:b/>
          <w:color w:val="000000" w:themeColor="text1"/>
          <w:sz w:val="40"/>
          <w:szCs w:val="40"/>
        </w:rPr>
      </w:pPr>
    </w:p>
    <w:p w14:paraId="482AD825" w14:textId="6597A7A3" w:rsidR="00222E01" w:rsidRDefault="00222E01" w:rsidP="00222E01">
      <w:pPr>
        <w:pStyle w:val="NormalWeb"/>
        <w:spacing w:before="200" w:beforeAutospacing="0" w:after="0" w:afterAutospacing="0" w:line="216" w:lineRule="auto"/>
        <w:ind w:left="360" w:hanging="360"/>
      </w:pPr>
    </w:p>
    <w:p w14:paraId="512CC179" w14:textId="77777777" w:rsidR="00B36CF4" w:rsidRPr="00B36CF4" w:rsidRDefault="00B36CF4">
      <w:pPr>
        <w:rPr>
          <w:b/>
          <w:bCs/>
          <w:sz w:val="40"/>
          <w:szCs w:val="40"/>
        </w:rPr>
      </w:pPr>
    </w:p>
    <w:sectPr w:rsidR="00B36CF4" w:rsidRPr="00B36C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Univers Condensed Light">
    <w:panose1 w:val="020B0306020202040204"/>
    <w:charset w:val="00"/>
    <w:family w:val="swiss"/>
    <w:pitch w:val="variable"/>
    <w:sig w:usb0="80000287" w:usb1="00000000" w:usb2="00000000" w:usb3="00000000" w:csb0="0000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392"/>
    <w:rsid w:val="0001061F"/>
    <w:rsid w:val="0006538A"/>
    <w:rsid w:val="000979D4"/>
    <w:rsid w:val="000C7965"/>
    <w:rsid w:val="00106F10"/>
    <w:rsid w:val="00115D74"/>
    <w:rsid w:val="001B5E4C"/>
    <w:rsid w:val="001C5D16"/>
    <w:rsid w:val="001E596C"/>
    <w:rsid w:val="001F2123"/>
    <w:rsid w:val="00203714"/>
    <w:rsid w:val="0021246A"/>
    <w:rsid w:val="00214926"/>
    <w:rsid w:val="00222E01"/>
    <w:rsid w:val="00234B88"/>
    <w:rsid w:val="00237421"/>
    <w:rsid w:val="002605CB"/>
    <w:rsid w:val="00297892"/>
    <w:rsid w:val="002B24A7"/>
    <w:rsid w:val="002B295C"/>
    <w:rsid w:val="002B69F3"/>
    <w:rsid w:val="0030429D"/>
    <w:rsid w:val="00323730"/>
    <w:rsid w:val="003343C4"/>
    <w:rsid w:val="00346B02"/>
    <w:rsid w:val="00351238"/>
    <w:rsid w:val="003531E2"/>
    <w:rsid w:val="003642CA"/>
    <w:rsid w:val="003703AE"/>
    <w:rsid w:val="00375CC0"/>
    <w:rsid w:val="0038307A"/>
    <w:rsid w:val="00461079"/>
    <w:rsid w:val="00461241"/>
    <w:rsid w:val="004714F8"/>
    <w:rsid w:val="004B78D6"/>
    <w:rsid w:val="004B7B60"/>
    <w:rsid w:val="004C1E2B"/>
    <w:rsid w:val="00510E73"/>
    <w:rsid w:val="00532374"/>
    <w:rsid w:val="00534979"/>
    <w:rsid w:val="00541F44"/>
    <w:rsid w:val="005573B3"/>
    <w:rsid w:val="005A2C81"/>
    <w:rsid w:val="005A4C75"/>
    <w:rsid w:val="005E35B0"/>
    <w:rsid w:val="00661448"/>
    <w:rsid w:val="00665F1B"/>
    <w:rsid w:val="006A4767"/>
    <w:rsid w:val="006B5679"/>
    <w:rsid w:val="006D6213"/>
    <w:rsid w:val="007051C1"/>
    <w:rsid w:val="00714623"/>
    <w:rsid w:val="007320DA"/>
    <w:rsid w:val="0073574B"/>
    <w:rsid w:val="00735E22"/>
    <w:rsid w:val="00786B7A"/>
    <w:rsid w:val="0079373D"/>
    <w:rsid w:val="007B42D1"/>
    <w:rsid w:val="007B4516"/>
    <w:rsid w:val="007C2719"/>
    <w:rsid w:val="007D6F25"/>
    <w:rsid w:val="007F6643"/>
    <w:rsid w:val="008474F4"/>
    <w:rsid w:val="0086187D"/>
    <w:rsid w:val="00866743"/>
    <w:rsid w:val="0087363B"/>
    <w:rsid w:val="008A1392"/>
    <w:rsid w:val="008E7368"/>
    <w:rsid w:val="008F0A08"/>
    <w:rsid w:val="00930FAF"/>
    <w:rsid w:val="00936C5A"/>
    <w:rsid w:val="00960518"/>
    <w:rsid w:val="00997939"/>
    <w:rsid w:val="009C148A"/>
    <w:rsid w:val="009E262D"/>
    <w:rsid w:val="00A05374"/>
    <w:rsid w:val="00A23D2F"/>
    <w:rsid w:val="00A363EB"/>
    <w:rsid w:val="00A37399"/>
    <w:rsid w:val="00A76AE1"/>
    <w:rsid w:val="00AC73C5"/>
    <w:rsid w:val="00AD1C47"/>
    <w:rsid w:val="00AE0A26"/>
    <w:rsid w:val="00AE3449"/>
    <w:rsid w:val="00AE57AF"/>
    <w:rsid w:val="00B20054"/>
    <w:rsid w:val="00B206F0"/>
    <w:rsid w:val="00B26640"/>
    <w:rsid w:val="00B3226C"/>
    <w:rsid w:val="00B36CF4"/>
    <w:rsid w:val="00B4557C"/>
    <w:rsid w:val="00B70816"/>
    <w:rsid w:val="00B750F8"/>
    <w:rsid w:val="00B827B3"/>
    <w:rsid w:val="00BB2872"/>
    <w:rsid w:val="00BB4EDD"/>
    <w:rsid w:val="00BD008B"/>
    <w:rsid w:val="00BD5EAE"/>
    <w:rsid w:val="00BE1441"/>
    <w:rsid w:val="00C058CA"/>
    <w:rsid w:val="00C2261C"/>
    <w:rsid w:val="00C246FA"/>
    <w:rsid w:val="00C31262"/>
    <w:rsid w:val="00C3678B"/>
    <w:rsid w:val="00C65C7F"/>
    <w:rsid w:val="00C81B07"/>
    <w:rsid w:val="00C913EC"/>
    <w:rsid w:val="00C9258B"/>
    <w:rsid w:val="00CA7ED0"/>
    <w:rsid w:val="00CC173D"/>
    <w:rsid w:val="00CD4FB1"/>
    <w:rsid w:val="00CE2DA0"/>
    <w:rsid w:val="00D17940"/>
    <w:rsid w:val="00D2555E"/>
    <w:rsid w:val="00D43AA6"/>
    <w:rsid w:val="00D444E8"/>
    <w:rsid w:val="00D462A7"/>
    <w:rsid w:val="00D73A58"/>
    <w:rsid w:val="00D9473D"/>
    <w:rsid w:val="00DC7531"/>
    <w:rsid w:val="00DF2E02"/>
    <w:rsid w:val="00E038B5"/>
    <w:rsid w:val="00E051E5"/>
    <w:rsid w:val="00E134DD"/>
    <w:rsid w:val="00E173C2"/>
    <w:rsid w:val="00E372A9"/>
    <w:rsid w:val="00E510B5"/>
    <w:rsid w:val="00E657F4"/>
    <w:rsid w:val="00E724A4"/>
    <w:rsid w:val="00E802E8"/>
    <w:rsid w:val="00E82658"/>
    <w:rsid w:val="00EB290E"/>
    <w:rsid w:val="00EC3911"/>
    <w:rsid w:val="00F7522F"/>
    <w:rsid w:val="00F8334B"/>
    <w:rsid w:val="00F96F46"/>
    <w:rsid w:val="00FE4D34"/>
    <w:rsid w:val="00FF4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623A2"/>
  <w15:chartTrackingRefBased/>
  <w15:docId w15:val="{01E101D0-CBEE-F24B-BCA3-504DF345A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2E01"/>
    <w:pPr>
      <w:spacing w:before="100" w:beforeAutospacing="1" w:after="100" w:afterAutospacing="1"/>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157051">
      <w:bodyDiv w:val="1"/>
      <w:marLeft w:val="0"/>
      <w:marRight w:val="0"/>
      <w:marTop w:val="0"/>
      <w:marBottom w:val="0"/>
      <w:divBdr>
        <w:top w:val="none" w:sz="0" w:space="0" w:color="auto"/>
        <w:left w:val="none" w:sz="0" w:space="0" w:color="auto"/>
        <w:bottom w:val="none" w:sz="0" w:space="0" w:color="auto"/>
        <w:right w:val="none" w:sz="0" w:space="0" w:color="auto"/>
      </w:divBdr>
    </w:div>
    <w:div w:id="175153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3</Pages>
  <Words>1051</Words>
  <Characters>5992</Characters>
  <Application>Microsoft Office Word</Application>
  <DocSecurity>0</DocSecurity>
  <Lines>49</Lines>
  <Paragraphs>14</Paragraphs>
  <ScaleCrop>false</ScaleCrop>
  <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jarju</dc:creator>
  <cp:keywords/>
  <dc:description/>
  <cp:lastModifiedBy>Charlotte jarju</cp:lastModifiedBy>
  <cp:revision>26</cp:revision>
  <dcterms:created xsi:type="dcterms:W3CDTF">2024-03-08T11:10:00Z</dcterms:created>
  <dcterms:modified xsi:type="dcterms:W3CDTF">2024-03-08T18:22:00Z</dcterms:modified>
</cp:coreProperties>
</file>