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09311">
      <w:pPr>
        <w:pStyle w:val="17"/>
        <w:spacing w:after="0"/>
      </w:pPr>
    </w:p>
    <w:p w14:paraId="77D02078">
      <w:pPr>
        <w:pStyle w:val="17"/>
        <w:spacing w:after="0"/>
      </w:pPr>
      <w:bookmarkStart w:id="27" w:name="_GoBack"/>
      <w:bookmarkEnd w:id="27"/>
      <w:r>
        <w:drawing>
          <wp:anchor distT="0" distB="0" distL="0" distR="0" simplePos="0" relativeHeight="251659264" behindDoc="0" locked="0" layoutInCell="1" allowOverlap="1">
            <wp:simplePos x="0" y="0"/>
            <wp:positionH relativeFrom="column">
              <wp:posOffset>1589405</wp:posOffset>
            </wp:positionH>
            <wp:positionV relativeFrom="paragraph">
              <wp:posOffset>-121285</wp:posOffset>
            </wp:positionV>
            <wp:extent cx="2783205" cy="1130300"/>
            <wp:effectExtent l="9525" t="9525" r="11430" b="18415"/>
            <wp:wrapNone/>
            <wp:docPr id="1026"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26" name="image2.png" descr="Discover University of Wales Trinity Saint David"/>
                    <pic:cNvPicPr/>
                  </pic:nvPicPr>
                  <pic:blipFill>
                    <a:blip r:embed="rId7" cstate="print"/>
                    <a:srcRect/>
                    <a:stretch>
                      <a:fillRect/>
                    </a:stretch>
                  </pic:blipFill>
                  <pic:spPr>
                    <a:xfrm>
                      <a:off x="0" y="0"/>
                      <a:ext cx="2783205" cy="1130300"/>
                    </a:xfrm>
                    <a:prstGeom prst="rect">
                      <a:avLst/>
                    </a:prstGeom>
                    <a:ln w="9525" cap="flat" cmpd="sng">
                      <a:solidFill>
                        <a:srgbClr val="000000"/>
                      </a:solidFill>
                      <a:prstDash val="solid"/>
                      <a:round/>
                      <a:headEnd type="none" w="med" len="med"/>
                      <a:tailEnd type="none" w="med" len="med"/>
                    </a:ln>
                  </pic:spPr>
                </pic:pic>
              </a:graphicData>
            </a:graphic>
          </wp:anchor>
        </w:drawing>
      </w:r>
    </w:p>
    <w:p w14:paraId="7D857705">
      <w:pPr>
        <w:pStyle w:val="17"/>
        <w:spacing w:after="0"/>
      </w:pPr>
      <w:bookmarkStart w:id="0" w:name="_heading=h.t5qrmlg7vxf3" w:colFirst="0" w:colLast="0"/>
      <w:bookmarkEnd w:id="0"/>
    </w:p>
    <w:p w14:paraId="4567035E">
      <w:pPr>
        <w:pStyle w:val="17"/>
        <w:spacing w:after="0"/>
        <w:jc w:val="both"/>
      </w:pPr>
      <w:bookmarkStart w:id="1" w:name="_heading=h.gp53koqqrtgy" w:colFirst="0" w:colLast="0"/>
      <w:bookmarkEnd w:id="1"/>
    </w:p>
    <w:p w14:paraId="138DED89">
      <w:pPr>
        <w:pStyle w:val="17"/>
        <w:spacing w:after="0"/>
      </w:pPr>
      <w:r>
        <w:t>PROGRAMME:  MSC ENGINEERING PROJECT MANAGEMENT</w:t>
      </w:r>
    </w:p>
    <w:p w14:paraId="57B34574">
      <w:pPr>
        <w:pStyle w:val="17"/>
        <w:spacing w:after="0"/>
      </w:pPr>
      <w:bookmarkStart w:id="2" w:name="_heading=h.6fdwnmpl5q7k" w:colFirst="0" w:colLast="0"/>
      <w:bookmarkEnd w:id="2"/>
      <w:r>
        <w:t>MODULE:  RESOURCING AND FINANCIAL MANAGEMENT FOR PROJECTS</w:t>
      </w:r>
    </w:p>
    <w:p w14:paraId="0C89D916">
      <w:pPr>
        <w:pStyle w:val="17"/>
        <w:spacing w:after="0"/>
      </w:pPr>
      <w:bookmarkStart w:id="3" w:name="_heading=h.8zwonsz65c8w" w:colFirst="0" w:colLast="0"/>
      <w:bookmarkEnd w:id="3"/>
      <w:r>
        <w:t>MODULE CODE:  ACHA 7028</w:t>
      </w:r>
    </w:p>
    <w:p w14:paraId="5332B430">
      <w:pPr>
        <w:pStyle w:val="17"/>
        <w:spacing w:after="0"/>
      </w:pPr>
      <w:r>
        <w:t>Assessment Component: 2</w:t>
      </w:r>
    </w:p>
    <w:p w14:paraId="3E73564D">
      <w:pPr>
        <w:pStyle w:val="17"/>
        <w:spacing w:after="0"/>
        <w:rPr>
          <w:lang w:val="en-US"/>
        </w:rPr>
      </w:pPr>
      <w:r>
        <w:rPr>
          <w:lang w:val="en-US"/>
        </w:rPr>
        <w:t>Student Name &amp; ID:  Aminur Islam Tonmoy  2522779</w:t>
      </w:r>
    </w:p>
    <w:p w14:paraId="5EBD57F1">
      <w:pPr>
        <w:pStyle w:val="17"/>
        <w:spacing w:after="0"/>
        <w:jc w:val="left"/>
        <w:rPr>
          <w:rFonts w:eastAsia="Quattrocento Sans"/>
          <w:sz w:val="18"/>
          <w:szCs w:val="18"/>
        </w:rPr>
      </w:pPr>
    </w:p>
    <w:p w14:paraId="21474AB4">
      <w:pPr>
        <w:numPr>
          <w:ilvl w:val="0"/>
          <w:numId w:val="0"/>
        </w:numPr>
        <w:spacing w:after="0"/>
        <w:rPr>
          <w:rFonts w:eastAsia="Quattrocento Sans"/>
          <w:sz w:val="18"/>
          <w:szCs w:val="18"/>
        </w:rPr>
      </w:pPr>
    </w:p>
    <w:p w14:paraId="3D928821">
      <w:pPr>
        <w:numPr>
          <w:ilvl w:val="0"/>
          <w:numId w:val="0"/>
        </w:numPr>
        <w:spacing w:after="0"/>
        <w:rPr>
          <w:rFonts w:eastAsia="Quattrocento Sans"/>
          <w:sz w:val="18"/>
          <w:szCs w:val="18"/>
        </w:rPr>
      </w:pPr>
    </w:p>
    <w:p w14:paraId="3036BA16">
      <w:pPr>
        <w:numPr>
          <w:ilvl w:val="0"/>
          <w:numId w:val="0"/>
        </w:numPr>
        <w:spacing w:after="0"/>
        <w:rPr>
          <w:rFonts w:eastAsia="Quattrocento Sans"/>
          <w:sz w:val="18"/>
          <w:szCs w:val="18"/>
        </w:rPr>
      </w:pPr>
    </w:p>
    <w:p w14:paraId="623DBC44">
      <w:pPr>
        <w:numPr>
          <w:ilvl w:val="0"/>
          <w:numId w:val="0"/>
        </w:numPr>
        <w:spacing w:after="0"/>
        <w:rPr>
          <w:rFonts w:eastAsia="Quattrocento Sans"/>
          <w:sz w:val="18"/>
          <w:szCs w:val="18"/>
        </w:rPr>
      </w:pPr>
    </w:p>
    <w:p w14:paraId="66A9195D">
      <w:pPr>
        <w:numPr>
          <w:ilvl w:val="0"/>
          <w:numId w:val="0"/>
        </w:numPr>
        <w:spacing w:after="0"/>
        <w:rPr>
          <w:rFonts w:eastAsia="Quattrocento Sans"/>
          <w:sz w:val="18"/>
          <w:szCs w:val="18"/>
        </w:rPr>
      </w:pPr>
    </w:p>
    <w:p w14:paraId="4D5DF59B">
      <w:pPr>
        <w:numPr>
          <w:ilvl w:val="0"/>
          <w:numId w:val="0"/>
        </w:numPr>
        <w:spacing w:after="0"/>
        <w:rPr>
          <w:rFonts w:eastAsia="Quattrocento Sans"/>
          <w:sz w:val="18"/>
          <w:szCs w:val="18"/>
        </w:rPr>
      </w:pPr>
    </w:p>
    <w:p w14:paraId="3A40CA65">
      <w:pPr>
        <w:numPr>
          <w:ilvl w:val="0"/>
          <w:numId w:val="0"/>
        </w:numPr>
        <w:spacing w:after="0"/>
        <w:rPr>
          <w:rFonts w:eastAsia="Quattrocento Sans"/>
          <w:sz w:val="18"/>
          <w:szCs w:val="18"/>
        </w:rPr>
      </w:pPr>
    </w:p>
    <w:p w14:paraId="65978733">
      <w:pPr>
        <w:numPr>
          <w:ilvl w:val="0"/>
          <w:numId w:val="0"/>
        </w:numPr>
        <w:spacing w:after="0"/>
        <w:rPr>
          <w:rFonts w:eastAsia="Quattrocento Sans"/>
          <w:sz w:val="18"/>
          <w:szCs w:val="18"/>
        </w:rPr>
      </w:pPr>
    </w:p>
    <w:p w14:paraId="16A3A9F6">
      <w:pPr>
        <w:numPr>
          <w:ilvl w:val="0"/>
          <w:numId w:val="0"/>
        </w:numPr>
        <w:spacing w:after="0"/>
        <w:rPr>
          <w:rFonts w:eastAsia="Quattrocento Sans"/>
          <w:sz w:val="18"/>
          <w:szCs w:val="18"/>
        </w:rPr>
      </w:pPr>
    </w:p>
    <w:p w14:paraId="5AC0524F">
      <w:pPr>
        <w:numPr>
          <w:ilvl w:val="0"/>
          <w:numId w:val="0"/>
        </w:numPr>
        <w:spacing w:after="0"/>
        <w:rPr>
          <w:rFonts w:eastAsia="Quattrocento Sans"/>
          <w:sz w:val="18"/>
          <w:szCs w:val="18"/>
        </w:rPr>
      </w:pPr>
    </w:p>
    <w:p w14:paraId="7273EAA0">
      <w:pPr>
        <w:numPr>
          <w:ilvl w:val="0"/>
          <w:numId w:val="0"/>
        </w:numPr>
        <w:spacing w:after="0"/>
        <w:rPr>
          <w:rFonts w:eastAsia="Quattrocento Sans"/>
          <w:sz w:val="18"/>
          <w:szCs w:val="18"/>
        </w:rPr>
      </w:pPr>
    </w:p>
    <w:p w14:paraId="2A497BAD">
      <w:pPr>
        <w:spacing w:after="0"/>
        <w:ind w:firstLine="8640"/>
        <w:rPr>
          <w:sz w:val="20"/>
          <w:szCs w:val="20"/>
        </w:rPr>
      </w:pPr>
      <w:r>
        <w:rPr>
          <w:sz w:val="20"/>
          <w:szCs w:val="20"/>
        </w:rPr>
        <w:t>  </w:t>
      </w:r>
    </w:p>
    <w:p w14:paraId="7B49D168">
      <w:pPr>
        <w:spacing w:after="0"/>
        <w:jc w:val="center"/>
        <w:rPr>
          <w:b/>
          <w:bCs/>
        </w:rPr>
      </w:pPr>
      <w:r>
        <w:rPr>
          <w:b/>
          <w:bCs/>
        </w:rPr>
        <w:t>Declaration</w:t>
      </w:r>
    </w:p>
    <w:p w14:paraId="6AB66605">
      <w:pPr>
        <w:spacing w:after="0"/>
        <w:rPr>
          <w:b/>
          <w:bCs/>
        </w:rPr>
      </w:pPr>
      <w:r>
        <w:rPr>
          <w:b/>
          <w:bCs/>
        </w:rPr>
        <w:t>Use of Generative AI in Assessment</w:t>
      </w:r>
    </w:p>
    <w:tbl>
      <w:tblPr>
        <w:tblStyle w:val="36"/>
        <w:tblW w:w="840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15" w:type="dxa"/>
          <w:bottom w:w="0" w:type="dxa"/>
          <w:right w:w="115" w:type="dxa"/>
        </w:tblCellMar>
      </w:tblPr>
      <w:tblGrid>
        <w:gridCol w:w="2205"/>
        <w:gridCol w:w="4935"/>
        <w:gridCol w:w="1260"/>
      </w:tblGrid>
      <w:tr w14:paraId="6DC9CA4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15" w:type="dxa"/>
            <w:bottom w:w="0" w:type="dxa"/>
            <w:right w:w="115" w:type="dxa"/>
          </w:tblCellMar>
        </w:tblPrEx>
        <w:trPr>
          <w:trHeight w:val="300" w:hRule="atLeast"/>
          <w:jc w:val="center"/>
        </w:trPr>
        <w:tc>
          <w:tcPr>
            <w:tcW w:w="220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7BD132DE">
            <w:pPr>
              <w:spacing w:after="0"/>
            </w:pPr>
            <w:r>
              <w:t>RESEARCH  </w:t>
            </w:r>
          </w:p>
        </w:tc>
        <w:tc>
          <w:tcPr>
            <w:tcW w:w="493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2E79F589">
            <w:pPr>
              <w:spacing w:after="0"/>
            </w:pPr>
            <w:r>
              <w:t>For this assessment, you can use Generative AI to support you in research, including searching for bibliography, using tools to summarise, compare and interrogate materials.  </w:t>
            </w:r>
          </w:p>
        </w:tc>
        <w:tc>
          <w:tcPr>
            <w:tcW w:w="1260"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0E50978E">
            <w:pPr>
              <w:spacing w:after="0"/>
            </w:pPr>
            <w:r>
              <w:t>Yes    </w:t>
            </w:r>
          </w:p>
          <w:p w14:paraId="72C84D0F">
            <w:pPr>
              <w:spacing w:after="0"/>
              <w:rPr>
                <w:b/>
                <w:bCs/>
              </w:rPr>
            </w:pPr>
            <w:r>
              <w:rPr>
                <w:b/>
                <w:bCs/>
                <w:highlight w:val="yellow"/>
              </w:rPr>
              <w:t>No</w:t>
            </w:r>
            <w:r>
              <w:rPr>
                <w:b/>
                <w:bCs/>
              </w:rPr>
              <w:t>   </w:t>
            </w:r>
          </w:p>
        </w:tc>
      </w:tr>
      <w:tr w14:paraId="5350D60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15" w:type="dxa"/>
            <w:bottom w:w="0" w:type="dxa"/>
            <w:right w:w="115" w:type="dxa"/>
          </w:tblCellMar>
        </w:tblPrEx>
        <w:trPr>
          <w:trHeight w:val="300" w:hRule="atLeast"/>
          <w:jc w:val="center"/>
        </w:trPr>
        <w:tc>
          <w:tcPr>
            <w:tcW w:w="220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44A0513C">
            <w:pPr>
              <w:spacing w:after="0"/>
            </w:pPr>
            <w:r>
              <w:t>STRUCTURE  </w:t>
            </w:r>
          </w:p>
        </w:tc>
        <w:tc>
          <w:tcPr>
            <w:tcW w:w="493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4F663D34">
            <w:pPr>
              <w:spacing w:after="0"/>
            </w:pPr>
            <w:r>
              <w:t>For this assessment, you can use Generative AI to support you in structuring your submission, including creating a draft argument structure, identifying parts and headings, etc.  </w:t>
            </w:r>
          </w:p>
        </w:tc>
        <w:tc>
          <w:tcPr>
            <w:tcW w:w="1260"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0B765F89">
            <w:pPr>
              <w:spacing w:after="0"/>
            </w:pPr>
            <w:r>
              <w:t>Yes     </w:t>
            </w:r>
          </w:p>
          <w:p w14:paraId="42142BA1">
            <w:pPr>
              <w:spacing w:after="0"/>
              <w:rPr>
                <w:b/>
                <w:bCs/>
              </w:rPr>
            </w:pPr>
            <w:r>
              <w:rPr>
                <w:b/>
                <w:bCs/>
                <w:highlight w:val="yellow"/>
              </w:rPr>
              <w:t>No</w:t>
            </w:r>
            <w:r>
              <w:rPr>
                <w:b/>
                <w:bCs/>
              </w:rPr>
              <w:t>     </w:t>
            </w:r>
          </w:p>
        </w:tc>
      </w:tr>
      <w:tr w14:paraId="2FB4E0D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15" w:type="dxa"/>
            <w:bottom w:w="0" w:type="dxa"/>
            <w:right w:w="115" w:type="dxa"/>
          </w:tblCellMar>
        </w:tblPrEx>
        <w:trPr>
          <w:trHeight w:val="300" w:hRule="atLeast"/>
          <w:jc w:val="center"/>
        </w:trPr>
        <w:tc>
          <w:tcPr>
            <w:tcW w:w="220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1FF0205F">
            <w:pPr>
              <w:spacing w:after="0"/>
            </w:pPr>
            <w:r>
              <w:t>PROOFREADING  </w:t>
            </w:r>
          </w:p>
        </w:tc>
        <w:tc>
          <w:tcPr>
            <w:tcW w:w="493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365C384F">
            <w:pPr>
              <w:spacing w:after="0"/>
            </w:pPr>
            <w:r>
              <w:t>For this assessment, you can use Generative AI to check your own text/creation for grammatical and syntactical mistakes, including rephrasing of your own work within specific standards.  </w:t>
            </w:r>
          </w:p>
        </w:tc>
        <w:tc>
          <w:tcPr>
            <w:tcW w:w="1260"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6F1007E6">
            <w:pPr>
              <w:spacing w:after="0"/>
            </w:pPr>
            <w:r>
              <w:t>Yes   </w:t>
            </w:r>
          </w:p>
          <w:p w14:paraId="1A243C61">
            <w:pPr>
              <w:spacing w:after="0"/>
              <w:rPr>
                <w:b/>
                <w:bCs/>
              </w:rPr>
            </w:pPr>
            <w:r>
              <w:rPr>
                <w:b/>
                <w:bCs/>
                <w:highlight w:val="yellow"/>
              </w:rPr>
              <w:t>No</w:t>
            </w:r>
            <w:r>
              <w:rPr>
                <w:b/>
                <w:bCs/>
              </w:rPr>
              <w:t xml:space="preserve">   </w:t>
            </w:r>
          </w:p>
        </w:tc>
      </w:tr>
      <w:tr w14:paraId="7996DCD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15" w:type="dxa"/>
            <w:bottom w:w="0" w:type="dxa"/>
            <w:right w:w="115" w:type="dxa"/>
          </w:tblCellMar>
        </w:tblPrEx>
        <w:trPr>
          <w:trHeight w:val="1048" w:hRule="atLeast"/>
          <w:jc w:val="center"/>
        </w:trPr>
        <w:tc>
          <w:tcPr>
            <w:tcW w:w="220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6FD7501C">
            <w:pPr>
              <w:spacing w:after="0"/>
            </w:pPr>
            <w:r>
              <w:t>WRITING  </w:t>
            </w:r>
          </w:p>
        </w:tc>
        <w:tc>
          <w:tcPr>
            <w:tcW w:w="493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018FC2CD">
            <w:pPr>
              <w:spacing w:after="0"/>
            </w:pPr>
            <w:r>
              <w:t>For this assessment, you can use Generative AI to create text for submission.  </w:t>
            </w:r>
          </w:p>
        </w:tc>
        <w:tc>
          <w:tcPr>
            <w:tcW w:w="1260"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0C4514A0">
            <w:pPr>
              <w:spacing w:after="0"/>
            </w:pPr>
            <w:r>
              <w:t xml:space="preserve">Yes </w:t>
            </w:r>
          </w:p>
          <w:p w14:paraId="43EA6870">
            <w:pPr>
              <w:spacing w:after="0"/>
              <w:rPr>
                <w:b/>
                <w:bCs/>
              </w:rPr>
            </w:pPr>
            <w:r>
              <w:rPr>
                <w:b/>
                <w:bCs/>
                <w:highlight w:val="yellow"/>
              </w:rPr>
              <w:t>No</w:t>
            </w:r>
            <w:r>
              <w:rPr>
                <w:b/>
                <w:bCs/>
              </w:rPr>
              <w:t>    </w:t>
            </w:r>
          </w:p>
        </w:tc>
      </w:tr>
      <w:tr w14:paraId="7B90896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15" w:type="dxa"/>
            <w:bottom w:w="0" w:type="dxa"/>
            <w:right w:w="115" w:type="dxa"/>
          </w:tblCellMar>
        </w:tblPrEx>
        <w:trPr>
          <w:trHeight w:val="300" w:hRule="atLeast"/>
          <w:jc w:val="center"/>
        </w:trPr>
        <w:tc>
          <w:tcPr>
            <w:tcW w:w="220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64075DCD">
            <w:pPr>
              <w:spacing w:after="0"/>
            </w:pPr>
            <w:r>
              <w:t>CREATIVE  </w:t>
            </w:r>
          </w:p>
        </w:tc>
        <w:tc>
          <w:tcPr>
            <w:tcW w:w="493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1DE600EE">
            <w:pPr>
              <w:spacing w:after="0"/>
            </w:pPr>
            <w:r>
              <w:t>For this assessment, you can use Generative AI to create creative materials, such as images.  </w:t>
            </w:r>
          </w:p>
        </w:tc>
        <w:tc>
          <w:tcPr>
            <w:tcW w:w="1260"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277A1D74">
            <w:pPr>
              <w:spacing w:after="0"/>
            </w:pPr>
            <w:r>
              <w:t>Yes </w:t>
            </w:r>
          </w:p>
          <w:p w14:paraId="2B66015E">
            <w:pPr>
              <w:spacing w:after="0"/>
              <w:rPr>
                <w:b/>
                <w:bCs/>
              </w:rPr>
            </w:pPr>
            <w:r>
              <w:rPr>
                <w:b/>
                <w:bCs/>
                <w:highlight w:val="yellow"/>
              </w:rPr>
              <w:t>No</w:t>
            </w:r>
            <w:r>
              <w:rPr>
                <w:b/>
                <w:bCs/>
              </w:rPr>
              <w:t>   </w:t>
            </w:r>
          </w:p>
        </w:tc>
      </w:tr>
      <w:tr w14:paraId="652C2AF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15" w:type="dxa"/>
            <w:bottom w:w="0" w:type="dxa"/>
            <w:right w:w="115" w:type="dxa"/>
          </w:tblCellMar>
        </w:tblPrEx>
        <w:trPr>
          <w:trHeight w:val="300" w:hRule="atLeast"/>
          <w:jc w:val="center"/>
        </w:trPr>
        <w:tc>
          <w:tcPr>
            <w:tcW w:w="220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3E3864F0">
            <w:pPr>
              <w:spacing w:after="0"/>
            </w:pPr>
            <w:r>
              <w:t>PROGRAMING  </w:t>
            </w:r>
          </w:p>
        </w:tc>
        <w:tc>
          <w:tcPr>
            <w:tcW w:w="493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4FE387E5">
            <w:pPr>
              <w:spacing w:after="0"/>
            </w:pPr>
            <w:r>
              <w:t>For this assessment, you can use Generative AI to create and check code.  </w:t>
            </w:r>
          </w:p>
        </w:tc>
        <w:tc>
          <w:tcPr>
            <w:tcW w:w="1260"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0C7F652F">
            <w:pPr>
              <w:spacing w:after="0"/>
            </w:pPr>
            <w:r>
              <w:t>Yes  </w:t>
            </w:r>
          </w:p>
          <w:p w14:paraId="744E0C06">
            <w:pPr>
              <w:spacing w:after="0"/>
              <w:rPr>
                <w:b/>
                <w:bCs/>
              </w:rPr>
            </w:pPr>
            <w:r>
              <w:rPr>
                <w:b/>
                <w:bCs/>
                <w:highlight w:val="yellow"/>
              </w:rPr>
              <w:t>No</w:t>
            </w:r>
            <w:r>
              <w:rPr>
                <w:b/>
                <w:bCs/>
              </w:rPr>
              <w:t>   </w:t>
            </w:r>
          </w:p>
        </w:tc>
      </w:tr>
      <w:tr w14:paraId="41E2510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15" w:type="dxa"/>
            <w:bottom w:w="0" w:type="dxa"/>
            <w:right w:w="115" w:type="dxa"/>
          </w:tblCellMar>
        </w:tblPrEx>
        <w:trPr>
          <w:trHeight w:val="300" w:hRule="atLeast"/>
          <w:jc w:val="center"/>
        </w:trPr>
        <w:tc>
          <w:tcPr>
            <w:tcW w:w="220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5056033E">
            <w:pPr>
              <w:spacing w:after="0"/>
            </w:pPr>
            <w:r>
              <w:t>NONE  </w:t>
            </w:r>
          </w:p>
        </w:tc>
        <w:tc>
          <w:tcPr>
            <w:tcW w:w="4935"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395047C2">
            <w:pPr>
              <w:spacing w:after="0"/>
            </w:pPr>
            <w:r>
              <w:t xml:space="preserve">For this assessment, you are not allowed to use </w:t>
            </w:r>
            <w:r>
              <w:rPr>
                <w:b/>
                <w:bCs/>
              </w:rPr>
              <w:t>any</w:t>
            </w:r>
            <w:r>
              <w:t xml:space="preserve"> type of Generative AI support. This includes research support, structure support, writing/proofreading support and creative support.  </w:t>
            </w:r>
          </w:p>
        </w:tc>
        <w:tc>
          <w:tcPr>
            <w:tcW w:w="1260" w:type="dxa"/>
            <w:tcBorders>
              <w:top w:val="single" w:color="000000" w:sz="6" w:space="0"/>
              <w:left w:val="single" w:color="000000" w:sz="6" w:space="0"/>
              <w:bottom w:val="single" w:color="000000" w:sz="6" w:space="0"/>
              <w:right w:val="single" w:color="000000" w:sz="6" w:space="0"/>
            </w:tcBorders>
            <w:tcMar>
              <w:left w:w="105" w:type="dxa"/>
              <w:right w:w="105" w:type="dxa"/>
            </w:tcMar>
          </w:tcPr>
          <w:p w14:paraId="05AE92E6">
            <w:pPr>
              <w:spacing w:after="0"/>
            </w:pPr>
            <w:r>
              <w:t>Yes  </w:t>
            </w:r>
          </w:p>
          <w:p w14:paraId="52BEA3CB">
            <w:pPr>
              <w:spacing w:after="0"/>
              <w:rPr>
                <w:b/>
                <w:bCs/>
              </w:rPr>
            </w:pPr>
            <w:r>
              <w:rPr>
                <w:b/>
                <w:bCs/>
                <w:highlight w:val="yellow"/>
              </w:rPr>
              <w:t>No</w:t>
            </w:r>
            <w:r>
              <w:rPr>
                <w:b/>
                <w:bCs/>
              </w:rPr>
              <w:t>    </w:t>
            </w:r>
          </w:p>
        </w:tc>
      </w:tr>
    </w:tbl>
    <w:p w14:paraId="659949CB">
      <w:pPr>
        <w:spacing w:after="0"/>
        <w:rPr>
          <w:b/>
          <w:bCs/>
        </w:rPr>
      </w:pPr>
    </w:p>
    <w:p w14:paraId="7B05F359">
      <w:pPr>
        <w:spacing w:after="0"/>
        <w:rPr>
          <w:b/>
          <w:bCs/>
        </w:rPr>
      </w:pPr>
      <w:r>
        <w:br w:type="page"/>
      </w:r>
      <w:r>
        <w:rPr>
          <w:b/>
          <w:bCs/>
        </w:rPr>
        <w:t>AI Acknowledgement </w:t>
      </w:r>
    </w:p>
    <w:p w14:paraId="6E4B8495">
      <w:pPr>
        <w:spacing w:after="0"/>
        <w:rPr>
          <w:sz w:val="18"/>
          <w:szCs w:val="18"/>
        </w:rPr>
      </w:pPr>
      <w:r>
        <w:t>I confirm that I have not present any AI-generated materials as my own work in this portfolio. However, I acknowledge that I have used or may have used the AI in the research and proofreading of my portfolio. </w:t>
      </w:r>
    </w:p>
    <w:p w14:paraId="0FA3CDB6">
      <w:pPr>
        <w:spacing w:after="0"/>
        <w:rPr>
          <w:sz w:val="18"/>
          <w:szCs w:val="18"/>
        </w:rPr>
      </w:pPr>
      <w:r>
        <w:t>Name…</w:t>
      </w:r>
      <w:r>
        <w:rPr>
          <w:lang w:val="en-US"/>
        </w:rPr>
        <w:t xml:space="preserve">Aminur Islam Tonmoy </w:t>
      </w:r>
      <w:r>
        <w:t>.... </w:t>
      </w:r>
    </w:p>
    <w:p w14:paraId="486AC00F">
      <w:pPr>
        <w:spacing w:after="0"/>
        <w:rPr>
          <w:sz w:val="18"/>
          <w:szCs w:val="18"/>
        </w:rPr>
      </w:pPr>
      <w:r>
        <w:t>Student ID.......</w:t>
      </w:r>
      <w:r>
        <w:rPr>
          <w:lang w:val="en-US"/>
        </w:rPr>
        <w:t>2522779</w:t>
      </w:r>
      <w:r>
        <w:t>..... </w:t>
      </w:r>
    </w:p>
    <w:p w14:paraId="5A5D4FAF">
      <w:pPr>
        <w:spacing w:after="0"/>
      </w:pPr>
    </w:p>
    <w:p w14:paraId="740A5D7A">
      <w:pPr>
        <w:spacing w:after="0"/>
        <w:rPr>
          <w:b/>
          <w:bCs/>
        </w:rPr>
      </w:pPr>
      <w:r>
        <w:br w:type="page"/>
      </w:r>
    </w:p>
    <w:p w14:paraId="37CD4929">
      <w:pPr>
        <w:spacing w:after="0"/>
        <w:jc w:val="center"/>
        <w:rPr>
          <w:b/>
          <w:bCs/>
        </w:rPr>
      </w:pPr>
      <w:r>
        <w:rPr>
          <w:b/>
          <w:bCs/>
        </w:rPr>
        <w:t>Executive Summary</w:t>
      </w:r>
    </w:p>
    <w:p w14:paraId="745283A4">
      <w:pPr>
        <w:spacing w:after="0"/>
      </w:pPr>
      <w:r>
        <w:t xml:space="preserve">The report highlights financial feasibility of the </w:t>
      </w:r>
      <w:r>
        <w:rPr>
          <w:b/>
          <w:bCs/>
          <w:i/>
          <w:iCs/>
        </w:rPr>
        <w:t xml:space="preserve">community health clinic, </w:t>
      </w:r>
      <w:r>
        <w:t xml:space="preserve">a not-for-profit healthcare provider based in the UK. Key findings observed within this assignment are the benefits of equity financing in long-term planning and constitutes around 50% of the total project’s budget, that is, £25 million. Base case and best case scenarios are profitable outcomes for the projects due to positive NPV and higher IRR values. Cost control plan requires contingency budgeting, earned value management and cost monitoring to manage any unforeseen expenditure. Elements such as schedule variance, cost variance, monthly financials and cost reports are useful for avoiding any financial losses and tracking any delays in project activities.  </w:t>
      </w:r>
    </w:p>
    <w:p w14:paraId="7D23AB4B">
      <w:pPr>
        <w:spacing w:after="0"/>
        <w:rPr>
          <w:b/>
          <w:bCs/>
        </w:rPr>
      </w:pPr>
      <w:r>
        <w:br w:type="page"/>
      </w:r>
    </w:p>
    <w:p w14:paraId="71ED5BF2">
      <w:pPr>
        <w:spacing w:before="0" w:after="0"/>
        <w:jc w:val="center"/>
        <w:rPr>
          <w:b/>
          <w:bCs/>
        </w:rPr>
      </w:pPr>
      <w:r>
        <w:rPr>
          <w:b/>
          <w:bCs/>
        </w:rPr>
        <w:t>Table of Contents</w:t>
      </w:r>
    </w:p>
    <w:p w14:paraId="1C9AC1D0">
      <w:pPr>
        <w:pStyle w:val="18"/>
        <w:tabs>
          <w:tab w:val="right" w:leader="dot" w:pos="9029"/>
        </w:tabs>
      </w:pPr>
      <w:r>
        <w:fldChar w:fldCharType="begin"/>
      </w:r>
      <w:r>
        <w:instrText xml:space="preserve"> TOC \h \u \z \t "Heading 1,1,Heading 2,2,Heading 3,3,Heading 4,4,Heading 5,5,Heading 6,6,"</w:instrText>
      </w:r>
      <w:r>
        <w:fldChar w:fldCharType="separate"/>
      </w:r>
      <w:r>
        <w:fldChar w:fldCharType="begin"/>
      </w:r>
      <w:r>
        <w:instrText xml:space="preserve"> HYPERLINK \l _Toc12357 </w:instrText>
      </w:r>
      <w:r>
        <w:fldChar w:fldCharType="separate"/>
      </w:r>
      <w:r>
        <w:t>1. Introduction and Project Overview</w:t>
      </w:r>
      <w:r>
        <w:tab/>
      </w:r>
      <w:r>
        <w:fldChar w:fldCharType="begin"/>
      </w:r>
      <w:r>
        <w:instrText xml:space="preserve"> PAGEREF _Toc12357 \h </w:instrText>
      </w:r>
      <w:r>
        <w:fldChar w:fldCharType="separate"/>
      </w:r>
      <w:r>
        <w:t>7</w:t>
      </w:r>
      <w:r>
        <w:fldChar w:fldCharType="end"/>
      </w:r>
      <w:r>
        <w:fldChar w:fldCharType="end"/>
      </w:r>
    </w:p>
    <w:p w14:paraId="49A91DC5">
      <w:pPr>
        <w:pStyle w:val="18"/>
        <w:tabs>
          <w:tab w:val="right" w:leader="dot" w:pos="9029"/>
        </w:tabs>
      </w:pPr>
      <w:r>
        <w:fldChar w:fldCharType="begin"/>
      </w:r>
      <w:r>
        <w:instrText xml:space="preserve"> HYPERLINK \l _Toc25584 </w:instrText>
      </w:r>
      <w:r>
        <w:fldChar w:fldCharType="separate"/>
      </w:r>
      <w:r>
        <w:t>2. Section A: Sources of Financing</w:t>
      </w:r>
      <w:r>
        <w:tab/>
      </w:r>
      <w:r>
        <w:fldChar w:fldCharType="begin"/>
      </w:r>
      <w:r>
        <w:instrText xml:space="preserve"> PAGEREF _Toc25584 \h </w:instrText>
      </w:r>
      <w:r>
        <w:fldChar w:fldCharType="separate"/>
      </w:r>
      <w:r>
        <w:t>7</w:t>
      </w:r>
      <w:r>
        <w:fldChar w:fldCharType="end"/>
      </w:r>
      <w:r>
        <w:fldChar w:fldCharType="end"/>
      </w:r>
    </w:p>
    <w:p w14:paraId="390F6B53">
      <w:pPr>
        <w:pStyle w:val="19"/>
        <w:tabs>
          <w:tab w:val="right" w:leader="dot" w:pos="9029"/>
        </w:tabs>
      </w:pPr>
      <w:r>
        <w:fldChar w:fldCharType="begin"/>
      </w:r>
      <w:r>
        <w:instrText xml:space="preserve"> HYPERLINK \l _Toc23294 </w:instrText>
      </w:r>
      <w:r>
        <w:fldChar w:fldCharType="separate"/>
      </w:r>
      <w:r>
        <w:t>2.1 Equity Financing</w:t>
      </w:r>
      <w:r>
        <w:tab/>
      </w:r>
      <w:r>
        <w:fldChar w:fldCharType="begin"/>
      </w:r>
      <w:r>
        <w:instrText xml:space="preserve"> PAGEREF _Toc23294 \h </w:instrText>
      </w:r>
      <w:r>
        <w:fldChar w:fldCharType="separate"/>
      </w:r>
      <w:r>
        <w:t>7</w:t>
      </w:r>
      <w:r>
        <w:fldChar w:fldCharType="end"/>
      </w:r>
      <w:r>
        <w:fldChar w:fldCharType="end"/>
      </w:r>
    </w:p>
    <w:p w14:paraId="5453B72E">
      <w:pPr>
        <w:pStyle w:val="19"/>
        <w:tabs>
          <w:tab w:val="right" w:leader="dot" w:pos="9029"/>
        </w:tabs>
      </w:pPr>
      <w:r>
        <w:fldChar w:fldCharType="begin"/>
      </w:r>
      <w:r>
        <w:instrText xml:space="preserve"> HYPERLINK \l _Toc4566 </w:instrText>
      </w:r>
      <w:r>
        <w:fldChar w:fldCharType="separate"/>
      </w:r>
      <w:r>
        <w:t>2.2 Government grants</w:t>
      </w:r>
      <w:r>
        <w:tab/>
      </w:r>
      <w:r>
        <w:fldChar w:fldCharType="begin"/>
      </w:r>
      <w:r>
        <w:instrText xml:space="preserve"> PAGEREF _Toc4566 \h </w:instrText>
      </w:r>
      <w:r>
        <w:fldChar w:fldCharType="separate"/>
      </w:r>
      <w:r>
        <w:t>8</w:t>
      </w:r>
      <w:r>
        <w:fldChar w:fldCharType="end"/>
      </w:r>
      <w:r>
        <w:fldChar w:fldCharType="end"/>
      </w:r>
    </w:p>
    <w:p w14:paraId="0B16079E">
      <w:pPr>
        <w:pStyle w:val="19"/>
        <w:tabs>
          <w:tab w:val="right" w:leader="dot" w:pos="9029"/>
        </w:tabs>
      </w:pPr>
      <w:r>
        <w:fldChar w:fldCharType="begin"/>
      </w:r>
      <w:r>
        <w:instrText xml:space="preserve"> HYPERLINK \l _Toc25268 </w:instrText>
      </w:r>
      <w:r>
        <w:fldChar w:fldCharType="separate"/>
      </w:r>
      <w:r>
        <w:t>2.3 Internal financing</w:t>
      </w:r>
      <w:r>
        <w:tab/>
      </w:r>
      <w:r>
        <w:fldChar w:fldCharType="begin"/>
      </w:r>
      <w:r>
        <w:instrText xml:space="preserve"> PAGEREF _Toc25268 \h </w:instrText>
      </w:r>
      <w:r>
        <w:fldChar w:fldCharType="separate"/>
      </w:r>
      <w:r>
        <w:t>8</w:t>
      </w:r>
      <w:r>
        <w:fldChar w:fldCharType="end"/>
      </w:r>
      <w:r>
        <w:fldChar w:fldCharType="end"/>
      </w:r>
    </w:p>
    <w:p w14:paraId="7D51C004">
      <w:pPr>
        <w:pStyle w:val="18"/>
        <w:tabs>
          <w:tab w:val="right" w:leader="dot" w:pos="9029"/>
        </w:tabs>
      </w:pPr>
      <w:r>
        <w:fldChar w:fldCharType="begin"/>
      </w:r>
      <w:r>
        <w:instrText xml:space="preserve"> HYPERLINK \l _Toc29595 </w:instrText>
      </w:r>
      <w:r>
        <w:fldChar w:fldCharType="separate"/>
      </w:r>
      <w:r>
        <w:t>3. Section B: Capital Budgeting Analysis</w:t>
      </w:r>
      <w:r>
        <w:tab/>
      </w:r>
      <w:r>
        <w:fldChar w:fldCharType="begin"/>
      </w:r>
      <w:r>
        <w:instrText xml:space="preserve"> PAGEREF _Toc29595 \h </w:instrText>
      </w:r>
      <w:r>
        <w:fldChar w:fldCharType="separate"/>
      </w:r>
      <w:r>
        <w:t>9</w:t>
      </w:r>
      <w:r>
        <w:fldChar w:fldCharType="end"/>
      </w:r>
      <w:r>
        <w:fldChar w:fldCharType="end"/>
      </w:r>
    </w:p>
    <w:p w14:paraId="18663749">
      <w:pPr>
        <w:pStyle w:val="19"/>
        <w:tabs>
          <w:tab w:val="right" w:leader="dot" w:pos="9029"/>
        </w:tabs>
      </w:pPr>
      <w:r>
        <w:fldChar w:fldCharType="begin"/>
      </w:r>
      <w:r>
        <w:instrText xml:space="preserve"> HYPERLINK \l _Toc19282 </w:instrText>
      </w:r>
      <w:r>
        <w:fldChar w:fldCharType="separate"/>
      </w:r>
      <w:r>
        <w:t>3.1 Clear assumptions</w:t>
      </w:r>
      <w:r>
        <w:tab/>
      </w:r>
      <w:r>
        <w:fldChar w:fldCharType="begin"/>
      </w:r>
      <w:r>
        <w:instrText xml:space="preserve"> PAGEREF _Toc19282 \h </w:instrText>
      </w:r>
      <w:r>
        <w:fldChar w:fldCharType="separate"/>
      </w:r>
      <w:r>
        <w:t>9</w:t>
      </w:r>
      <w:r>
        <w:fldChar w:fldCharType="end"/>
      </w:r>
      <w:r>
        <w:fldChar w:fldCharType="end"/>
      </w:r>
    </w:p>
    <w:p w14:paraId="20CDDA3A">
      <w:pPr>
        <w:pStyle w:val="19"/>
        <w:tabs>
          <w:tab w:val="right" w:leader="dot" w:pos="9029"/>
        </w:tabs>
      </w:pPr>
      <w:r>
        <w:fldChar w:fldCharType="begin"/>
      </w:r>
      <w:r>
        <w:instrText xml:space="preserve"> HYPERLINK \l _Toc9746 </w:instrText>
      </w:r>
      <w:r>
        <w:fldChar w:fldCharType="separate"/>
      </w:r>
      <w:r>
        <w:t>3.2 Base, best and worst case scenarios</w:t>
      </w:r>
      <w:r>
        <w:tab/>
      </w:r>
      <w:r>
        <w:fldChar w:fldCharType="begin"/>
      </w:r>
      <w:r>
        <w:instrText xml:space="preserve"> PAGEREF _Toc9746 \h </w:instrText>
      </w:r>
      <w:r>
        <w:fldChar w:fldCharType="separate"/>
      </w:r>
      <w:r>
        <w:t>9</w:t>
      </w:r>
      <w:r>
        <w:fldChar w:fldCharType="end"/>
      </w:r>
      <w:r>
        <w:fldChar w:fldCharType="end"/>
      </w:r>
    </w:p>
    <w:p w14:paraId="29F98C88">
      <w:pPr>
        <w:pStyle w:val="19"/>
        <w:tabs>
          <w:tab w:val="right" w:leader="dot" w:pos="9029"/>
        </w:tabs>
      </w:pPr>
      <w:r>
        <w:fldChar w:fldCharType="begin"/>
      </w:r>
      <w:r>
        <w:instrText xml:space="preserve"> HYPERLINK \l _Toc11415 </w:instrText>
      </w:r>
      <w:r>
        <w:fldChar w:fldCharType="separate"/>
      </w:r>
      <w:r>
        <w:t>3.3 Analysis of calculations</w:t>
      </w:r>
      <w:r>
        <w:tab/>
      </w:r>
      <w:r>
        <w:fldChar w:fldCharType="begin"/>
      </w:r>
      <w:r>
        <w:instrText xml:space="preserve"> PAGEREF _Toc11415 \h </w:instrText>
      </w:r>
      <w:r>
        <w:fldChar w:fldCharType="separate"/>
      </w:r>
      <w:r>
        <w:t>13</w:t>
      </w:r>
      <w:r>
        <w:fldChar w:fldCharType="end"/>
      </w:r>
      <w:r>
        <w:fldChar w:fldCharType="end"/>
      </w:r>
    </w:p>
    <w:p w14:paraId="75CFA896">
      <w:pPr>
        <w:pStyle w:val="19"/>
        <w:tabs>
          <w:tab w:val="right" w:leader="dot" w:pos="9029"/>
        </w:tabs>
      </w:pPr>
      <w:r>
        <w:fldChar w:fldCharType="begin"/>
      </w:r>
      <w:r>
        <w:instrText xml:space="preserve"> HYPERLINK \l _Toc24430 </w:instrText>
      </w:r>
      <w:r>
        <w:fldChar w:fldCharType="separate"/>
      </w:r>
      <w:r>
        <w:t>3.4 Discussion on uncertainty affecting decision-making</w:t>
      </w:r>
      <w:r>
        <w:tab/>
      </w:r>
      <w:r>
        <w:fldChar w:fldCharType="begin"/>
      </w:r>
      <w:r>
        <w:instrText xml:space="preserve"> PAGEREF _Toc24430 \h </w:instrText>
      </w:r>
      <w:r>
        <w:fldChar w:fldCharType="separate"/>
      </w:r>
      <w:r>
        <w:t>14</w:t>
      </w:r>
      <w:r>
        <w:fldChar w:fldCharType="end"/>
      </w:r>
      <w:r>
        <w:fldChar w:fldCharType="end"/>
      </w:r>
    </w:p>
    <w:p w14:paraId="09774F91">
      <w:pPr>
        <w:pStyle w:val="18"/>
        <w:tabs>
          <w:tab w:val="right" w:leader="dot" w:pos="9029"/>
        </w:tabs>
      </w:pPr>
      <w:r>
        <w:fldChar w:fldCharType="begin"/>
      </w:r>
      <w:r>
        <w:instrText xml:space="preserve"> HYPERLINK \l _Toc5029 </w:instrText>
      </w:r>
      <w:r>
        <w:fldChar w:fldCharType="separate"/>
      </w:r>
      <w:r>
        <w:t>4. Section C: Cost Control Plan</w:t>
      </w:r>
      <w:r>
        <w:tab/>
      </w:r>
      <w:r>
        <w:fldChar w:fldCharType="begin"/>
      </w:r>
      <w:r>
        <w:instrText xml:space="preserve"> PAGEREF _Toc5029 \h </w:instrText>
      </w:r>
      <w:r>
        <w:fldChar w:fldCharType="separate"/>
      </w:r>
      <w:r>
        <w:t>14</w:t>
      </w:r>
      <w:r>
        <w:fldChar w:fldCharType="end"/>
      </w:r>
      <w:r>
        <w:fldChar w:fldCharType="end"/>
      </w:r>
    </w:p>
    <w:p w14:paraId="6F66288E">
      <w:pPr>
        <w:pStyle w:val="19"/>
        <w:tabs>
          <w:tab w:val="right" w:leader="dot" w:pos="9029"/>
        </w:tabs>
      </w:pPr>
      <w:r>
        <w:fldChar w:fldCharType="begin"/>
      </w:r>
      <w:r>
        <w:instrText xml:space="preserve"> HYPERLINK \l _Toc28929 </w:instrText>
      </w:r>
      <w:r>
        <w:fldChar w:fldCharType="separate"/>
      </w:r>
      <w:r>
        <w:t>4.1 Contingency budgeting</w:t>
      </w:r>
      <w:r>
        <w:tab/>
      </w:r>
      <w:r>
        <w:fldChar w:fldCharType="begin"/>
      </w:r>
      <w:r>
        <w:instrText xml:space="preserve"> PAGEREF _Toc28929 \h </w:instrText>
      </w:r>
      <w:r>
        <w:fldChar w:fldCharType="separate"/>
      </w:r>
      <w:r>
        <w:t>14</w:t>
      </w:r>
      <w:r>
        <w:fldChar w:fldCharType="end"/>
      </w:r>
      <w:r>
        <w:fldChar w:fldCharType="end"/>
      </w:r>
    </w:p>
    <w:p w14:paraId="57EA5335">
      <w:pPr>
        <w:pStyle w:val="19"/>
        <w:tabs>
          <w:tab w:val="right" w:leader="dot" w:pos="9029"/>
        </w:tabs>
      </w:pPr>
      <w:r>
        <w:fldChar w:fldCharType="begin"/>
      </w:r>
      <w:r>
        <w:instrText xml:space="preserve"> HYPERLINK \l _Toc2649 </w:instrText>
      </w:r>
      <w:r>
        <w:fldChar w:fldCharType="separate"/>
      </w:r>
      <w:r>
        <w:t>4.2 Earned Value Management (EVM) indicators</w:t>
      </w:r>
      <w:r>
        <w:tab/>
      </w:r>
      <w:r>
        <w:fldChar w:fldCharType="begin"/>
      </w:r>
      <w:r>
        <w:instrText xml:space="preserve"> PAGEREF _Toc2649 \h </w:instrText>
      </w:r>
      <w:r>
        <w:fldChar w:fldCharType="separate"/>
      </w:r>
      <w:r>
        <w:t>15</w:t>
      </w:r>
      <w:r>
        <w:fldChar w:fldCharType="end"/>
      </w:r>
      <w:r>
        <w:fldChar w:fldCharType="end"/>
      </w:r>
    </w:p>
    <w:p w14:paraId="44DCD7A4">
      <w:pPr>
        <w:pStyle w:val="19"/>
        <w:tabs>
          <w:tab w:val="right" w:leader="dot" w:pos="9029"/>
        </w:tabs>
      </w:pPr>
      <w:r>
        <w:fldChar w:fldCharType="begin"/>
      </w:r>
      <w:r>
        <w:instrText xml:space="preserve"> HYPERLINK \l _Toc3003 </w:instrText>
      </w:r>
      <w:r>
        <w:fldChar w:fldCharType="separate"/>
      </w:r>
      <w:r>
        <w:t>4.3 Cost-monitoring processes</w:t>
      </w:r>
      <w:r>
        <w:tab/>
      </w:r>
      <w:r>
        <w:fldChar w:fldCharType="begin"/>
      </w:r>
      <w:r>
        <w:instrText xml:space="preserve"> PAGEREF _Toc3003 \h </w:instrText>
      </w:r>
      <w:r>
        <w:fldChar w:fldCharType="separate"/>
      </w:r>
      <w:r>
        <w:t>16</w:t>
      </w:r>
      <w:r>
        <w:fldChar w:fldCharType="end"/>
      </w:r>
      <w:r>
        <w:fldChar w:fldCharType="end"/>
      </w:r>
    </w:p>
    <w:p w14:paraId="43F069AE">
      <w:pPr>
        <w:pStyle w:val="19"/>
        <w:tabs>
          <w:tab w:val="right" w:leader="dot" w:pos="9029"/>
        </w:tabs>
      </w:pPr>
      <w:r>
        <w:fldChar w:fldCharType="begin"/>
      </w:r>
      <w:r>
        <w:instrText xml:space="preserve"> HYPERLINK \l _Toc14919 </w:instrText>
      </w:r>
      <w:r>
        <w:fldChar w:fldCharType="separate"/>
      </w:r>
      <w:r>
        <w:t>4.4 Methods to prevent scope creep</w:t>
      </w:r>
      <w:r>
        <w:tab/>
      </w:r>
      <w:r>
        <w:fldChar w:fldCharType="begin"/>
      </w:r>
      <w:r>
        <w:instrText xml:space="preserve"> PAGEREF _Toc14919 \h </w:instrText>
      </w:r>
      <w:r>
        <w:fldChar w:fldCharType="separate"/>
      </w:r>
      <w:r>
        <w:t>16</w:t>
      </w:r>
      <w:r>
        <w:fldChar w:fldCharType="end"/>
      </w:r>
      <w:r>
        <w:fldChar w:fldCharType="end"/>
      </w:r>
    </w:p>
    <w:p w14:paraId="49154879">
      <w:pPr>
        <w:pStyle w:val="19"/>
        <w:tabs>
          <w:tab w:val="right" w:leader="dot" w:pos="9029"/>
        </w:tabs>
      </w:pPr>
      <w:r>
        <w:fldChar w:fldCharType="begin"/>
      </w:r>
      <w:r>
        <w:instrText xml:space="preserve"> HYPERLINK \l _Toc1469 </w:instrText>
      </w:r>
      <w:r>
        <w:fldChar w:fldCharType="separate"/>
      </w:r>
      <w:r>
        <w:t>4.5 Risk mitigation strategies</w:t>
      </w:r>
      <w:r>
        <w:tab/>
      </w:r>
      <w:r>
        <w:fldChar w:fldCharType="begin"/>
      </w:r>
      <w:r>
        <w:instrText xml:space="preserve"> PAGEREF _Toc1469 \h </w:instrText>
      </w:r>
      <w:r>
        <w:fldChar w:fldCharType="separate"/>
      </w:r>
      <w:r>
        <w:t>17</w:t>
      </w:r>
      <w:r>
        <w:fldChar w:fldCharType="end"/>
      </w:r>
      <w:r>
        <w:fldChar w:fldCharType="end"/>
      </w:r>
    </w:p>
    <w:p w14:paraId="648BEBBC">
      <w:pPr>
        <w:pStyle w:val="18"/>
        <w:tabs>
          <w:tab w:val="right" w:leader="dot" w:pos="9029"/>
        </w:tabs>
      </w:pPr>
      <w:r>
        <w:fldChar w:fldCharType="begin"/>
      </w:r>
      <w:r>
        <w:instrText xml:space="preserve"> HYPERLINK \l _Toc4221 </w:instrText>
      </w:r>
      <w:r>
        <w:fldChar w:fldCharType="separate"/>
      </w:r>
      <w:r>
        <w:t>5. Section D: Reporting Framework</w:t>
      </w:r>
      <w:r>
        <w:tab/>
      </w:r>
      <w:r>
        <w:fldChar w:fldCharType="begin"/>
      </w:r>
      <w:r>
        <w:instrText xml:space="preserve"> PAGEREF _Toc4221 \h </w:instrText>
      </w:r>
      <w:r>
        <w:fldChar w:fldCharType="separate"/>
      </w:r>
      <w:r>
        <w:t>17</w:t>
      </w:r>
      <w:r>
        <w:fldChar w:fldCharType="end"/>
      </w:r>
      <w:r>
        <w:fldChar w:fldCharType="end"/>
      </w:r>
    </w:p>
    <w:p w14:paraId="3CD436A5">
      <w:pPr>
        <w:pStyle w:val="19"/>
        <w:tabs>
          <w:tab w:val="right" w:leader="dot" w:pos="9029"/>
        </w:tabs>
      </w:pPr>
      <w:r>
        <w:fldChar w:fldCharType="begin"/>
      </w:r>
      <w:r>
        <w:instrText xml:space="preserve"> HYPERLINK \l _Toc4486 </w:instrText>
      </w:r>
      <w:r>
        <w:fldChar w:fldCharType="separate"/>
      </w:r>
      <w:r>
        <w:t>5.1 Report types and frequency</w:t>
      </w:r>
      <w:r>
        <w:tab/>
      </w:r>
      <w:r>
        <w:fldChar w:fldCharType="begin"/>
      </w:r>
      <w:r>
        <w:instrText xml:space="preserve"> PAGEREF _Toc4486 \h </w:instrText>
      </w:r>
      <w:r>
        <w:fldChar w:fldCharType="separate"/>
      </w:r>
      <w:r>
        <w:t>17</w:t>
      </w:r>
      <w:r>
        <w:fldChar w:fldCharType="end"/>
      </w:r>
      <w:r>
        <w:fldChar w:fldCharType="end"/>
      </w:r>
    </w:p>
    <w:p w14:paraId="699A9E23">
      <w:pPr>
        <w:pStyle w:val="19"/>
        <w:tabs>
          <w:tab w:val="right" w:leader="dot" w:pos="9029"/>
        </w:tabs>
      </w:pPr>
      <w:r>
        <w:fldChar w:fldCharType="begin"/>
      </w:r>
      <w:r>
        <w:instrText xml:space="preserve"> HYPERLINK \l _Toc12416 </w:instrText>
      </w:r>
      <w:r>
        <w:fldChar w:fldCharType="separate"/>
      </w:r>
      <w:r>
        <w:t>5.2 Key financial KPIs</w:t>
      </w:r>
      <w:r>
        <w:tab/>
      </w:r>
      <w:r>
        <w:fldChar w:fldCharType="begin"/>
      </w:r>
      <w:r>
        <w:instrText xml:space="preserve"> PAGEREF _Toc12416 \h </w:instrText>
      </w:r>
      <w:r>
        <w:fldChar w:fldCharType="separate"/>
      </w:r>
      <w:r>
        <w:t>17</w:t>
      </w:r>
      <w:r>
        <w:fldChar w:fldCharType="end"/>
      </w:r>
      <w:r>
        <w:fldChar w:fldCharType="end"/>
      </w:r>
    </w:p>
    <w:p w14:paraId="453C4699">
      <w:pPr>
        <w:pStyle w:val="19"/>
        <w:tabs>
          <w:tab w:val="right" w:leader="dot" w:pos="9029"/>
        </w:tabs>
      </w:pPr>
      <w:r>
        <w:fldChar w:fldCharType="begin"/>
      </w:r>
      <w:r>
        <w:instrText xml:space="preserve"> HYPERLINK \l _Toc7039 </w:instrText>
      </w:r>
      <w:r>
        <w:fldChar w:fldCharType="separate"/>
      </w:r>
      <w:r>
        <w:t>5.3 Roles in Governance structure and use of financial software tools</w:t>
      </w:r>
      <w:r>
        <w:tab/>
      </w:r>
      <w:r>
        <w:fldChar w:fldCharType="begin"/>
      </w:r>
      <w:r>
        <w:instrText xml:space="preserve"> PAGEREF _Toc7039 \h </w:instrText>
      </w:r>
      <w:r>
        <w:fldChar w:fldCharType="separate"/>
      </w:r>
      <w:r>
        <w:t>18</w:t>
      </w:r>
      <w:r>
        <w:fldChar w:fldCharType="end"/>
      </w:r>
      <w:r>
        <w:fldChar w:fldCharType="end"/>
      </w:r>
    </w:p>
    <w:p w14:paraId="1A8FE2FC">
      <w:pPr>
        <w:pStyle w:val="19"/>
        <w:tabs>
          <w:tab w:val="right" w:leader="dot" w:pos="9029"/>
        </w:tabs>
      </w:pPr>
      <w:r>
        <w:fldChar w:fldCharType="begin"/>
      </w:r>
      <w:r>
        <w:instrText xml:space="preserve"> HYPERLINK \l _Toc14375 </w:instrText>
      </w:r>
      <w:r>
        <w:fldChar w:fldCharType="separate"/>
      </w:r>
      <w:r>
        <w:t>5.4 Reporting supporting decision‑making, transparency, and accountability</w:t>
      </w:r>
      <w:r>
        <w:tab/>
      </w:r>
      <w:r>
        <w:fldChar w:fldCharType="begin"/>
      </w:r>
      <w:r>
        <w:instrText xml:space="preserve"> PAGEREF _Toc14375 \h </w:instrText>
      </w:r>
      <w:r>
        <w:fldChar w:fldCharType="separate"/>
      </w:r>
      <w:r>
        <w:t>18</w:t>
      </w:r>
      <w:r>
        <w:fldChar w:fldCharType="end"/>
      </w:r>
      <w:r>
        <w:fldChar w:fldCharType="end"/>
      </w:r>
    </w:p>
    <w:p w14:paraId="15E43C7D">
      <w:pPr>
        <w:pStyle w:val="18"/>
        <w:tabs>
          <w:tab w:val="right" w:leader="dot" w:pos="9029"/>
        </w:tabs>
      </w:pPr>
      <w:r>
        <w:fldChar w:fldCharType="begin"/>
      </w:r>
      <w:r>
        <w:instrText xml:space="preserve"> HYPERLINK \l _Toc26868 </w:instrText>
      </w:r>
      <w:r>
        <w:fldChar w:fldCharType="separate"/>
      </w:r>
      <w:r>
        <w:t>6. Conclusion and Recommendations</w:t>
      </w:r>
      <w:r>
        <w:tab/>
      </w:r>
      <w:r>
        <w:fldChar w:fldCharType="begin"/>
      </w:r>
      <w:r>
        <w:instrText xml:space="preserve"> PAGEREF _Toc26868 \h </w:instrText>
      </w:r>
      <w:r>
        <w:fldChar w:fldCharType="separate"/>
      </w:r>
      <w:r>
        <w:t>18</w:t>
      </w:r>
      <w:r>
        <w:fldChar w:fldCharType="end"/>
      </w:r>
      <w:r>
        <w:fldChar w:fldCharType="end"/>
      </w:r>
    </w:p>
    <w:p w14:paraId="5E7ACC6F">
      <w:pPr>
        <w:pStyle w:val="18"/>
        <w:tabs>
          <w:tab w:val="right" w:leader="dot" w:pos="9029"/>
        </w:tabs>
      </w:pPr>
      <w:r>
        <w:fldChar w:fldCharType="begin"/>
      </w:r>
      <w:r>
        <w:instrText xml:space="preserve"> HYPERLINK \l _Toc9011 </w:instrText>
      </w:r>
      <w:r>
        <w:fldChar w:fldCharType="separate"/>
      </w:r>
      <w:r>
        <w:t>References</w:t>
      </w:r>
      <w:r>
        <w:tab/>
      </w:r>
      <w:r>
        <w:fldChar w:fldCharType="begin"/>
      </w:r>
      <w:r>
        <w:instrText xml:space="preserve"> PAGEREF _Toc9011 \h </w:instrText>
      </w:r>
      <w:r>
        <w:fldChar w:fldCharType="separate"/>
      </w:r>
      <w:r>
        <w:t>19</w:t>
      </w:r>
      <w:r>
        <w:fldChar w:fldCharType="end"/>
      </w:r>
      <w:r>
        <w:fldChar w:fldCharType="end"/>
      </w:r>
    </w:p>
    <w:p w14:paraId="44ED2C28">
      <w:pPr>
        <w:widowControl w:val="0"/>
        <w:tabs>
          <w:tab w:val="right" w:pos="12000"/>
        </w:tabs>
        <w:spacing w:before="0" w:after="0"/>
      </w:pPr>
      <w:r>
        <w:fldChar w:fldCharType="end"/>
      </w:r>
    </w:p>
    <w:p w14:paraId="0D27BFE5">
      <w:pPr>
        <w:spacing w:before="0" w:after="0"/>
      </w:pPr>
      <w:r>
        <w:br w:type="page"/>
      </w:r>
    </w:p>
    <w:p w14:paraId="4997DAC5">
      <w:pPr>
        <w:pStyle w:val="2"/>
        <w:spacing w:after="0"/>
      </w:pPr>
      <w:bookmarkStart w:id="4" w:name="_Toc12357"/>
      <w:r>
        <w:t>1. Introduction and Project Overview</w:t>
      </w:r>
      <w:bookmarkEnd w:id="4"/>
      <w:r>
        <w:t xml:space="preserve"> </w:t>
      </w:r>
    </w:p>
    <w:p w14:paraId="4E8AEC14">
      <w:pPr>
        <w:spacing w:after="0"/>
      </w:pPr>
      <w:r>
        <w:t xml:space="preserve">The chosen project is a </w:t>
      </w:r>
      <w:r>
        <w:rPr>
          <w:b/>
          <w:bCs/>
          <w:i/>
          <w:iCs/>
        </w:rPr>
        <w:t>community health clinic</w:t>
      </w:r>
      <w:r>
        <w:t xml:space="preserve">, which belongs to the healthcare sector. Community health is a not-for-profit healthcare provider that provides affordable care for low-income populations in London, United Kingdom. The report aims to cover a feasibility analysis for community health clinics by outlining ways through which the organisation can finance, report and control its outcomes. The first two sections of this report will provide an evaluation of sources of finance and capital budgeting techniques such as NPV, IRR, Payback period and profitability index. The last two sections will outline mechanisms for controlling costs and a financial reporting framework for the project’s lifecycle. </w:t>
      </w:r>
    </w:p>
    <w:p w14:paraId="1D733E83">
      <w:pPr>
        <w:pStyle w:val="2"/>
        <w:spacing w:after="0"/>
      </w:pPr>
      <w:bookmarkStart w:id="5" w:name="_Toc25584"/>
      <w:r>
        <w:t>2. Section A: Sources of Financing</w:t>
      </w:r>
      <w:bookmarkEnd w:id="5"/>
      <w:r>
        <w:t xml:space="preserve"> </w:t>
      </w:r>
    </w:p>
    <w:p w14:paraId="31788A26">
      <w:pPr>
        <w:pStyle w:val="3"/>
        <w:spacing w:after="0"/>
      </w:pPr>
      <w:bookmarkStart w:id="6" w:name="_Toc23294"/>
      <w:r>
        <w:t>2.1 Equity Financing</w:t>
      </w:r>
      <w:bookmarkEnd w:id="6"/>
      <w:r>
        <w:t xml:space="preserve"> </w:t>
      </w:r>
    </w:p>
    <w:p w14:paraId="0D8DDE9B">
      <w:pPr>
        <w:spacing w:after="0"/>
        <w:rPr>
          <w:color w:val="auto"/>
        </w:rPr>
      </w:pPr>
      <w:r>
        <w:t xml:space="preserve">Equity financing includes raising capital by selling stakes of ownership to investors who are venture capitalists, private equity firms and institutional investors. According to </w:t>
      </w:r>
      <w:r>
        <w:rPr>
          <w:highlight w:val="white"/>
        </w:rPr>
        <w:t xml:space="preserve">Brown and Volckmann </w:t>
      </w:r>
      <w:r>
        <w:t xml:space="preserve">(2024), equity financing is useful in sharing risks and long-term alignment through mechanisms of sharing profits. Investors involved in construction of the community health clinic can gain benefits of long-term planning since equity funding does not provide immediate returns on an investment. Total equity finance for limited companies comprises share capital, capital and revenue reserves (Atrill and Mclaney, 2022). Risks involved in equity financing for the community health clinic are giving up company ownership, which ranges from 30% to 50% for substantial </w:t>
      </w:r>
      <w:r>
        <w:rPr>
          <w:color w:val="auto"/>
        </w:rPr>
        <w:t xml:space="preserve">investments which significantly reduces future profits. Some examples include angel investors taking around 30% stake of company ownership for an investment of £1 million and venture capital firms acquiring 25% for expansion funds. Equity financing can be suitable for a £50 million community health clinic since it provides an establishment of debt repayment which allows the firm to focus on sustainability and growth. Key trade-offs in equity financing related to risk and control includes massive dilution and trade-off for strategic expertise. </w:t>
      </w:r>
    </w:p>
    <w:p w14:paraId="7BDF4818">
      <w:pPr>
        <w:spacing w:after="0"/>
        <w:rPr>
          <w:color w:val="auto"/>
        </w:rPr>
      </w:pPr>
      <w:r>
        <w:rPr>
          <w:color w:val="auto"/>
        </w:rPr>
        <w:t xml:space="preserve">Cost of equity (Estimated) = Risk Free rate + Beta * (Market risk premium) </w:t>
      </w:r>
    </w:p>
    <w:p w14:paraId="7A10648C">
      <w:pPr>
        <w:spacing w:after="0"/>
        <w:rPr>
          <w:color w:val="auto"/>
        </w:rPr>
      </w:pPr>
      <w:r>
        <w:rPr>
          <w:color w:val="auto"/>
        </w:rPr>
        <w:t xml:space="preserve">3% + 1.5 * (7%) = </w:t>
      </w:r>
      <w:r>
        <w:rPr>
          <w:b/>
          <w:bCs/>
          <w:i/>
          <w:iCs/>
          <w:color w:val="auto"/>
        </w:rPr>
        <w:t>3.105%</w:t>
      </w:r>
      <w:r>
        <w:rPr>
          <w:color w:val="auto"/>
        </w:rPr>
        <w:t xml:space="preserve"> </w:t>
      </w:r>
    </w:p>
    <w:p w14:paraId="1A73B5E6">
      <w:pPr>
        <w:pStyle w:val="3"/>
        <w:spacing w:after="0"/>
        <w:rPr>
          <w:color w:val="auto"/>
        </w:rPr>
      </w:pPr>
      <w:bookmarkStart w:id="7" w:name="_Toc4566"/>
      <w:r>
        <w:rPr>
          <w:color w:val="auto"/>
        </w:rPr>
        <w:t>2.2 Government grants</w:t>
      </w:r>
      <w:bookmarkEnd w:id="7"/>
    </w:p>
    <w:p w14:paraId="416D687E">
      <w:pPr>
        <w:spacing w:after="0"/>
        <w:rPr>
          <w:color w:val="auto"/>
        </w:rPr>
      </w:pPr>
      <w:r>
        <w:rPr>
          <w:color w:val="auto"/>
        </w:rPr>
        <w:t xml:space="preserve">Government grants are non-payable financial awards such as tax credits, cash and assets which are provided by government agencies to organisations. Government grants, which aim in stimulation and economic growth, are considered to be a bigger part of the landscape (Adeboye </w:t>
      </w:r>
      <w:r>
        <w:rPr>
          <w:i/>
          <w:iCs/>
          <w:color w:val="auto"/>
        </w:rPr>
        <w:t>et al.</w:t>
      </w:r>
      <w:r>
        <w:rPr>
          <w:color w:val="auto"/>
        </w:rPr>
        <w:t xml:space="preserve">, 2022). Receiving a government grant can improve organisational reputation for the community health clinic. However, government grants can be risky since imposing any operational requirements such as local hiring and labour policies can hinder management practices. Being heavily reliant on government funding can introduce several vulnerabilities to policy and budgetary changes (Mwale </w:t>
      </w:r>
      <w:r>
        <w:rPr>
          <w:i/>
          <w:iCs/>
          <w:color w:val="auto"/>
        </w:rPr>
        <w:t>et al.</w:t>
      </w:r>
      <w:r>
        <w:rPr>
          <w:color w:val="auto"/>
        </w:rPr>
        <w:t xml:space="preserve">, 2025). The total cost of government grants for the community health clinic project is </w:t>
      </w:r>
      <w:r>
        <w:rPr>
          <w:b/>
          <w:bCs/>
          <w:i/>
          <w:iCs/>
          <w:color w:val="auto"/>
        </w:rPr>
        <w:t xml:space="preserve">£15 million </w:t>
      </w:r>
      <w:r>
        <w:rPr>
          <w:color w:val="auto"/>
        </w:rPr>
        <w:t xml:space="preserve">(30% of total project’s budget). Government grants have a positive impact on WACC implications based on the company’s financial position by reducing WACC which reduces cost of capital on a further basis. Relating to trade-offs, its financial risks are low but operational risks are high which also results in autonomy loss and slowdown of decision-making. </w:t>
      </w:r>
    </w:p>
    <w:p w14:paraId="0C2EE34C">
      <w:pPr>
        <w:pStyle w:val="3"/>
        <w:spacing w:after="0"/>
        <w:rPr>
          <w:color w:val="auto"/>
        </w:rPr>
      </w:pPr>
      <w:bookmarkStart w:id="8" w:name="_Toc25268"/>
      <w:r>
        <w:rPr>
          <w:color w:val="auto"/>
        </w:rPr>
        <w:t>2.3 Internal financing</w:t>
      </w:r>
      <w:bookmarkEnd w:id="8"/>
      <w:r>
        <w:rPr>
          <w:color w:val="auto"/>
        </w:rPr>
        <w:t xml:space="preserve"> </w:t>
      </w:r>
    </w:p>
    <w:p w14:paraId="7028FE66">
      <w:pPr>
        <w:spacing w:after="0"/>
        <w:rPr>
          <w:color w:val="auto"/>
        </w:rPr>
      </w:pPr>
      <w:r>
        <w:rPr>
          <w:color w:val="auto"/>
        </w:rPr>
        <w:t xml:space="preserve">Internal financing is funding for a business' overall growth by using internal resources instead of relying on external capital requirements. Naomi </w:t>
      </w:r>
      <w:r>
        <w:rPr>
          <w:i/>
          <w:iCs/>
          <w:color w:val="auto"/>
        </w:rPr>
        <w:t>et al.</w:t>
      </w:r>
      <w:r>
        <w:rPr>
          <w:color w:val="auto"/>
        </w:rPr>
        <w:t xml:space="preserve"> (2023) stated that internal financing helps organisations in reducing any requirements for disclosing sensitive information to external investors. Some examples of internal financing are retained earnings and working capital reallocation. Increase in </w:t>
      </w:r>
      <w:r>
        <w:rPr>
          <w:b/>
          <w:bCs/>
          <w:i/>
          <w:iCs/>
          <w:color w:val="auto"/>
        </w:rPr>
        <w:t>retained earnings</w:t>
      </w:r>
      <w:r>
        <w:rPr>
          <w:color w:val="auto"/>
        </w:rPr>
        <w:t xml:space="preserve"> for a private company results in higher payment of dividend amounts to investors (Cadenovic </w:t>
      </w:r>
      <w:r>
        <w:rPr>
          <w:i/>
          <w:iCs/>
          <w:color w:val="auto"/>
        </w:rPr>
        <w:t>et al.</w:t>
      </w:r>
      <w:r>
        <w:rPr>
          <w:color w:val="auto"/>
        </w:rPr>
        <w:t xml:space="preserve">, 2024). </w:t>
      </w:r>
      <w:r>
        <w:rPr>
          <w:b/>
          <w:bCs/>
          <w:i/>
          <w:iCs/>
          <w:color w:val="auto"/>
        </w:rPr>
        <w:t>Working capital reallocation</w:t>
      </w:r>
      <w:r>
        <w:rPr>
          <w:color w:val="auto"/>
        </w:rPr>
        <w:t xml:space="preserve"> may involve using cash for increasing inventory levels for a holiday season. To maximise profitability, firms need to prioritise on maintaining optimum level of working capital (</w:t>
      </w:r>
      <w:r>
        <w:rPr>
          <w:color w:val="auto"/>
          <w:highlight w:val="white"/>
        </w:rPr>
        <w:t>Kotcharin and Jantadej, 2024</w:t>
      </w:r>
      <w:r>
        <w:rPr>
          <w:color w:val="auto"/>
        </w:rPr>
        <w:t xml:space="preserve">). However, risks associated in internal financing are depletion of working capital, which creates liquidity problems and limited potential for growth due to reliance on internal funding. The total cost of internal financing in the form of working capital reallocation and retained earnings can be 20% of total investment (£50 million) which is £10 million. For retained earnings, WACC can serve as a lower cost alternative to equity funding which influences overall capital structure. Relating to trade-offs, it has lower financial risks but is susceptible to limited growth potential due to funding large projects. </w:t>
      </w:r>
    </w:p>
    <w:p w14:paraId="0DD7BC81">
      <w:pPr>
        <w:pStyle w:val="2"/>
        <w:spacing w:after="0"/>
        <w:rPr>
          <w:color w:val="auto"/>
        </w:rPr>
      </w:pPr>
      <w:bookmarkStart w:id="9" w:name="_Toc29595"/>
      <w:r>
        <w:rPr>
          <w:color w:val="auto"/>
        </w:rPr>
        <w:t>3. Section B: Capital Budgeting Analysis</w:t>
      </w:r>
      <w:bookmarkEnd w:id="9"/>
      <w:r>
        <w:rPr>
          <w:color w:val="auto"/>
        </w:rPr>
        <w:t xml:space="preserve"> </w:t>
      </w:r>
    </w:p>
    <w:p w14:paraId="2E809B79">
      <w:pPr>
        <w:pStyle w:val="3"/>
        <w:spacing w:after="0"/>
        <w:rPr>
          <w:color w:val="auto"/>
        </w:rPr>
      </w:pPr>
      <w:bookmarkStart w:id="10" w:name="_Toc19282"/>
      <w:r>
        <w:rPr>
          <w:color w:val="auto"/>
        </w:rPr>
        <w:t>3.1 Clear assumptions</w:t>
      </w:r>
      <w:bookmarkEnd w:id="10"/>
    </w:p>
    <w:tbl>
      <w:tblPr>
        <w:tblStyle w:val="37"/>
        <w:tblW w:w="900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3600"/>
        <w:gridCol w:w="5400"/>
      </w:tblGrid>
      <w:tr w14:paraId="5BA5B8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600" w:type="dxa"/>
            <w:tcMar>
              <w:top w:w="100" w:type="dxa"/>
              <w:left w:w="100" w:type="dxa"/>
              <w:bottom w:w="100" w:type="dxa"/>
              <w:right w:w="100" w:type="dxa"/>
            </w:tcMar>
          </w:tcPr>
          <w:p w14:paraId="1AF0AEEA">
            <w:pPr>
              <w:widowControl w:val="0"/>
              <w:pBdr>
                <w:top w:val="none" w:color="auto" w:sz="0" w:space="0"/>
                <w:left w:val="none" w:color="auto" w:sz="0" w:space="0"/>
                <w:bottom w:val="none" w:color="auto" w:sz="0" w:space="0"/>
                <w:right w:val="none" w:color="auto" w:sz="0" w:space="0"/>
                <w:between w:val="none" w:color="auto" w:sz="0" w:space="0"/>
              </w:pBdr>
              <w:spacing w:after="0"/>
              <w:jc w:val="center"/>
              <w:rPr>
                <w:b/>
                <w:bCs/>
                <w:color w:val="auto"/>
              </w:rPr>
            </w:pPr>
            <w:r>
              <w:rPr>
                <w:b/>
                <w:bCs/>
                <w:color w:val="auto"/>
              </w:rPr>
              <w:t>Assumptions</w:t>
            </w:r>
          </w:p>
        </w:tc>
        <w:tc>
          <w:tcPr>
            <w:tcW w:w="5400" w:type="dxa"/>
            <w:tcMar>
              <w:top w:w="100" w:type="dxa"/>
              <w:left w:w="100" w:type="dxa"/>
              <w:bottom w:w="100" w:type="dxa"/>
              <w:right w:w="100" w:type="dxa"/>
            </w:tcMar>
          </w:tcPr>
          <w:p w14:paraId="0280CDCF">
            <w:pPr>
              <w:widowControl w:val="0"/>
              <w:pBdr>
                <w:top w:val="none" w:color="auto" w:sz="0" w:space="0"/>
                <w:left w:val="none" w:color="auto" w:sz="0" w:space="0"/>
                <w:bottom w:val="none" w:color="auto" w:sz="0" w:space="0"/>
                <w:right w:val="none" w:color="auto" w:sz="0" w:space="0"/>
                <w:between w:val="none" w:color="auto" w:sz="0" w:space="0"/>
              </w:pBdr>
              <w:spacing w:after="0"/>
              <w:jc w:val="center"/>
              <w:rPr>
                <w:b/>
                <w:bCs/>
                <w:color w:val="auto"/>
              </w:rPr>
            </w:pPr>
            <w:r>
              <w:rPr>
                <w:b/>
                <w:bCs/>
                <w:color w:val="auto"/>
              </w:rPr>
              <w:t>Values</w:t>
            </w:r>
          </w:p>
        </w:tc>
      </w:tr>
      <w:tr w14:paraId="6F2E4C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600" w:type="dxa"/>
            <w:tcMar>
              <w:top w:w="100" w:type="dxa"/>
              <w:left w:w="100" w:type="dxa"/>
              <w:bottom w:w="100" w:type="dxa"/>
              <w:right w:w="100" w:type="dxa"/>
            </w:tcMar>
          </w:tcPr>
          <w:p w14:paraId="129F8EC9">
            <w:pPr>
              <w:widowControl w:val="0"/>
              <w:pBdr>
                <w:top w:val="none" w:color="auto" w:sz="0" w:space="0"/>
                <w:left w:val="none" w:color="auto" w:sz="0" w:space="0"/>
                <w:bottom w:val="none" w:color="auto" w:sz="0" w:space="0"/>
                <w:right w:val="none" w:color="auto" w:sz="0" w:space="0"/>
                <w:between w:val="none" w:color="auto" w:sz="0" w:space="0"/>
              </w:pBdr>
              <w:spacing w:after="0"/>
              <w:rPr>
                <w:b/>
                <w:bCs/>
                <w:color w:val="auto"/>
              </w:rPr>
            </w:pPr>
            <w:r>
              <w:rPr>
                <w:b/>
                <w:bCs/>
                <w:color w:val="auto"/>
              </w:rPr>
              <w:t>Cash flows</w:t>
            </w:r>
          </w:p>
        </w:tc>
        <w:tc>
          <w:tcPr>
            <w:tcW w:w="5400" w:type="dxa"/>
            <w:tcMar>
              <w:top w:w="100" w:type="dxa"/>
              <w:left w:w="100" w:type="dxa"/>
              <w:bottom w:w="100" w:type="dxa"/>
              <w:right w:w="100" w:type="dxa"/>
            </w:tcMar>
          </w:tcPr>
          <w:p w14:paraId="59CE8D23">
            <w:pPr>
              <w:widowControl w:val="0"/>
              <w:pBdr>
                <w:top w:val="none" w:color="auto" w:sz="0" w:space="0"/>
                <w:left w:val="none" w:color="auto" w:sz="0" w:space="0"/>
                <w:bottom w:val="none" w:color="auto" w:sz="0" w:space="0"/>
                <w:right w:val="none" w:color="auto" w:sz="0" w:space="0"/>
                <w:between w:val="none" w:color="auto" w:sz="0" w:space="0"/>
              </w:pBdr>
              <w:spacing w:after="0"/>
              <w:rPr>
                <w:color w:val="auto"/>
              </w:rPr>
            </w:pPr>
            <w:r>
              <w:rPr>
                <w:color w:val="auto"/>
              </w:rPr>
              <w:t>£18 million (Per year excluding tax)</w:t>
            </w:r>
          </w:p>
        </w:tc>
      </w:tr>
      <w:tr w14:paraId="2845B5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600" w:type="dxa"/>
            <w:tcMar>
              <w:top w:w="100" w:type="dxa"/>
              <w:left w:w="100" w:type="dxa"/>
              <w:bottom w:w="100" w:type="dxa"/>
              <w:right w:w="100" w:type="dxa"/>
            </w:tcMar>
          </w:tcPr>
          <w:p w14:paraId="10E24E26">
            <w:pPr>
              <w:widowControl w:val="0"/>
              <w:pBdr>
                <w:top w:val="none" w:color="auto" w:sz="0" w:space="0"/>
                <w:left w:val="none" w:color="auto" w:sz="0" w:space="0"/>
                <w:bottom w:val="none" w:color="auto" w:sz="0" w:space="0"/>
                <w:right w:val="none" w:color="auto" w:sz="0" w:space="0"/>
                <w:between w:val="none" w:color="auto" w:sz="0" w:space="0"/>
              </w:pBdr>
              <w:spacing w:after="0"/>
              <w:rPr>
                <w:b/>
                <w:bCs/>
                <w:color w:val="auto"/>
              </w:rPr>
            </w:pPr>
            <w:r>
              <w:rPr>
                <w:b/>
                <w:bCs/>
                <w:color w:val="auto"/>
              </w:rPr>
              <w:t xml:space="preserve">Discount rate (Nominal) </w:t>
            </w:r>
          </w:p>
        </w:tc>
        <w:tc>
          <w:tcPr>
            <w:tcW w:w="5400" w:type="dxa"/>
            <w:tcMar>
              <w:top w:w="100" w:type="dxa"/>
              <w:left w:w="100" w:type="dxa"/>
              <w:bottom w:w="100" w:type="dxa"/>
              <w:right w:w="100" w:type="dxa"/>
            </w:tcMar>
          </w:tcPr>
          <w:p w14:paraId="4C6F1B88">
            <w:pPr>
              <w:widowControl w:val="0"/>
              <w:pBdr>
                <w:top w:val="none" w:color="auto" w:sz="0" w:space="0"/>
                <w:left w:val="none" w:color="auto" w:sz="0" w:space="0"/>
                <w:bottom w:val="none" w:color="auto" w:sz="0" w:space="0"/>
                <w:right w:val="none" w:color="auto" w:sz="0" w:space="0"/>
                <w:between w:val="none" w:color="auto" w:sz="0" w:space="0"/>
              </w:pBdr>
              <w:spacing w:after="0"/>
              <w:rPr>
                <w:color w:val="auto"/>
              </w:rPr>
            </w:pPr>
            <w:r>
              <w:rPr>
                <w:color w:val="auto"/>
              </w:rPr>
              <w:t xml:space="preserve">8% </w:t>
            </w:r>
          </w:p>
        </w:tc>
      </w:tr>
      <w:tr w14:paraId="3AC7BF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600" w:type="dxa"/>
            <w:tcMar>
              <w:top w:w="100" w:type="dxa"/>
              <w:left w:w="100" w:type="dxa"/>
              <w:bottom w:w="100" w:type="dxa"/>
              <w:right w:w="100" w:type="dxa"/>
            </w:tcMar>
          </w:tcPr>
          <w:p w14:paraId="55978525">
            <w:pPr>
              <w:widowControl w:val="0"/>
              <w:pBdr>
                <w:top w:val="none" w:color="auto" w:sz="0" w:space="0"/>
                <w:left w:val="none" w:color="auto" w:sz="0" w:space="0"/>
                <w:bottom w:val="none" w:color="auto" w:sz="0" w:space="0"/>
                <w:right w:val="none" w:color="auto" w:sz="0" w:space="0"/>
                <w:between w:val="none" w:color="auto" w:sz="0" w:space="0"/>
              </w:pBdr>
              <w:spacing w:after="0"/>
              <w:rPr>
                <w:b/>
                <w:bCs/>
                <w:color w:val="auto"/>
              </w:rPr>
            </w:pPr>
            <w:r>
              <w:rPr>
                <w:b/>
                <w:bCs/>
                <w:color w:val="auto"/>
              </w:rPr>
              <w:t xml:space="preserve">Project life </w:t>
            </w:r>
          </w:p>
        </w:tc>
        <w:tc>
          <w:tcPr>
            <w:tcW w:w="5400" w:type="dxa"/>
            <w:tcMar>
              <w:top w:w="100" w:type="dxa"/>
              <w:left w:w="100" w:type="dxa"/>
              <w:bottom w:w="100" w:type="dxa"/>
              <w:right w:w="100" w:type="dxa"/>
            </w:tcMar>
          </w:tcPr>
          <w:p w14:paraId="002BDB84">
            <w:pPr>
              <w:widowControl w:val="0"/>
              <w:pBdr>
                <w:top w:val="none" w:color="auto" w:sz="0" w:space="0"/>
                <w:left w:val="none" w:color="auto" w:sz="0" w:space="0"/>
                <w:bottom w:val="none" w:color="auto" w:sz="0" w:space="0"/>
                <w:right w:val="none" w:color="auto" w:sz="0" w:space="0"/>
                <w:between w:val="none" w:color="auto" w:sz="0" w:space="0"/>
              </w:pBdr>
              <w:spacing w:after="0"/>
              <w:rPr>
                <w:color w:val="auto"/>
              </w:rPr>
            </w:pPr>
            <w:r>
              <w:rPr>
                <w:color w:val="auto"/>
              </w:rPr>
              <w:t xml:space="preserve">5 years </w:t>
            </w:r>
          </w:p>
        </w:tc>
      </w:tr>
      <w:tr w14:paraId="0F4558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600" w:type="dxa"/>
            <w:tcMar>
              <w:top w:w="100" w:type="dxa"/>
              <w:left w:w="100" w:type="dxa"/>
              <w:bottom w:w="100" w:type="dxa"/>
              <w:right w:w="100" w:type="dxa"/>
            </w:tcMar>
          </w:tcPr>
          <w:p w14:paraId="1C8367CB">
            <w:pPr>
              <w:widowControl w:val="0"/>
              <w:pBdr>
                <w:top w:val="none" w:color="auto" w:sz="0" w:space="0"/>
                <w:left w:val="none" w:color="auto" w:sz="0" w:space="0"/>
                <w:bottom w:val="none" w:color="auto" w:sz="0" w:space="0"/>
                <w:right w:val="none" w:color="auto" w:sz="0" w:space="0"/>
                <w:between w:val="none" w:color="auto" w:sz="0" w:space="0"/>
              </w:pBdr>
              <w:spacing w:after="0"/>
              <w:rPr>
                <w:b/>
                <w:bCs/>
                <w:color w:val="auto"/>
              </w:rPr>
            </w:pPr>
            <w:r>
              <w:rPr>
                <w:b/>
                <w:bCs/>
                <w:color w:val="auto"/>
              </w:rPr>
              <w:t xml:space="preserve">Inflation </w:t>
            </w:r>
          </w:p>
        </w:tc>
        <w:tc>
          <w:tcPr>
            <w:tcW w:w="5400" w:type="dxa"/>
            <w:tcMar>
              <w:top w:w="100" w:type="dxa"/>
              <w:left w:w="100" w:type="dxa"/>
              <w:bottom w:w="100" w:type="dxa"/>
              <w:right w:w="100" w:type="dxa"/>
            </w:tcMar>
          </w:tcPr>
          <w:p w14:paraId="638C2DEA">
            <w:pPr>
              <w:widowControl w:val="0"/>
              <w:pBdr>
                <w:top w:val="none" w:color="auto" w:sz="0" w:space="0"/>
                <w:left w:val="none" w:color="auto" w:sz="0" w:space="0"/>
                <w:bottom w:val="none" w:color="auto" w:sz="0" w:space="0"/>
                <w:right w:val="none" w:color="auto" w:sz="0" w:space="0"/>
                <w:between w:val="none" w:color="auto" w:sz="0" w:space="0"/>
              </w:pBdr>
              <w:spacing w:after="0"/>
              <w:rPr>
                <w:color w:val="auto"/>
              </w:rPr>
            </w:pPr>
            <w:r>
              <w:rPr>
                <w:color w:val="auto"/>
              </w:rPr>
              <w:t xml:space="preserve">3% </w:t>
            </w:r>
          </w:p>
        </w:tc>
      </w:tr>
    </w:tbl>
    <w:p w14:paraId="2F3B589C">
      <w:pPr>
        <w:spacing w:after="0"/>
        <w:jc w:val="center"/>
        <w:rPr>
          <w:b/>
          <w:bCs/>
          <w:color w:val="auto"/>
        </w:rPr>
      </w:pPr>
      <w:r>
        <w:rPr>
          <w:b/>
          <w:bCs/>
          <w:color w:val="auto"/>
        </w:rPr>
        <w:t xml:space="preserve">Table 1: Assumed values </w:t>
      </w:r>
    </w:p>
    <w:p w14:paraId="045C8347">
      <w:pPr>
        <w:spacing w:after="0"/>
        <w:jc w:val="center"/>
        <w:rPr>
          <w:color w:val="auto"/>
        </w:rPr>
      </w:pPr>
      <w:r>
        <w:rPr>
          <w:color w:val="auto"/>
        </w:rPr>
        <w:t>(Source: Self-developed)</w:t>
      </w:r>
    </w:p>
    <w:p w14:paraId="6E38FFBE">
      <w:pPr>
        <w:pStyle w:val="3"/>
        <w:spacing w:after="0"/>
        <w:rPr>
          <w:color w:val="auto"/>
        </w:rPr>
      </w:pPr>
      <w:bookmarkStart w:id="11" w:name="_Toc9746"/>
      <w:r>
        <w:rPr>
          <w:color w:val="auto"/>
        </w:rPr>
        <w:t>3.2 Base, best and worst case scenarios</w:t>
      </w:r>
      <w:bookmarkEnd w:id="11"/>
      <w:r>
        <w:rPr>
          <w:color w:val="auto"/>
        </w:rPr>
        <w:t xml:space="preserve"> </w:t>
      </w:r>
    </w:p>
    <w:p w14:paraId="7C89F5A3">
      <w:pPr>
        <w:spacing w:after="0"/>
        <w:rPr>
          <w:color w:val="auto"/>
        </w:rPr>
      </w:pPr>
      <w:r>
        <w:rPr>
          <w:color w:val="auto"/>
        </w:rPr>
        <w:t xml:space="preserve">Real discount rate and real cash flows have been adopted based on the actual and assumed inflation rates. </w:t>
      </w:r>
    </w:p>
    <w:p w14:paraId="2B5F7F53">
      <w:pPr>
        <w:spacing w:after="0"/>
        <w:rPr>
          <w:b/>
          <w:bCs/>
          <w:color w:val="auto"/>
        </w:rPr>
      </w:pPr>
      <w:r>
        <w:rPr>
          <w:b/>
          <w:bCs/>
          <w:color w:val="auto"/>
        </w:rPr>
        <w:t>Base Case</w:t>
      </w:r>
    </w:p>
    <w:tbl>
      <w:tblPr>
        <w:tblStyle w:val="38"/>
        <w:tblW w:w="87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575"/>
        <w:gridCol w:w="4155"/>
      </w:tblGrid>
      <w:tr w14:paraId="7A843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575"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bottom"/>
          </w:tcPr>
          <w:p w14:paraId="6A9FD4F5">
            <w:pPr>
              <w:spacing w:after="0"/>
              <w:rPr>
                <w:color w:val="auto"/>
              </w:rPr>
            </w:pPr>
            <w:r>
              <w:rPr>
                <w:color w:val="auto"/>
              </w:rPr>
              <w:t>Nominal discount rate</w:t>
            </w:r>
          </w:p>
        </w:tc>
        <w:tc>
          <w:tcPr>
            <w:tcW w:w="4155"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33A4F33F">
            <w:pPr>
              <w:spacing w:after="0"/>
              <w:rPr>
                <w:color w:val="auto"/>
              </w:rPr>
            </w:pPr>
            <w:r>
              <w:rPr>
                <w:color w:val="auto"/>
              </w:rPr>
              <w:t>8%</w:t>
            </w:r>
          </w:p>
        </w:tc>
      </w:tr>
      <w:tr w14:paraId="31194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575"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1DCBD128">
            <w:pPr>
              <w:spacing w:after="0"/>
              <w:rPr>
                <w:color w:val="auto"/>
              </w:rPr>
            </w:pPr>
            <w:r>
              <w:rPr>
                <w:color w:val="auto"/>
              </w:rPr>
              <w:t>Inflation rate</w:t>
            </w:r>
          </w:p>
        </w:tc>
        <w:tc>
          <w:tcPr>
            <w:tcW w:w="415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3275264F">
            <w:pPr>
              <w:spacing w:after="0"/>
              <w:rPr>
                <w:color w:val="auto"/>
              </w:rPr>
            </w:pPr>
            <w:r>
              <w:rPr>
                <w:color w:val="auto"/>
              </w:rPr>
              <w:t>3%</w:t>
            </w:r>
          </w:p>
        </w:tc>
      </w:tr>
      <w:tr w14:paraId="20385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575"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10985C76">
            <w:pPr>
              <w:spacing w:after="0"/>
              <w:rPr>
                <w:color w:val="auto"/>
              </w:rPr>
            </w:pPr>
            <w:r>
              <w:rPr>
                <w:color w:val="auto"/>
              </w:rPr>
              <w:t>Real discount rate</w:t>
            </w:r>
          </w:p>
        </w:tc>
        <w:tc>
          <w:tcPr>
            <w:tcW w:w="415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3957A72C">
            <w:pPr>
              <w:spacing w:after="0"/>
              <w:rPr>
                <w:color w:val="auto"/>
              </w:rPr>
            </w:pPr>
            <w:r>
              <w:rPr>
                <w:color w:val="auto"/>
              </w:rPr>
              <w:t>4.85%</w:t>
            </w:r>
          </w:p>
        </w:tc>
      </w:tr>
    </w:tbl>
    <w:p w14:paraId="20621F57">
      <w:pPr>
        <w:spacing w:after="0"/>
        <w:jc w:val="center"/>
        <w:rPr>
          <w:b/>
          <w:bCs/>
          <w:color w:val="auto"/>
        </w:rPr>
      </w:pPr>
      <w:r>
        <w:rPr>
          <w:b/>
          <w:bCs/>
          <w:color w:val="auto"/>
        </w:rPr>
        <w:t xml:space="preserve">Table 2: Relevant details for the base case </w:t>
      </w:r>
    </w:p>
    <w:p w14:paraId="6193658B">
      <w:pPr>
        <w:spacing w:after="0"/>
        <w:jc w:val="center"/>
        <w:rPr>
          <w:color w:val="auto"/>
        </w:rPr>
      </w:pPr>
      <w:r>
        <w:rPr>
          <w:color w:val="auto"/>
        </w:rPr>
        <w:t>(Source: Self-developed)</w:t>
      </w:r>
    </w:p>
    <w:p w14:paraId="6B4F16B5">
      <w:pPr>
        <w:spacing w:after="0"/>
        <w:jc w:val="center"/>
        <w:rPr>
          <w:color w:val="auto"/>
        </w:rPr>
      </w:pPr>
      <w:r>
        <w:rPr>
          <w:color w:val="auto"/>
        </w:rPr>
        <w:drawing>
          <wp:inline distT="0" distB="0" distL="0" distR="0">
            <wp:extent cx="5833745" cy="1019175"/>
            <wp:effectExtent l="25400" t="25400" r="25400" b="25400"/>
            <wp:docPr id="1027" name="image4.png"/>
            <wp:cNvGraphicFramePr/>
            <a:graphic xmlns:a="http://schemas.openxmlformats.org/drawingml/2006/main">
              <a:graphicData uri="http://schemas.openxmlformats.org/drawingml/2006/picture">
                <pic:pic xmlns:pic="http://schemas.openxmlformats.org/drawingml/2006/picture">
                  <pic:nvPicPr>
                    <pic:cNvPr id="1027" name="image4.png"/>
                    <pic:cNvPicPr/>
                  </pic:nvPicPr>
                  <pic:blipFill>
                    <a:blip r:embed="rId8" cstate="print"/>
                    <a:srcRect/>
                    <a:stretch>
                      <a:fillRect/>
                    </a:stretch>
                  </pic:blipFill>
                  <pic:spPr>
                    <a:xfrm>
                      <a:off x="0" y="0"/>
                      <a:ext cx="5834063" cy="1019175"/>
                    </a:xfrm>
                    <a:prstGeom prst="rect">
                      <a:avLst/>
                    </a:prstGeom>
                    <a:ln w="25400" cap="flat" cmpd="sng">
                      <a:solidFill>
                        <a:srgbClr val="000000"/>
                      </a:solidFill>
                      <a:prstDash val="solid"/>
                      <a:round/>
                      <a:headEnd type="none" w="med" len="med"/>
                      <a:tailEnd type="none" w="med" len="med"/>
                    </a:ln>
                  </pic:spPr>
                </pic:pic>
              </a:graphicData>
            </a:graphic>
          </wp:inline>
        </w:drawing>
      </w:r>
    </w:p>
    <w:p w14:paraId="5B58865B">
      <w:pPr>
        <w:spacing w:after="0"/>
        <w:jc w:val="center"/>
        <w:rPr>
          <w:b/>
          <w:bCs/>
          <w:color w:val="auto"/>
        </w:rPr>
      </w:pPr>
      <w:r>
        <w:rPr>
          <w:b/>
          <w:bCs/>
          <w:color w:val="auto"/>
        </w:rPr>
        <w:t xml:space="preserve">Figure 1: Discounted cash inflows (base case) </w:t>
      </w:r>
    </w:p>
    <w:p w14:paraId="6EF90058">
      <w:pPr>
        <w:spacing w:after="0"/>
        <w:jc w:val="center"/>
        <w:rPr>
          <w:color w:val="auto"/>
        </w:rPr>
      </w:pPr>
      <w:r>
        <w:rPr>
          <w:color w:val="auto"/>
        </w:rPr>
        <w:t>(Source: Self-developed)</w:t>
      </w:r>
    </w:p>
    <w:tbl>
      <w:tblPr>
        <w:tblStyle w:val="39"/>
        <w:tblW w:w="903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3045"/>
        <w:gridCol w:w="5985"/>
      </w:tblGrid>
      <w:tr w14:paraId="12AD54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045" w:type="dxa"/>
            <w:tcMar>
              <w:top w:w="100" w:type="dxa"/>
              <w:left w:w="100" w:type="dxa"/>
              <w:bottom w:w="100" w:type="dxa"/>
              <w:right w:w="100" w:type="dxa"/>
            </w:tcMar>
          </w:tcPr>
          <w:p w14:paraId="677BBB68">
            <w:pPr>
              <w:widowControl w:val="0"/>
              <w:pBdr>
                <w:top w:val="none" w:color="auto" w:sz="0" w:space="0"/>
                <w:left w:val="none" w:color="auto" w:sz="0" w:space="0"/>
                <w:bottom w:val="none" w:color="auto" w:sz="0" w:space="0"/>
                <w:right w:val="none" w:color="auto" w:sz="0" w:space="0"/>
                <w:between w:val="none" w:color="auto" w:sz="0" w:space="0"/>
              </w:pBdr>
              <w:spacing w:after="0"/>
              <w:jc w:val="center"/>
              <w:rPr>
                <w:b/>
                <w:bCs/>
                <w:color w:val="auto"/>
              </w:rPr>
            </w:pPr>
            <w:r>
              <w:rPr>
                <w:b/>
                <w:bCs/>
                <w:color w:val="auto"/>
              </w:rPr>
              <w:t>Techniques</w:t>
            </w:r>
          </w:p>
        </w:tc>
        <w:tc>
          <w:tcPr>
            <w:tcW w:w="5985" w:type="dxa"/>
            <w:tcMar>
              <w:top w:w="100" w:type="dxa"/>
              <w:left w:w="100" w:type="dxa"/>
              <w:bottom w:w="100" w:type="dxa"/>
              <w:right w:w="100" w:type="dxa"/>
            </w:tcMar>
          </w:tcPr>
          <w:p w14:paraId="7240B35D">
            <w:pPr>
              <w:widowControl w:val="0"/>
              <w:pBdr>
                <w:top w:val="none" w:color="auto" w:sz="0" w:space="0"/>
                <w:left w:val="none" w:color="auto" w:sz="0" w:space="0"/>
                <w:bottom w:val="none" w:color="auto" w:sz="0" w:space="0"/>
                <w:right w:val="none" w:color="auto" w:sz="0" w:space="0"/>
                <w:between w:val="none" w:color="auto" w:sz="0" w:space="0"/>
              </w:pBdr>
              <w:spacing w:after="0"/>
              <w:jc w:val="center"/>
              <w:rPr>
                <w:b/>
                <w:bCs/>
                <w:color w:val="auto"/>
              </w:rPr>
            </w:pPr>
            <w:r>
              <w:rPr>
                <w:b/>
                <w:bCs/>
                <w:color w:val="auto"/>
              </w:rPr>
              <w:t>Formulas</w:t>
            </w:r>
          </w:p>
        </w:tc>
      </w:tr>
      <w:tr w14:paraId="307107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045" w:type="dxa"/>
            <w:tcMar>
              <w:top w:w="100" w:type="dxa"/>
              <w:left w:w="100" w:type="dxa"/>
              <w:bottom w:w="100" w:type="dxa"/>
              <w:right w:w="100" w:type="dxa"/>
            </w:tcMar>
          </w:tcPr>
          <w:p w14:paraId="288AF529">
            <w:pPr>
              <w:spacing w:after="0"/>
              <w:rPr>
                <w:color w:val="auto"/>
              </w:rPr>
            </w:pPr>
            <w:r>
              <w:rPr>
                <w:color w:val="auto"/>
              </w:rPr>
              <w:t xml:space="preserve">Net Present Value </w:t>
            </w:r>
          </w:p>
        </w:tc>
        <w:tc>
          <w:tcPr>
            <w:tcW w:w="5985" w:type="dxa"/>
            <w:tcMar>
              <w:top w:w="100" w:type="dxa"/>
              <w:left w:w="100" w:type="dxa"/>
              <w:bottom w:w="100" w:type="dxa"/>
              <w:right w:w="100" w:type="dxa"/>
            </w:tcMar>
          </w:tcPr>
          <w:p w14:paraId="5D878B33">
            <w:pPr>
              <w:widowControl w:val="0"/>
              <w:pBdr>
                <w:top w:val="none" w:color="auto" w:sz="0" w:space="0"/>
                <w:left w:val="none" w:color="auto" w:sz="0" w:space="0"/>
                <w:bottom w:val="none" w:color="auto" w:sz="0" w:space="0"/>
                <w:right w:val="none" w:color="auto" w:sz="0" w:space="0"/>
                <w:between w:val="none" w:color="auto" w:sz="0" w:space="0"/>
              </w:pBdr>
              <w:spacing w:after="0"/>
              <w:rPr>
                <w:color w:val="auto"/>
              </w:rPr>
            </w:pPr>
            <w:r>
              <w:rPr>
                <w:color w:val="auto"/>
              </w:rPr>
              <w:t xml:space="preserve">Sum of discounted cash flows - initial investment </w:t>
            </w:r>
          </w:p>
        </w:tc>
      </w:tr>
      <w:tr w14:paraId="2C3348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045" w:type="dxa"/>
            <w:tcMar>
              <w:top w:w="100" w:type="dxa"/>
              <w:left w:w="100" w:type="dxa"/>
              <w:bottom w:w="100" w:type="dxa"/>
              <w:right w:w="100" w:type="dxa"/>
            </w:tcMar>
          </w:tcPr>
          <w:p w14:paraId="392722CF">
            <w:pPr>
              <w:spacing w:after="0"/>
              <w:rPr>
                <w:color w:val="auto"/>
              </w:rPr>
            </w:pPr>
            <w:r>
              <w:rPr>
                <w:color w:val="auto"/>
              </w:rPr>
              <w:t xml:space="preserve">Payback period </w:t>
            </w:r>
          </w:p>
        </w:tc>
        <w:tc>
          <w:tcPr>
            <w:tcW w:w="5985" w:type="dxa"/>
            <w:tcMar>
              <w:top w:w="100" w:type="dxa"/>
              <w:left w:w="100" w:type="dxa"/>
              <w:bottom w:w="100" w:type="dxa"/>
              <w:right w:w="100" w:type="dxa"/>
            </w:tcMar>
          </w:tcPr>
          <w:p w14:paraId="070D977F">
            <w:pPr>
              <w:widowControl w:val="0"/>
              <w:pBdr>
                <w:top w:val="none" w:color="auto" w:sz="0" w:space="0"/>
                <w:left w:val="none" w:color="auto" w:sz="0" w:space="0"/>
                <w:bottom w:val="none" w:color="auto" w:sz="0" w:space="0"/>
                <w:right w:val="none" w:color="auto" w:sz="0" w:space="0"/>
                <w:between w:val="none" w:color="auto" w:sz="0" w:space="0"/>
              </w:pBdr>
              <w:spacing w:after="0"/>
              <w:rPr>
                <w:color w:val="auto"/>
              </w:rPr>
            </w:pPr>
            <w:r>
              <w:rPr>
                <w:color w:val="auto"/>
              </w:rPr>
              <w:t xml:space="preserve">Number of years + (Cost not recovered in that year / Cash inflow in that year) </w:t>
            </w:r>
          </w:p>
        </w:tc>
      </w:tr>
      <w:tr w14:paraId="277285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045" w:type="dxa"/>
            <w:tcMar>
              <w:top w:w="100" w:type="dxa"/>
              <w:left w:w="100" w:type="dxa"/>
              <w:bottom w:w="100" w:type="dxa"/>
              <w:right w:w="100" w:type="dxa"/>
            </w:tcMar>
          </w:tcPr>
          <w:p w14:paraId="6CC77206">
            <w:pPr>
              <w:spacing w:after="0"/>
              <w:rPr>
                <w:color w:val="auto"/>
              </w:rPr>
            </w:pPr>
            <w:r>
              <w:rPr>
                <w:color w:val="auto"/>
              </w:rPr>
              <w:t>Profitability Index</w:t>
            </w:r>
          </w:p>
        </w:tc>
        <w:tc>
          <w:tcPr>
            <w:tcW w:w="5985" w:type="dxa"/>
            <w:tcMar>
              <w:top w:w="100" w:type="dxa"/>
              <w:left w:w="100" w:type="dxa"/>
              <w:bottom w:w="100" w:type="dxa"/>
              <w:right w:w="100" w:type="dxa"/>
            </w:tcMar>
          </w:tcPr>
          <w:p w14:paraId="74639C65">
            <w:pPr>
              <w:widowControl w:val="0"/>
              <w:pBdr>
                <w:top w:val="none" w:color="auto" w:sz="0" w:space="0"/>
                <w:left w:val="none" w:color="auto" w:sz="0" w:space="0"/>
                <w:bottom w:val="none" w:color="auto" w:sz="0" w:space="0"/>
                <w:right w:val="none" w:color="auto" w:sz="0" w:space="0"/>
                <w:between w:val="none" w:color="auto" w:sz="0" w:space="0"/>
              </w:pBdr>
              <w:spacing w:after="0"/>
              <w:rPr>
                <w:color w:val="auto"/>
              </w:rPr>
            </w:pPr>
            <w:r>
              <w:rPr>
                <w:color w:val="auto"/>
              </w:rPr>
              <w:t xml:space="preserve">Sum of discounted cash flows / Initial investment </w:t>
            </w:r>
          </w:p>
        </w:tc>
      </w:tr>
      <w:tr w14:paraId="255B0F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045" w:type="dxa"/>
            <w:tcMar>
              <w:top w:w="100" w:type="dxa"/>
              <w:left w:w="100" w:type="dxa"/>
              <w:bottom w:w="100" w:type="dxa"/>
              <w:right w:w="100" w:type="dxa"/>
            </w:tcMar>
          </w:tcPr>
          <w:p w14:paraId="11E7BDA7">
            <w:pPr>
              <w:spacing w:after="0"/>
              <w:rPr>
                <w:color w:val="auto"/>
              </w:rPr>
            </w:pPr>
            <w:r>
              <w:rPr>
                <w:color w:val="auto"/>
              </w:rPr>
              <w:t xml:space="preserve">Real discount rate </w:t>
            </w:r>
          </w:p>
        </w:tc>
        <w:tc>
          <w:tcPr>
            <w:tcW w:w="5985" w:type="dxa"/>
            <w:tcMar>
              <w:top w:w="100" w:type="dxa"/>
              <w:left w:w="100" w:type="dxa"/>
              <w:bottom w:w="100" w:type="dxa"/>
              <w:right w:w="100" w:type="dxa"/>
            </w:tcMar>
          </w:tcPr>
          <w:p w14:paraId="0BBCFD71">
            <w:pPr>
              <w:spacing w:after="0"/>
              <w:rPr>
                <w:color w:val="auto"/>
              </w:rPr>
            </w:pPr>
            <w:r>
              <w:rPr>
                <w:color w:val="auto"/>
              </w:rPr>
              <w:t>{[(1 - nominal discount rate) / (1 - inflation rate)] - 1} * 100</w:t>
            </w:r>
          </w:p>
        </w:tc>
      </w:tr>
      <w:tr w14:paraId="742361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3045" w:type="dxa"/>
            <w:tcMar>
              <w:top w:w="100" w:type="dxa"/>
              <w:left w:w="100" w:type="dxa"/>
              <w:bottom w:w="100" w:type="dxa"/>
              <w:right w:w="100" w:type="dxa"/>
            </w:tcMar>
          </w:tcPr>
          <w:p w14:paraId="55BE6D64">
            <w:pPr>
              <w:spacing w:after="0"/>
              <w:rPr>
                <w:color w:val="auto"/>
              </w:rPr>
            </w:pPr>
            <w:r>
              <w:rPr>
                <w:color w:val="auto"/>
              </w:rPr>
              <w:t xml:space="preserve">Real cash inflows </w:t>
            </w:r>
          </w:p>
        </w:tc>
        <w:tc>
          <w:tcPr>
            <w:tcW w:w="5985" w:type="dxa"/>
            <w:tcMar>
              <w:top w:w="100" w:type="dxa"/>
              <w:left w:w="100" w:type="dxa"/>
              <w:bottom w:w="100" w:type="dxa"/>
              <w:right w:w="100" w:type="dxa"/>
            </w:tcMar>
          </w:tcPr>
          <w:p w14:paraId="218D43DE">
            <w:pPr>
              <w:spacing w:after="0"/>
              <w:rPr>
                <w:color w:val="auto"/>
              </w:rPr>
            </w:pPr>
            <w:r>
              <w:rPr>
                <w:color w:val="auto"/>
              </w:rPr>
              <w:t xml:space="preserve">Nominal Cash inflows / (1 + inflation rate) ^n) where n = number of years </w:t>
            </w:r>
          </w:p>
        </w:tc>
      </w:tr>
    </w:tbl>
    <w:p w14:paraId="0681C179">
      <w:pPr>
        <w:spacing w:after="0"/>
        <w:jc w:val="center"/>
        <w:rPr>
          <w:b/>
          <w:bCs/>
          <w:color w:val="auto"/>
        </w:rPr>
      </w:pPr>
      <w:r>
        <w:rPr>
          <w:b/>
          <w:bCs/>
          <w:color w:val="auto"/>
        </w:rPr>
        <w:t xml:space="preserve">Table 3: Relevant formulas </w:t>
      </w:r>
    </w:p>
    <w:p w14:paraId="00792D20">
      <w:pPr>
        <w:spacing w:after="0"/>
        <w:jc w:val="center"/>
        <w:rPr>
          <w:color w:val="auto"/>
        </w:rPr>
      </w:pPr>
      <w:r>
        <w:rPr>
          <w:color w:val="auto"/>
        </w:rPr>
        <w:t>(Source: Self-developed)</w:t>
      </w:r>
    </w:p>
    <w:p w14:paraId="109EEE42">
      <w:pPr>
        <w:spacing w:after="0"/>
        <w:jc w:val="center"/>
        <w:rPr>
          <w:b/>
          <w:bCs/>
          <w:color w:val="auto"/>
        </w:rPr>
      </w:pPr>
      <w:r>
        <w:rPr>
          <w:b/>
          <w:bCs/>
          <w:color w:val="auto"/>
        </w:rPr>
        <w:drawing>
          <wp:inline distT="0" distB="0" distL="0" distR="0">
            <wp:extent cx="5391150" cy="1009015"/>
            <wp:effectExtent l="25400" t="25400" r="25400" b="25400"/>
            <wp:docPr id="1028" name="image7.png"/>
            <wp:cNvGraphicFramePr/>
            <a:graphic xmlns:a="http://schemas.openxmlformats.org/drawingml/2006/main">
              <a:graphicData uri="http://schemas.openxmlformats.org/drawingml/2006/picture">
                <pic:pic xmlns:pic="http://schemas.openxmlformats.org/drawingml/2006/picture">
                  <pic:nvPicPr>
                    <pic:cNvPr id="1028" name="image7.png"/>
                    <pic:cNvPicPr/>
                  </pic:nvPicPr>
                  <pic:blipFill>
                    <a:blip r:embed="rId9" cstate="print"/>
                    <a:srcRect/>
                    <a:stretch>
                      <a:fillRect/>
                    </a:stretch>
                  </pic:blipFill>
                  <pic:spPr>
                    <a:xfrm>
                      <a:off x="0" y="0"/>
                      <a:ext cx="5391150" cy="1009649"/>
                    </a:xfrm>
                    <a:prstGeom prst="rect">
                      <a:avLst/>
                    </a:prstGeom>
                    <a:ln w="25400" cap="flat" cmpd="sng">
                      <a:solidFill>
                        <a:srgbClr val="000000"/>
                      </a:solidFill>
                      <a:prstDash val="solid"/>
                      <a:round/>
                      <a:headEnd type="none" w="med" len="med"/>
                      <a:tailEnd type="none" w="med" len="med"/>
                    </a:ln>
                  </pic:spPr>
                </pic:pic>
              </a:graphicData>
            </a:graphic>
          </wp:inline>
        </w:drawing>
      </w:r>
    </w:p>
    <w:p w14:paraId="0C5DCC4B">
      <w:pPr>
        <w:spacing w:after="0"/>
        <w:jc w:val="center"/>
        <w:rPr>
          <w:b/>
          <w:bCs/>
          <w:color w:val="auto"/>
        </w:rPr>
      </w:pPr>
      <w:r>
        <w:rPr>
          <w:b/>
          <w:bCs/>
          <w:color w:val="auto"/>
        </w:rPr>
        <w:t xml:space="preserve">Figure 2: Capital budgeting techniques </w:t>
      </w:r>
    </w:p>
    <w:p w14:paraId="5AFCFE40">
      <w:pPr>
        <w:spacing w:after="0"/>
        <w:jc w:val="center"/>
        <w:rPr>
          <w:b/>
          <w:bCs/>
          <w:color w:val="auto"/>
        </w:rPr>
      </w:pPr>
      <w:r>
        <w:rPr>
          <w:color w:val="auto"/>
        </w:rPr>
        <w:t>(Source: Self-developed)</w:t>
      </w:r>
    </w:p>
    <w:tbl>
      <w:tblPr>
        <w:tblStyle w:val="40"/>
        <w:tblW w:w="90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320"/>
        <w:gridCol w:w="3660"/>
        <w:gridCol w:w="4050"/>
      </w:tblGrid>
      <w:tr w14:paraId="5840C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320"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bottom"/>
          </w:tcPr>
          <w:p w14:paraId="318464F4">
            <w:pPr>
              <w:spacing w:after="0"/>
              <w:jc w:val="center"/>
              <w:rPr>
                <w:b/>
                <w:bCs/>
                <w:color w:val="auto"/>
              </w:rPr>
            </w:pPr>
            <w:r>
              <w:rPr>
                <w:b/>
                <w:bCs/>
                <w:color w:val="auto"/>
              </w:rPr>
              <w:t>Years</w:t>
            </w:r>
          </w:p>
        </w:tc>
        <w:tc>
          <w:tcPr>
            <w:tcW w:w="3660"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5B152885">
            <w:pPr>
              <w:spacing w:after="0"/>
              <w:jc w:val="center"/>
              <w:rPr>
                <w:b/>
                <w:bCs/>
                <w:color w:val="auto"/>
              </w:rPr>
            </w:pPr>
            <w:r>
              <w:rPr>
                <w:b/>
                <w:bCs/>
                <w:color w:val="auto"/>
              </w:rPr>
              <w:t>Cash flow  (Million £)</w:t>
            </w:r>
          </w:p>
        </w:tc>
        <w:tc>
          <w:tcPr>
            <w:tcW w:w="4050"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0BBC2271">
            <w:pPr>
              <w:spacing w:after="0"/>
              <w:jc w:val="center"/>
              <w:rPr>
                <w:b/>
                <w:bCs/>
                <w:color w:val="auto"/>
              </w:rPr>
            </w:pPr>
            <w:r>
              <w:rPr>
                <w:b/>
                <w:bCs/>
                <w:color w:val="auto"/>
              </w:rPr>
              <w:t>Cumulative cash flow  (Million £)</w:t>
            </w:r>
          </w:p>
        </w:tc>
      </w:tr>
      <w:tr w14:paraId="098BF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32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0D96EF79">
            <w:pPr>
              <w:spacing w:after="0"/>
              <w:rPr>
                <w:color w:val="auto"/>
              </w:rPr>
            </w:pPr>
            <w:r>
              <w:rPr>
                <w:color w:val="auto"/>
              </w:rPr>
              <w:t>0</w:t>
            </w:r>
          </w:p>
        </w:tc>
        <w:tc>
          <w:tcPr>
            <w:tcW w:w="366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7506CE82">
            <w:pPr>
              <w:spacing w:after="0"/>
              <w:rPr>
                <w:color w:val="auto"/>
              </w:rPr>
            </w:pPr>
            <w:r>
              <w:rPr>
                <w:color w:val="auto"/>
              </w:rPr>
              <w:t>-50</w:t>
            </w:r>
          </w:p>
        </w:tc>
        <w:tc>
          <w:tcPr>
            <w:tcW w:w="405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0B40A09D">
            <w:pPr>
              <w:spacing w:after="0"/>
              <w:rPr>
                <w:color w:val="auto"/>
              </w:rPr>
            </w:pPr>
            <w:r>
              <w:rPr>
                <w:color w:val="auto"/>
              </w:rPr>
              <w:t>0</w:t>
            </w:r>
          </w:p>
        </w:tc>
      </w:tr>
      <w:tr w14:paraId="4C55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32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1E4C9C96">
            <w:pPr>
              <w:spacing w:after="0"/>
              <w:rPr>
                <w:color w:val="auto"/>
              </w:rPr>
            </w:pPr>
            <w:r>
              <w:rPr>
                <w:color w:val="auto"/>
              </w:rPr>
              <w:t>1</w:t>
            </w:r>
          </w:p>
        </w:tc>
        <w:tc>
          <w:tcPr>
            <w:tcW w:w="366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1CB44275">
            <w:pPr>
              <w:spacing w:after="0"/>
              <w:rPr>
                <w:color w:val="auto"/>
              </w:rPr>
            </w:pPr>
            <w:r>
              <w:rPr>
                <w:color w:val="auto"/>
              </w:rPr>
              <w:t>17</w:t>
            </w:r>
          </w:p>
        </w:tc>
        <w:tc>
          <w:tcPr>
            <w:tcW w:w="405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6BC4854F">
            <w:pPr>
              <w:spacing w:after="0"/>
              <w:rPr>
                <w:color w:val="auto"/>
              </w:rPr>
            </w:pPr>
            <w:r>
              <w:rPr>
                <w:color w:val="auto"/>
              </w:rPr>
              <w:t>-33</w:t>
            </w:r>
          </w:p>
        </w:tc>
      </w:tr>
      <w:tr w14:paraId="3132A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32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5081FF44">
            <w:pPr>
              <w:spacing w:after="0"/>
              <w:rPr>
                <w:color w:val="auto"/>
              </w:rPr>
            </w:pPr>
            <w:r>
              <w:rPr>
                <w:color w:val="auto"/>
              </w:rPr>
              <w:t>2</w:t>
            </w:r>
          </w:p>
        </w:tc>
        <w:tc>
          <w:tcPr>
            <w:tcW w:w="366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70CA1B38">
            <w:pPr>
              <w:spacing w:after="0"/>
              <w:rPr>
                <w:color w:val="auto"/>
              </w:rPr>
            </w:pPr>
            <w:r>
              <w:rPr>
                <w:color w:val="auto"/>
              </w:rPr>
              <w:t>17</w:t>
            </w:r>
          </w:p>
        </w:tc>
        <w:tc>
          <w:tcPr>
            <w:tcW w:w="405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781EACB7">
            <w:pPr>
              <w:spacing w:after="0"/>
              <w:rPr>
                <w:color w:val="auto"/>
              </w:rPr>
            </w:pPr>
            <w:r>
              <w:rPr>
                <w:color w:val="auto"/>
              </w:rPr>
              <w:t>-16</w:t>
            </w:r>
          </w:p>
        </w:tc>
      </w:tr>
      <w:tr w14:paraId="08044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32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57E8B04F">
            <w:pPr>
              <w:spacing w:after="0"/>
              <w:rPr>
                <w:color w:val="auto"/>
              </w:rPr>
            </w:pPr>
            <w:r>
              <w:rPr>
                <w:color w:val="auto"/>
              </w:rPr>
              <w:t>3</w:t>
            </w:r>
          </w:p>
        </w:tc>
        <w:tc>
          <w:tcPr>
            <w:tcW w:w="366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6FAA1096">
            <w:pPr>
              <w:spacing w:after="0"/>
              <w:rPr>
                <w:color w:val="auto"/>
              </w:rPr>
            </w:pPr>
            <w:r>
              <w:rPr>
                <w:color w:val="auto"/>
              </w:rPr>
              <w:t>17</w:t>
            </w:r>
          </w:p>
        </w:tc>
        <w:tc>
          <w:tcPr>
            <w:tcW w:w="405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115E91C4">
            <w:pPr>
              <w:spacing w:after="0"/>
              <w:rPr>
                <w:color w:val="auto"/>
              </w:rPr>
            </w:pPr>
            <w:r>
              <w:rPr>
                <w:color w:val="auto"/>
              </w:rPr>
              <w:t>1</w:t>
            </w:r>
          </w:p>
        </w:tc>
      </w:tr>
      <w:tr w14:paraId="67BD3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32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63DE787C">
            <w:pPr>
              <w:spacing w:after="0"/>
              <w:rPr>
                <w:color w:val="auto"/>
              </w:rPr>
            </w:pPr>
            <w:r>
              <w:rPr>
                <w:color w:val="auto"/>
              </w:rPr>
              <w:t>4</w:t>
            </w:r>
          </w:p>
        </w:tc>
        <w:tc>
          <w:tcPr>
            <w:tcW w:w="366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668FBCE1">
            <w:pPr>
              <w:spacing w:after="0"/>
              <w:rPr>
                <w:color w:val="auto"/>
              </w:rPr>
            </w:pPr>
            <w:r>
              <w:rPr>
                <w:color w:val="auto"/>
              </w:rPr>
              <w:t>17</w:t>
            </w:r>
          </w:p>
        </w:tc>
        <w:tc>
          <w:tcPr>
            <w:tcW w:w="405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460B35DB">
            <w:pPr>
              <w:spacing w:after="0"/>
              <w:rPr>
                <w:color w:val="auto"/>
              </w:rPr>
            </w:pPr>
            <w:r>
              <w:rPr>
                <w:color w:val="auto"/>
              </w:rPr>
              <w:t>34</w:t>
            </w:r>
          </w:p>
        </w:tc>
      </w:tr>
      <w:tr w14:paraId="78922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32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554913A8">
            <w:pPr>
              <w:spacing w:after="0"/>
              <w:rPr>
                <w:color w:val="auto"/>
              </w:rPr>
            </w:pPr>
            <w:r>
              <w:rPr>
                <w:color w:val="auto"/>
              </w:rPr>
              <w:t>5</w:t>
            </w:r>
          </w:p>
        </w:tc>
        <w:tc>
          <w:tcPr>
            <w:tcW w:w="366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36B8B82F">
            <w:pPr>
              <w:spacing w:after="0"/>
              <w:rPr>
                <w:color w:val="auto"/>
              </w:rPr>
            </w:pPr>
            <w:r>
              <w:rPr>
                <w:color w:val="auto"/>
              </w:rPr>
              <w:t>17</w:t>
            </w:r>
          </w:p>
        </w:tc>
        <w:tc>
          <w:tcPr>
            <w:tcW w:w="405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6A7DD96D">
            <w:pPr>
              <w:spacing w:after="0"/>
              <w:rPr>
                <w:color w:val="auto"/>
              </w:rPr>
            </w:pPr>
            <w:r>
              <w:rPr>
                <w:color w:val="auto"/>
              </w:rPr>
              <w:t>34</w:t>
            </w:r>
          </w:p>
        </w:tc>
      </w:tr>
    </w:tbl>
    <w:p w14:paraId="4F8304A6">
      <w:pPr>
        <w:spacing w:after="0"/>
        <w:jc w:val="center"/>
        <w:rPr>
          <w:b/>
          <w:bCs/>
          <w:color w:val="auto"/>
        </w:rPr>
      </w:pPr>
      <w:r>
        <w:rPr>
          <w:b/>
          <w:bCs/>
          <w:color w:val="auto"/>
        </w:rPr>
        <w:t xml:space="preserve">Table 4: Detailed calculations for payback period </w:t>
      </w:r>
    </w:p>
    <w:p w14:paraId="0B5ABD57">
      <w:pPr>
        <w:spacing w:after="0"/>
        <w:jc w:val="center"/>
        <w:rPr>
          <w:color w:val="auto"/>
        </w:rPr>
      </w:pPr>
      <w:r>
        <w:rPr>
          <w:color w:val="auto"/>
        </w:rPr>
        <w:t>(Source: Self-developed)</w:t>
      </w:r>
    </w:p>
    <w:p w14:paraId="585AD446">
      <w:pPr>
        <w:spacing w:after="0"/>
        <w:rPr>
          <w:b/>
          <w:bCs/>
          <w:color w:val="auto"/>
        </w:rPr>
      </w:pPr>
      <w:r>
        <w:rPr>
          <w:b/>
          <w:bCs/>
          <w:color w:val="auto"/>
        </w:rPr>
        <w:t>Best Case</w:t>
      </w:r>
    </w:p>
    <w:p w14:paraId="05A68C8D">
      <w:pPr>
        <w:spacing w:after="0"/>
        <w:rPr>
          <w:color w:val="auto"/>
        </w:rPr>
      </w:pPr>
      <w:r>
        <w:rPr>
          <w:color w:val="auto"/>
        </w:rPr>
        <w:t xml:space="preserve">The best case scenario includes a reduction in nominal discount and inflation and tax rates at 6% and 2% respectively.  </w:t>
      </w:r>
    </w:p>
    <w:tbl>
      <w:tblPr>
        <w:tblStyle w:val="41"/>
        <w:tblW w:w="8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500"/>
        <w:gridCol w:w="4140"/>
      </w:tblGrid>
      <w:tr w14:paraId="625CE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500"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bottom"/>
          </w:tcPr>
          <w:p w14:paraId="549BDAAF">
            <w:pPr>
              <w:spacing w:after="0"/>
              <w:rPr>
                <w:color w:val="auto"/>
              </w:rPr>
            </w:pPr>
            <w:r>
              <w:rPr>
                <w:color w:val="auto"/>
              </w:rPr>
              <w:t>Nominal discount rate</w:t>
            </w:r>
          </w:p>
        </w:tc>
        <w:tc>
          <w:tcPr>
            <w:tcW w:w="4140"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6A1031CE">
            <w:pPr>
              <w:spacing w:after="0"/>
              <w:rPr>
                <w:color w:val="auto"/>
              </w:rPr>
            </w:pPr>
            <w:r>
              <w:rPr>
                <w:color w:val="auto"/>
              </w:rPr>
              <w:t>6%</w:t>
            </w:r>
          </w:p>
        </w:tc>
      </w:tr>
      <w:tr w14:paraId="2D91A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50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1BC13F84">
            <w:pPr>
              <w:spacing w:after="0"/>
              <w:rPr>
                <w:color w:val="auto"/>
              </w:rPr>
            </w:pPr>
            <w:r>
              <w:rPr>
                <w:color w:val="auto"/>
              </w:rPr>
              <w:t>Inflation rate</w:t>
            </w:r>
          </w:p>
        </w:tc>
        <w:tc>
          <w:tcPr>
            <w:tcW w:w="414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00A70504">
            <w:pPr>
              <w:spacing w:after="0"/>
              <w:rPr>
                <w:color w:val="auto"/>
              </w:rPr>
            </w:pPr>
            <w:r>
              <w:rPr>
                <w:color w:val="auto"/>
              </w:rPr>
              <w:t>2%</w:t>
            </w:r>
          </w:p>
        </w:tc>
      </w:tr>
      <w:tr w14:paraId="180DB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50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0A426BE1">
            <w:pPr>
              <w:spacing w:after="0"/>
              <w:rPr>
                <w:color w:val="auto"/>
              </w:rPr>
            </w:pPr>
            <w:r>
              <w:rPr>
                <w:color w:val="auto"/>
              </w:rPr>
              <w:t>Real discount rate</w:t>
            </w:r>
          </w:p>
        </w:tc>
        <w:tc>
          <w:tcPr>
            <w:tcW w:w="4140"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3DD69D15">
            <w:pPr>
              <w:spacing w:after="0"/>
              <w:rPr>
                <w:color w:val="auto"/>
              </w:rPr>
            </w:pPr>
            <w:r>
              <w:rPr>
                <w:color w:val="auto"/>
              </w:rPr>
              <w:t>3.92%</w:t>
            </w:r>
          </w:p>
        </w:tc>
      </w:tr>
    </w:tbl>
    <w:p w14:paraId="53659742">
      <w:pPr>
        <w:spacing w:after="0"/>
        <w:jc w:val="center"/>
        <w:rPr>
          <w:b/>
          <w:bCs/>
          <w:color w:val="auto"/>
        </w:rPr>
      </w:pPr>
      <w:r>
        <w:rPr>
          <w:b/>
          <w:bCs/>
          <w:color w:val="auto"/>
        </w:rPr>
        <w:t xml:space="preserve">Table 5: Relevant details for the best case </w:t>
      </w:r>
    </w:p>
    <w:p w14:paraId="0C542662">
      <w:pPr>
        <w:spacing w:after="0"/>
        <w:jc w:val="center"/>
        <w:rPr>
          <w:color w:val="auto"/>
        </w:rPr>
      </w:pPr>
      <w:r>
        <w:rPr>
          <w:color w:val="auto"/>
        </w:rPr>
        <w:t>(Source: Self-developed)</w:t>
      </w:r>
    </w:p>
    <w:p w14:paraId="6079CEED">
      <w:pPr>
        <w:spacing w:after="0"/>
        <w:rPr>
          <w:color w:val="auto"/>
        </w:rPr>
      </w:pPr>
      <w:r>
        <w:rPr>
          <w:color w:val="auto"/>
        </w:rPr>
        <w:t xml:space="preserve">It is also assumed that in the best case scenario, cash inflows increase to £18 million per year for the next 5 years. </w:t>
      </w:r>
    </w:p>
    <w:p w14:paraId="5B94C1EA">
      <w:pPr>
        <w:spacing w:after="0"/>
        <w:jc w:val="center"/>
        <w:rPr>
          <w:color w:val="auto"/>
        </w:rPr>
      </w:pPr>
      <w:r>
        <w:rPr>
          <w:color w:val="auto"/>
        </w:rPr>
        <w:drawing>
          <wp:inline distT="0" distB="0" distL="0" distR="0">
            <wp:extent cx="5730875" cy="787400"/>
            <wp:effectExtent l="25400" t="25400" r="25400" b="25400"/>
            <wp:docPr id="1029" name="image6.png"/>
            <wp:cNvGraphicFramePr/>
            <a:graphic xmlns:a="http://schemas.openxmlformats.org/drawingml/2006/main">
              <a:graphicData uri="http://schemas.openxmlformats.org/drawingml/2006/picture">
                <pic:pic xmlns:pic="http://schemas.openxmlformats.org/drawingml/2006/picture">
                  <pic:nvPicPr>
                    <pic:cNvPr id="1029" name="image6.png"/>
                    <pic:cNvPicPr/>
                  </pic:nvPicPr>
                  <pic:blipFill>
                    <a:blip r:embed="rId10" cstate="print"/>
                    <a:srcRect/>
                    <a:stretch>
                      <a:fillRect/>
                    </a:stretch>
                  </pic:blipFill>
                  <pic:spPr>
                    <a:xfrm>
                      <a:off x="0" y="0"/>
                      <a:ext cx="5731200" cy="787400"/>
                    </a:xfrm>
                    <a:prstGeom prst="rect">
                      <a:avLst/>
                    </a:prstGeom>
                    <a:ln w="25400" cap="flat" cmpd="sng">
                      <a:solidFill>
                        <a:srgbClr val="000000"/>
                      </a:solidFill>
                      <a:prstDash val="solid"/>
                      <a:round/>
                      <a:headEnd type="none" w="med" len="med"/>
                      <a:tailEnd type="none" w="med" len="med"/>
                    </a:ln>
                  </pic:spPr>
                </pic:pic>
              </a:graphicData>
            </a:graphic>
          </wp:inline>
        </w:drawing>
      </w:r>
    </w:p>
    <w:p w14:paraId="5603C477">
      <w:pPr>
        <w:spacing w:after="0"/>
        <w:jc w:val="center"/>
        <w:rPr>
          <w:b/>
          <w:bCs/>
          <w:color w:val="auto"/>
        </w:rPr>
      </w:pPr>
      <w:r>
        <w:rPr>
          <w:b/>
          <w:bCs/>
          <w:color w:val="auto"/>
        </w:rPr>
        <w:t xml:space="preserve">Figure 3: Discounted cash inflows (Best case) </w:t>
      </w:r>
    </w:p>
    <w:p w14:paraId="77570233">
      <w:pPr>
        <w:spacing w:after="0"/>
        <w:jc w:val="center"/>
        <w:rPr>
          <w:color w:val="auto"/>
        </w:rPr>
      </w:pPr>
      <w:r>
        <w:rPr>
          <w:color w:val="auto"/>
        </w:rPr>
        <w:t>(Source: Self-developed)</w:t>
      </w:r>
    </w:p>
    <w:p w14:paraId="109E23B5">
      <w:pPr>
        <w:spacing w:after="0"/>
        <w:jc w:val="center"/>
        <w:rPr>
          <w:color w:val="auto"/>
        </w:rPr>
      </w:pPr>
      <w:r>
        <w:rPr>
          <w:color w:val="auto"/>
        </w:rPr>
        <w:drawing>
          <wp:inline distT="0" distB="0" distL="0" distR="0">
            <wp:extent cx="5438775" cy="1076325"/>
            <wp:effectExtent l="25400" t="25400" r="25400" b="25400"/>
            <wp:docPr id="1030" name="image1.png"/>
            <wp:cNvGraphicFramePr/>
            <a:graphic xmlns:a="http://schemas.openxmlformats.org/drawingml/2006/main">
              <a:graphicData uri="http://schemas.openxmlformats.org/drawingml/2006/picture">
                <pic:pic xmlns:pic="http://schemas.openxmlformats.org/drawingml/2006/picture">
                  <pic:nvPicPr>
                    <pic:cNvPr id="1030" name="image1.png"/>
                    <pic:cNvPicPr/>
                  </pic:nvPicPr>
                  <pic:blipFill>
                    <a:blip r:embed="rId11" cstate="print"/>
                    <a:srcRect/>
                    <a:stretch>
                      <a:fillRect/>
                    </a:stretch>
                  </pic:blipFill>
                  <pic:spPr>
                    <a:xfrm>
                      <a:off x="0" y="0"/>
                      <a:ext cx="5438775" cy="1076325"/>
                    </a:xfrm>
                    <a:prstGeom prst="rect">
                      <a:avLst/>
                    </a:prstGeom>
                    <a:ln w="25400" cap="flat" cmpd="sng">
                      <a:solidFill>
                        <a:srgbClr val="000000"/>
                      </a:solidFill>
                      <a:prstDash val="solid"/>
                      <a:round/>
                      <a:headEnd type="none" w="med" len="med"/>
                      <a:tailEnd type="none" w="med" len="med"/>
                    </a:ln>
                  </pic:spPr>
                </pic:pic>
              </a:graphicData>
            </a:graphic>
          </wp:inline>
        </w:drawing>
      </w:r>
    </w:p>
    <w:p w14:paraId="1447459E">
      <w:pPr>
        <w:spacing w:after="0"/>
        <w:jc w:val="center"/>
        <w:rPr>
          <w:b/>
          <w:bCs/>
          <w:color w:val="auto"/>
        </w:rPr>
      </w:pPr>
      <w:r>
        <w:rPr>
          <w:b/>
          <w:bCs/>
          <w:color w:val="auto"/>
        </w:rPr>
        <w:t xml:space="preserve">Figure 4: Capital budgeting techniques </w:t>
      </w:r>
    </w:p>
    <w:p w14:paraId="23884363">
      <w:pPr>
        <w:spacing w:after="0"/>
        <w:jc w:val="center"/>
        <w:rPr>
          <w:color w:val="auto"/>
        </w:rPr>
      </w:pPr>
      <w:r>
        <w:rPr>
          <w:color w:val="auto"/>
        </w:rPr>
        <w:t>(Source: Self-developed)</w:t>
      </w:r>
    </w:p>
    <w:tbl>
      <w:tblPr>
        <w:tblStyle w:val="42"/>
        <w:tblW w:w="89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00"/>
        <w:gridCol w:w="2835"/>
        <w:gridCol w:w="3675"/>
      </w:tblGrid>
      <w:tr w14:paraId="5EF88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400"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bottom"/>
          </w:tcPr>
          <w:p w14:paraId="15A1515F">
            <w:pPr>
              <w:spacing w:after="0"/>
              <w:jc w:val="left"/>
              <w:rPr>
                <w:b/>
                <w:bCs/>
                <w:color w:val="auto"/>
              </w:rPr>
            </w:pPr>
            <w:r>
              <w:rPr>
                <w:b/>
                <w:bCs/>
                <w:color w:val="auto"/>
              </w:rPr>
              <w:t>Years</w:t>
            </w:r>
          </w:p>
        </w:tc>
        <w:tc>
          <w:tcPr>
            <w:tcW w:w="2835"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2BB68A5C">
            <w:pPr>
              <w:spacing w:after="0"/>
              <w:jc w:val="left"/>
              <w:rPr>
                <w:b/>
                <w:bCs/>
                <w:color w:val="auto"/>
              </w:rPr>
            </w:pPr>
            <w:r>
              <w:rPr>
                <w:b/>
                <w:bCs/>
                <w:color w:val="auto"/>
              </w:rPr>
              <w:t>Cash flows  (Million £)</w:t>
            </w:r>
          </w:p>
        </w:tc>
        <w:tc>
          <w:tcPr>
            <w:tcW w:w="3675"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47CB4098">
            <w:pPr>
              <w:spacing w:after="0"/>
              <w:jc w:val="left"/>
              <w:rPr>
                <w:b/>
                <w:bCs/>
                <w:color w:val="auto"/>
              </w:rPr>
            </w:pPr>
            <w:r>
              <w:rPr>
                <w:b/>
                <w:bCs/>
                <w:color w:val="auto"/>
              </w:rPr>
              <w:t>Cumulative cashflows  (Million £)</w:t>
            </w:r>
          </w:p>
        </w:tc>
      </w:tr>
      <w:tr w14:paraId="39E6D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40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363FE0AC">
            <w:pPr>
              <w:spacing w:after="0"/>
              <w:jc w:val="right"/>
              <w:rPr>
                <w:color w:val="auto"/>
              </w:rPr>
            </w:pPr>
            <w:r>
              <w:rPr>
                <w:color w:val="auto"/>
              </w:rPr>
              <w:t>0</w:t>
            </w:r>
          </w:p>
        </w:tc>
        <w:tc>
          <w:tcPr>
            <w:tcW w:w="283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3B67E958">
            <w:pPr>
              <w:spacing w:after="0"/>
              <w:jc w:val="right"/>
              <w:rPr>
                <w:color w:val="auto"/>
              </w:rPr>
            </w:pPr>
            <w:r>
              <w:rPr>
                <w:color w:val="auto"/>
              </w:rPr>
              <w:t>-50</w:t>
            </w:r>
          </w:p>
        </w:tc>
        <w:tc>
          <w:tcPr>
            <w:tcW w:w="367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455F7FF0">
            <w:pPr>
              <w:spacing w:after="0"/>
              <w:jc w:val="right"/>
              <w:rPr>
                <w:color w:val="auto"/>
              </w:rPr>
            </w:pPr>
            <w:r>
              <w:rPr>
                <w:color w:val="auto"/>
              </w:rPr>
              <w:t>0</w:t>
            </w:r>
          </w:p>
        </w:tc>
      </w:tr>
      <w:tr w14:paraId="60251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40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3EA4DA16">
            <w:pPr>
              <w:spacing w:after="0"/>
              <w:jc w:val="right"/>
              <w:rPr>
                <w:color w:val="auto"/>
              </w:rPr>
            </w:pPr>
            <w:r>
              <w:rPr>
                <w:color w:val="auto"/>
              </w:rPr>
              <w:t>1</w:t>
            </w:r>
          </w:p>
        </w:tc>
        <w:tc>
          <w:tcPr>
            <w:tcW w:w="283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13F9C494">
            <w:pPr>
              <w:spacing w:after="0"/>
              <w:jc w:val="right"/>
              <w:rPr>
                <w:color w:val="auto"/>
              </w:rPr>
            </w:pPr>
            <w:r>
              <w:rPr>
                <w:color w:val="auto"/>
              </w:rPr>
              <w:t>18</w:t>
            </w:r>
          </w:p>
        </w:tc>
        <w:tc>
          <w:tcPr>
            <w:tcW w:w="367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629F4DA9">
            <w:pPr>
              <w:spacing w:after="0"/>
              <w:jc w:val="right"/>
              <w:rPr>
                <w:color w:val="auto"/>
              </w:rPr>
            </w:pPr>
            <w:r>
              <w:rPr>
                <w:color w:val="auto"/>
              </w:rPr>
              <w:t>-32</w:t>
            </w:r>
          </w:p>
        </w:tc>
      </w:tr>
      <w:tr w14:paraId="54080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40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1D81DF30">
            <w:pPr>
              <w:spacing w:after="0"/>
              <w:jc w:val="right"/>
              <w:rPr>
                <w:color w:val="auto"/>
              </w:rPr>
            </w:pPr>
            <w:r>
              <w:rPr>
                <w:color w:val="auto"/>
              </w:rPr>
              <w:t>2</w:t>
            </w:r>
          </w:p>
        </w:tc>
        <w:tc>
          <w:tcPr>
            <w:tcW w:w="283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1D127730">
            <w:pPr>
              <w:spacing w:after="0"/>
              <w:jc w:val="right"/>
              <w:rPr>
                <w:color w:val="auto"/>
              </w:rPr>
            </w:pPr>
            <w:r>
              <w:rPr>
                <w:color w:val="auto"/>
              </w:rPr>
              <w:t>18</w:t>
            </w:r>
          </w:p>
        </w:tc>
        <w:tc>
          <w:tcPr>
            <w:tcW w:w="367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4A1A3059">
            <w:pPr>
              <w:spacing w:after="0"/>
              <w:jc w:val="right"/>
              <w:rPr>
                <w:color w:val="auto"/>
              </w:rPr>
            </w:pPr>
            <w:r>
              <w:rPr>
                <w:color w:val="auto"/>
              </w:rPr>
              <w:t>-14</w:t>
            </w:r>
          </w:p>
        </w:tc>
      </w:tr>
      <w:tr w14:paraId="452A5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40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57BC37C9">
            <w:pPr>
              <w:spacing w:after="0"/>
              <w:jc w:val="right"/>
              <w:rPr>
                <w:color w:val="auto"/>
              </w:rPr>
            </w:pPr>
            <w:r>
              <w:rPr>
                <w:color w:val="auto"/>
              </w:rPr>
              <w:t>3</w:t>
            </w:r>
          </w:p>
        </w:tc>
        <w:tc>
          <w:tcPr>
            <w:tcW w:w="283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0467379E">
            <w:pPr>
              <w:spacing w:after="0"/>
              <w:jc w:val="right"/>
              <w:rPr>
                <w:color w:val="auto"/>
              </w:rPr>
            </w:pPr>
            <w:r>
              <w:rPr>
                <w:color w:val="auto"/>
              </w:rPr>
              <w:t>18</w:t>
            </w:r>
          </w:p>
        </w:tc>
        <w:tc>
          <w:tcPr>
            <w:tcW w:w="367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68B28AED">
            <w:pPr>
              <w:spacing w:after="0"/>
              <w:jc w:val="right"/>
              <w:rPr>
                <w:color w:val="auto"/>
              </w:rPr>
            </w:pPr>
            <w:r>
              <w:rPr>
                <w:color w:val="auto"/>
              </w:rPr>
              <w:t>4</w:t>
            </w:r>
          </w:p>
        </w:tc>
      </w:tr>
      <w:tr w14:paraId="33F1A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40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3981932A">
            <w:pPr>
              <w:spacing w:after="0"/>
              <w:jc w:val="right"/>
              <w:rPr>
                <w:color w:val="auto"/>
              </w:rPr>
            </w:pPr>
            <w:r>
              <w:rPr>
                <w:color w:val="auto"/>
              </w:rPr>
              <w:t>4</w:t>
            </w:r>
          </w:p>
        </w:tc>
        <w:tc>
          <w:tcPr>
            <w:tcW w:w="283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3316B448">
            <w:pPr>
              <w:spacing w:after="0"/>
              <w:jc w:val="right"/>
              <w:rPr>
                <w:color w:val="auto"/>
              </w:rPr>
            </w:pPr>
            <w:r>
              <w:rPr>
                <w:color w:val="auto"/>
              </w:rPr>
              <w:t>18</w:t>
            </w:r>
          </w:p>
        </w:tc>
        <w:tc>
          <w:tcPr>
            <w:tcW w:w="367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7513ABC8">
            <w:pPr>
              <w:spacing w:after="0"/>
              <w:jc w:val="right"/>
              <w:rPr>
                <w:color w:val="auto"/>
              </w:rPr>
            </w:pPr>
            <w:r>
              <w:rPr>
                <w:color w:val="auto"/>
              </w:rPr>
              <w:t>36</w:t>
            </w:r>
          </w:p>
        </w:tc>
      </w:tr>
      <w:tr w14:paraId="5C854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400"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1F2FA341">
            <w:pPr>
              <w:spacing w:after="0"/>
              <w:jc w:val="right"/>
              <w:rPr>
                <w:color w:val="auto"/>
              </w:rPr>
            </w:pPr>
            <w:r>
              <w:rPr>
                <w:color w:val="auto"/>
              </w:rPr>
              <w:t>5</w:t>
            </w:r>
          </w:p>
        </w:tc>
        <w:tc>
          <w:tcPr>
            <w:tcW w:w="283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10EE4C54">
            <w:pPr>
              <w:spacing w:after="0"/>
              <w:jc w:val="right"/>
              <w:rPr>
                <w:color w:val="auto"/>
              </w:rPr>
            </w:pPr>
            <w:r>
              <w:rPr>
                <w:color w:val="auto"/>
              </w:rPr>
              <w:t>18</w:t>
            </w:r>
          </w:p>
        </w:tc>
        <w:tc>
          <w:tcPr>
            <w:tcW w:w="367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06A1EF86">
            <w:pPr>
              <w:spacing w:after="0"/>
              <w:jc w:val="right"/>
              <w:rPr>
                <w:color w:val="auto"/>
              </w:rPr>
            </w:pPr>
            <w:r>
              <w:rPr>
                <w:color w:val="auto"/>
              </w:rPr>
              <w:t>36</w:t>
            </w:r>
          </w:p>
        </w:tc>
      </w:tr>
    </w:tbl>
    <w:p w14:paraId="05D268E0">
      <w:pPr>
        <w:spacing w:after="0"/>
        <w:jc w:val="center"/>
        <w:rPr>
          <w:b/>
          <w:bCs/>
          <w:color w:val="auto"/>
        </w:rPr>
      </w:pPr>
      <w:r>
        <w:rPr>
          <w:b/>
          <w:bCs/>
          <w:color w:val="auto"/>
        </w:rPr>
        <w:t xml:space="preserve">Table 6: Payback period calculation in details </w:t>
      </w:r>
    </w:p>
    <w:p w14:paraId="4D152D1F">
      <w:pPr>
        <w:spacing w:after="0"/>
        <w:jc w:val="center"/>
        <w:rPr>
          <w:b/>
          <w:bCs/>
          <w:color w:val="auto"/>
        </w:rPr>
      </w:pPr>
      <w:r>
        <w:rPr>
          <w:color w:val="auto"/>
        </w:rPr>
        <w:t>(Source: Self-developed)</w:t>
      </w:r>
    </w:p>
    <w:p w14:paraId="41F3F55F">
      <w:pPr>
        <w:spacing w:after="0"/>
        <w:rPr>
          <w:b/>
          <w:bCs/>
          <w:color w:val="auto"/>
        </w:rPr>
      </w:pPr>
      <w:r>
        <w:rPr>
          <w:b/>
          <w:bCs/>
          <w:color w:val="auto"/>
        </w:rPr>
        <w:t xml:space="preserve">Worst Case </w:t>
      </w:r>
    </w:p>
    <w:p w14:paraId="0DC74020">
      <w:pPr>
        <w:spacing w:after="0"/>
        <w:rPr>
          <w:color w:val="auto"/>
        </w:rPr>
      </w:pPr>
      <w:r>
        <w:rPr>
          <w:color w:val="auto"/>
        </w:rPr>
        <w:t xml:space="preserve">The worst case scenario assumes an increment in nominal discount and inflation rates at 12% and 5% respectively followed by decrease in cash inflows at £15 million per year. </w:t>
      </w:r>
    </w:p>
    <w:tbl>
      <w:tblPr>
        <w:tblStyle w:val="43"/>
        <w:tblW w:w="8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5445"/>
        <w:gridCol w:w="3255"/>
      </w:tblGrid>
      <w:tr w14:paraId="31452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445"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bottom"/>
          </w:tcPr>
          <w:p w14:paraId="79FF2B32">
            <w:pPr>
              <w:spacing w:after="0"/>
              <w:rPr>
                <w:b/>
                <w:bCs/>
                <w:color w:val="auto"/>
              </w:rPr>
            </w:pPr>
            <w:r>
              <w:rPr>
                <w:b/>
                <w:bCs/>
                <w:color w:val="auto"/>
              </w:rPr>
              <w:t>Nominal discount rate</w:t>
            </w:r>
          </w:p>
        </w:tc>
        <w:tc>
          <w:tcPr>
            <w:tcW w:w="3255"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4AB0EDA9">
            <w:pPr>
              <w:spacing w:after="0"/>
              <w:rPr>
                <w:color w:val="auto"/>
              </w:rPr>
            </w:pPr>
            <w:r>
              <w:rPr>
                <w:color w:val="auto"/>
              </w:rPr>
              <w:t>12%</w:t>
            </w:r>
          </w:p>
        </w:tc>
      </w:tr>
      <w:tr w14:paraId="43DD6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445"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349D6EF8">
            <w:pPr>
              <w:spacing w:after="0"/>
              <w:rPr>
                <w:b/>
                <w:bCs/>
                <w:color w:val="auto"/>
              </w:rPr>
            </w:pPr>
            <w:r>
              <w:rPr>
                <w:b/>
                <w:bCs/>
                <w:color w:val="auto"/>
              </w:rPr>
              <w:t>Inflation rate</w:t>
            </w:r>
          </w:p>
        </w:tc>
        <w:tc>
          <w:tcPr>
            <w:tcW w:w="325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6A7B8818">
            <w:pPr>
              <w:spacing w:after="0"/>
              <w:rPr>
                <w:color w:val="auto"/>
              </w:rPr>
            </w:pPr>
            <w:r>
              <w:rPr>
                <w:color w:val="auto"/>
              </w:rPr>
              <w:t>5%</w:t>
            </w:r>
          </w:p>
        </w:tc>
      </w:tr>
      <w:tr w14:paraId="1351F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445"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5F557611">
            <w:pPr>
              <w:spacing w:after="0"/>
              <w:rPr>
                <w:b/>
                <w:bCs/>
                <w:color w:val="auto"/>
              </w:rPr>
            </w:pPr>
            <w:r>
              <w:rPr>
                <w:b/>
                <w:bCs/>
                <w:color w:val="auto"/>
              </w:rPr>
              <w:t>Real discount rate</w:t>
            </w:r>
          </w:p>
        </w:tc>
        <w:tc>
          <w:tcPr>
            <w:tcW w:w="3255"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07DF97C6">
            <w:pPr>
              <w:spacing w:after="0"/>
              <w:rPr>
                <w:color w:val="auto"/>
              </w:rPr>
            </w:pPr>
            <w:r>
              <w:rPr>
                <w:color w:val="auto"/>
              </w:rPr>
              <w:t>6.67%</w:t>
            </w:r>
          </w:p>
        </w:tc>
      </w:tr>
    </w:tbl>
    <w:p w14:paraId="71BCE7DD">
      <w:pPr>
        <w:spacing w:after="0"/>
        <w:jc w:val="center"/>
        <w:rPr>
          <w:b/>
          <w:bCs/>
          <w:color w:val="auto"/>
        </w:rPr>
      </w:pPr>
      <w:r>
        <w:rPr>
          <w:b/>
          <w:bCs/>
          <w:color w:val="auto"/>
        </w:rPr>
        <w:t xml:space="preserve">Table 7: Relevant details for the worst case </w:t>
      </w:r>
    </w:p>
    <w:p w14:paraId="6F13DC63">
      <w:pPr>
        <w:spacing w:after="0"/>
        <w:jc w:val="center"/>
        <w:rPr>
          <w:color w:val="auto"/>
        </w:rPr>
      </w:pPr>
      <w:r>
        <w:rPr>
          <w:color w:val="auto"/>
        </w:rPr>
        <w:t>(Source: Self-developed)</w:t>
      </w:r>
    </w:p>
    <w:p w14:paraId="2B823BF3">
      <w:pPr>
        <w:spacing w:after="0"/>
        <w:jc w:val="center"/>
        <w:rPr>
          <w:color w:val="auto"/>
        </w:rPr>
      </w:pPr>
      <w:r>
        <w:rPr>
          <w:color w:val="auto"/>
        </w:rPr>
        <w:drawing>
          <wp:inline distT="0" distB="0" distL="0" distR="0">
            <wp:extent cx="5730875" cy="774700"/>
            <wp:effectExtent l="25400" t="25400" r="25400" b="25400"/>
            <wp:docPr id="1031" name="image3.png"/>
            <wp:cNvGraphicFramePr/>
            <a:graphic xmlns:a="http://schemas.openxmlformats.org/drawingml/2006/main">
              <a:graphicData uri="http://schemas.openxmlformats.org/drawingml/2006/picture">
                <pic:pic xmlns:pic="http://schemas.openxmlformats.org/drawingml/2006/picture">
                  <pic:nvPicPr>
                    <pic:cNvPr id="1031" name="image3.png"/>
                    <pic:cNvPicPr/>
                  </pic:nvPicPr>
                  <pic:blipFill>
                    <a:blip r:embed="rId12" cstate="print"/>
                    <a:srcRect/>
                    <a:stretch>
                      <a:fillRect/>
                    </a:stretch>
                  </pic:blipFill>
                  <pic:spPr>
                    <a:xfrm>
                      <a:off x="0" y="0"/>
                      <a:ext cx="5731200" cy="774700"/>
                    </a:xfrm>
                    <a:prstGeom prst="rect">
                      <a:avLst/>
                    </a:prstGeom>
                    <a:ln w="25400" cap="flat" cmpd="sng">
                      <a:solidFill>
                        <a:srgbClr val="000000"/>
                      </a:solidFill>
                      <a:prstDash val="solid"/>
                      <a:round/>
                      <a:headEnd type="none" w="med" len="med"/>
                      <a:tailEnd type="none" w="med" len="med"/>
                    </a:ln>
                  </pic:spPr>
                </pic:pic>
              </a:graphicData>
            </a:graphic>
          </wp:inline>
        </w:drawing>
      </w:r>
    </w:p>
    <w:p w14:paraId="52A6345B">
      <w:pPr>
        <w:spacing w:after="0"/>
        <w:jc w:val="center"/>
        <w:rPr>
          <w:b/>
          <w:bCs/>
          <w:color w:val="auto"/>
        </w:rPr>
      </w:pPr>
      <w:r>
        <w:rPr>
          <w:b/>
          <w:bCs/>
          <w:color w:val="auto"/>
        </w:rPr>
        <w:t>Figure 5: Discounted cash inflows</w:t>
      </w:r>
    </w:p>
    <w:p w14:paraId="4B9FBF44">
      <w:pPr>
        <w:spacing w:after="0"/>
        <w:jc w:val="center"/>
        <w:rPr>
          <w:color w:val="auto"/>
        </w:rPr>
      </w:pPr>
      <w:r>
        <w:rPr>
          <w:color w:val="auto"/>
        </w:rPr>
        <w:t>(Source: Self-developed)</w:t>
      </w:r>
    </w:p>
    <w:p w14:paraId="1ABCA248">
      <w:pPr>
        <w:spacing w:after="0"/>
        <w:jc w:val="center"/>
        <w:rPr>
          <w:color w:val="auto"/>
        </w:rPr>
      </w:pPr>
      <w:r>
        <w:rPr>
          <w:color w:val="auto"/>
        </w:rPr>
        <w:drawing>
          <wp:inline distT="0" distB="0" distL="0" distR="0">
            <wp:extent cx="5410200" cy="1057275"/>
            <wp:effectExtent l="25400" t="25400" r="25400" b="25400"/>
            <wp:docPr id="1032" name="image5.png"/>
            <wp:cNvGraphicFramePr/>
            <a:graphic xmlns:a="http://schemas.openxmlformats.org/drawingml/2006/main">
              <a:graphicData uri="http://schemas.openxmlformats.org/drawingml/2006/picture">
                <pic:pic xmlns:pic="http://schemas.openxmlformats.org/drawingml/2006/picture">
                  <pic:nvPicPr>
                    <pic:cNvPr id="1032" name="image5.png"/>
                    <pic:cNvPicPr/>
                  </pic:nvPicPr>
                  <pic:blipFill>
                    <a:blip r:embed="rId13" cstate="print"/>
                    <a:srcRect/>
                    <a:stretch>
                      <a:fillRect/>
                    </a:stretch>
                  </pic:blipFill>
                  <pic:spPr>
                    <a:xfrm>
                      <a:off x="0" y="0"/>
                      <a:ext cx="5410200" cy="1057275"/>
                    </a:xfrm>
                    <a:prstGeom prst="rect">
                      <a:avLst/>
                    </a:prstGeom>
                    <a:ln w="25400" cap="flat" cmpd="sng">
                      <a:solidFill>
                        <a:srgbClr val="000000"/>
                      </a:solidFill>
                      <a:prstDash val="solid"/>
                      <a:round/>
                      <a:headEnd type="none" w="med" len="med"/>
                      <a:tailEnd type="none" w="med" len="med"/>
                    </a:ln>
                  </pic:spPr>
                </pic:pic>
              </a:graphicData>
            </a:graphic>
          </wp:inline>
        </w:drawing>
      </w:r>
    </w:p>
    <w:p w14:paraId="442423CB">
      <w:pPr>
        <w:spacing w:after="0"/>
        <w:jc w:val="center"/>
        <w:rPr>
          <w:b/>
          <w:bCs/>
          <w:color w:val="auto"/>
        </w:rPr>
      </w:pPr>
      <w:r>
        <w:rPr>
          <w:b/>
          <w:bCs/>
          <w:color w:val="auto"/>
        </w:rPr>
        <w:t>Figure 6: Capital budgeting indicators</w:t>
      </w:r>
    </w:p>
    <w:p w14:paraId="40C19F5C">
      <w:pPr>
        <w:spacing w:after="0"/>
        <w:jc w:val="center"/>
        <w:rPr>
          <w:color w:val="auto"/>
        </w:rPr>
      </w:pPr>
      <w:r>
        <w:rPr>
          <w:color w:val="auto"/>
        </w:rPr>
        <w:t>(Source: Self-developed)</w:t>
      </w:r>
    </w:p>
    <w:tbl>
      <w:tblPr>
        <w:tblStyle w:val="44"/>
        <w:tblW w:w="90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838"/>
        <w:gridCol w:w="3119"/>
        <w:gridCol w:w="4068"/>
      </w:tblGrid>
      <w:tr w14:paraId="401F1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838"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bottom"/>
          </w:tcPr>
          <w:p w14:paraId="0AAF909E">
            <w:pPr>
              <w:spacing w:after="0"/>
              <w:jc w:val="center"/>
              <w:rPr>
                <w:b/>
                <w:bCs/>
                <w:color w:val="auto"/>
              </w:rPr>
            </w:pPr>
            <w:r>
              <w:rPr>
                <w:b/>
                <w:bCs/>
                <w:color w:val="auto"/>
              </w:rPr>
              <w:t>Years</w:t>
            </w:r>
          </w:p>
        </w:tc>
        <w:tc>
          <w:tcPr>
            <w:tcW w:w="3119"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3D9FDA29">
            <w:pPr>
              <w:spacing w:after="0"/>
              <w:jc w:val="center"/>
              <w:rPr>
                <w:b/>
                <w:bCs/>
                <w:color w:val="auto"/>
              </w:rPr>
            </w:pPr>
            <w:r>
              <w:rPr>
                <w:b/>
                <w:bCs/>
                <w:color w:val="auto"/>
              </w:rPr>
              <w:t>Cash flow  (Million £)</w:t>
            </w:r>
          </w:p>
        </w:tc>
        <w:tc>
          <w:tcPr>
            <w:tcW w:w="4068" w:type="dxa"/>
            <w:tcBorders>
              <w:top w:val="single" w:color="000000" w:sz="4" w:space="0"/>
              <w:left w:val="nil"/>
              <w:bottom w:val="single" w:color="000000" w:sz="4" w:space="0"/>
              <w:right w:val="single" w:color="000000" w:sz="4" w:space="0"/>
            </w:tcBorders>
            <w:tcMar>
              <w:top w:w="0" w:type="dxa"/>
              <w:left w:w="100" w:type="dxa"/>
              <w:bottom w:w="0" w:type="dxa"/>
              <w:right w:w="100" w:type="dxa"/>
            </w:tcMar>
            <w:vAlign w:val="bottom"/>
          </w:tcPr>
          <w:p w14:paraId="782D41EC">
            <w:pPr>
              <w:spacing w:after="0"/>
              <w:jc w:val="center"/>
              <w:rPr>
                <w:b/>
                <w:bCs/>
                <w:color w:val="auto"/>
              </w:rPr>
            </w:pPr>
            <w:r>
              <w:rPr>
                <w:b/>
                <w:bCs/>
                <w:color w:val="auto"/>
              </w:rPr>
              <w:t>Cumulative cash flow  (Million £)</w:t>
            </w:r>
          </w:p>
        </w:tc>
      </w:tr>
      <w:tr w14:paraId="091D3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838"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34631BAB">
            <w:pPr>
              <w:spacing w:after="0"/>
              <w:rPr>
                <w:color w:val="auto"/>
              </w:rPr>
            </w:pPr>
            <w:r>
              <w:rPr>
                <w:color w:val="auto"/>
              </w:rPr>
              <w:t>0</w:t>
            </w:r>
          </w:p>
        </w:tc>
        <w:tc>
          <w:tcPr>
            <w:tcW w:w="3119"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7A3B1C45">
            <w:pPr>
              <w:spacing w:after="0"/>
              <w:rPr>
                <w:color w:val="auto"/>
              </w:rPr>
            </w:pPr>
            <w:r>
              <w:rPr>
                <w:color w:val="auto"/>
              </w:rPr>
              <w:t>-50</w:t>
            </w:r>
          </w:p>
        </w:tc>
        <w:tc>
          <w:tcPr>
            <w:tcW w:w="4068"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243DBB51">
            <w:pPr>
              <w:spacing w:after="0"/>
              <w:rPr>
                <w:color w:val="auto"/>
              </w:rPr>
            </w:pPr>
            <w:r>
              <w:rPr>
                <w:color w:val="auto"/>
              </w:rPr>
              <w:t>0</w:t>
            </w:r>
          </w:p>
        </w:tc>
      </w:tr>
      <w:tr w14:paraId="3E4AC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838"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6ABC931A">
            <w:pPr>
              <w:spacing w:after="0"/>
              <w:rPr>
                <w:color w:val="auto"/>
              </w:rPr>
            </w:pPr>
            <w:r>
              <w:rPr>
                <w:color w:val="auto"/>
              </w:rPr>
              <w:t>1</w:t>
            </w:r>
          </w:p>
        </w:tc>
        <w:tc>
          <w:tcPr>
            <w:tcW w:w="3119"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2BC1B060">
            <w:pPr>
              <w:spacing w:after="0"/>
              <w:rPr>
                <w:color w:val="auto"/>
              </w:rPr>
            </w:pPr>
            <w:r>
              <w:rPr>
                <w:color w:val="auto"/>
              </w:rPr>
              <w:t>15</w:t>
            </w:r>
          </w:p>
        </w:tc>
        <w:tc>
          <w:tcPr>
            <w:tcW w:w="4068"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277AAF1D">
            <w:pPr>
              <w:spacing w:after="0"/>
              <w:rPr>
                <w:color w:val="auto"/>
              </w:rPr>
            </w:pPr>
            <w:r>
              <w:rPr>
                <w:color w:val="auto"/>
              </w:rPr>
              <w:t>-35</w:t>
            </w:r>
          </w:p>
        </w:tc>
      </w:tr>
      <w:tr w14:paraId="2245C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838"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6C98536A">
            <w:pPr>
              <w:spacing w:after="0"/>
              <w:rPr>
                <w:color w:val="auto"/>
              </w:rPr>
            </w:pPr>
            <w:r>
              <w:rPr>
                <w:color w:val="auto"/>
              </w:rPr>
              <w:t>2</w:t>
            </w:r>
          </w:p>
        </w:tc>
        <w:tc>
          <w:tcPr>
            <w:tcW w:w="3119"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2C1173C5">
            <w:pPr>
              <w:spacing w:after="0"/>
              <w:rPr>
                <w:color w:val="auto"/>
              </w:rPr>
            </w:pPr>
            <w:r>
              <w:rPr>
                <w:color w:val="auto"/>
              </w:rPr>
              <w:t>15</w:t>
            </w:r>
          </w:p>
        </w:tc>
        <w:tc>
          <w:tcPr>
            <w:tcW w:w="4068"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1DF54F87">
            <w:pPr>
              <w:spacing w:after="0"/>
              <w:rPr>
                <w:color w:val="auto"/>
              </w:rPr>
            </w:pPr>
            <w:r>
              <w:rPr>
                <w:color w:val="auto"/>
              </w:rPr>
              <w:t>-20</w:t>
            </w:r>
          </w:p>
        </w:tc>
      </w:tr>
      <w:tr w14:paraId="65007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838"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7F87FE85">
            <w:pPr>
              <w:spacing w:after="0"/>
              <w:rPr>
                <w:color w:val="auto"/>
              </w:rPr>
            </w:pPr>
            <w:r>
              <w:rPr>
                <w:color w:val="auto"/>
              </w:rPr>
              <w:t>3</w:t>
            </w:r>
          </w:p>
        </w:tc>
        <w:tc>
          <w:tcPr>
            <w:tcW w:w="3119"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7253001B">
            <w:pPr>
              <w:spacing w:after="0"/>
              <w:rPr>
                <w:color w:val="auto"/>
              </w:rPr>
            </w:pPr>
            <w:r>
              <w:rPr>
                <w:color w:val="auto"/>
              </w:rPr>
              <w:t>15</w:t>
            </w:r>
          </w:p>
        </w:tc>
        <w:tc>
          <w:tcPr>
            <w:tcW w:w="4068"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0E3474F2">
            <w:pPr>
              <w:spacing w:after="0"/>
              <w:rPr>
                <w:color w:val="auto"/>
              </w:rPr>
            </w:pPr>
            <w:r>
              <w:rPr>
                <w:color w:val="auto"/>
              </w:rPr>
              <w:t>-5</w:t>
            </w:r>
          </w:p>
        </w:tc>
      </w:tr>
      <w:tr w14:paraId="6851E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838"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44BDF1C2">
            <w:pPr>
              <w:spacing w:after="0"/>
              <w:rPr>
                <w:color w:val="auto"/>
              </w:rPr>
            </w:pPr>
            <w:r>
              <w:rPr>
                <w:color w:val="auto"/>
              </w:rPr>
              <w:t>4</w:t>
            </w:r>
          </w:p>
        </w:tc>
        <w:tc>
          <w:tcPr>
            <w:tcW w:w="3119"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18977A0E">
            <w:pPr>
              <w:spacing w:after="0"/>
              <w:rPr>
                <w:color w:val="auto"/>
              </w:rPr>
            </w:pPr>
            <w:r>
              <w:rPr>
                <w:color w:val="auto"/>
              </w:rPr>
              <w:t>15</w:t>
            </w:r>
          </w:p>
        </w:tc>
        <w:tc>
          <w:tcPr>
            <w:tcW w:w="4068"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7C0E35ED">
            <w:pPr>
              <w:spacing w:after="0"/>
              <w:rPr>
                <w:color w:val="auto"/>
              </w:rPr>
            </w:pPr>
            <w:r>
              <w:rPr>
                <w:color w:val="auto"/>
              </w:rPr>
              <w:t>30</w:t>
            </w:r>
          </w:p>
        </w:tc>
      </w:tr>
      <w:tr w14:paraId="17C3E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838" w:type="dxa"/>
            <w:tcBorders>
              <w:top w:val="nil"/>
              <w:left w:val="single" w:color="000000" w:sz="4" w:space="0"/>
              <w:bottom w:val="single" w:color="000000" w:sz="4" w:space="0"/>
              <w:right w:val="single" w:color="000000" w:sz="4" w:space="0"/>
            </w:tcBorders>
            <w:tcMar>
              <w:top w:w="0" w:type="dxa"/>
              <w:left w:w="100" w:type="dxa"/>
              <w:bottom w:w="0" w:type="dxa"/>
              <w:right w:w="100" w:type="dxa"/>
            </w:tcMar>
            <w:vAlign w:val="bottom"/>
          </w:tcPr>
          <w:p w14:paraId="2FDD16BC">
            <w:pPr>
              <w:spacing w:after="0"/>
              <w:rPr>
                <w:color w:val="auto"/>
              </w:rPr>
            </w:pPr>
            <w:r>
              <w:rPr>
                <w:color w:val="auto"/>
              </w:rPr>
              <w:t>5</w:t>
            </w:r>
          </w:p>
        </w:tc>
        <w:tc>
          <w:tcPr>
            <w:tcW w:w="3119"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709620D2">
            <w:pPr>
              <w:spacing w:after="0"/>
              <w:rPr>
                <w:color w:val="auto"/>
              </w:rPr>
            </w:pPr>
            <w:r>
              <w:rPr>
                <w:color w:val="auto"/>
              </w:rPr>
              <w:t>15</w:t>
            </w:r>
          </w:p>
        </w:tc>
        <w:tc>
          <w:tcPr>
            <w:tcW w:w="4068" w:type="dxa"/>
            <w:tcBorders>
              <w:top w:val="nil"/>
              <w:left w:val="nil"/>
              <w:bottom w:val="single" w:color="000000" w:sz="4" w:space="0"/>
              <w:right w:val="single" w:color="000000" w:sz="4" w:space="0"/>
            </w:tcBorders>
            <w:tcMar>
              <w:top w:w="0" w:type="dxa"/>
              <w:left w:w="100" w:type="dxa"/>
              <w:bottom w:w="0" w:type="dxa"/>
              <w:right w:w="100" w:type="dxa"/>
            </w:tcMar>
            <w:vAlign w:val="bottom"/>
          </w:tcPr>
          <w:p w14:paraId="26BA3173">
            <w:pPr>
              <w:spacing w:after="0"/>
              <w:rPr>
                <w:color w:val="auto"/>
              </w:rPr>
            </w:pPr>
            <w:r>
              <w:rPr>
                <w:color w:val="auto"/>
              </w:rPr>
              <w:t>30</w:t>
            </w:r>
          </w:p>
        </w:tc>
      </w:tr>
    </w:tbl>
    <w:p w14:paraId="22746FEC">
      <w:pPr>
        <w:spacing w:after="0"/>
        <w:jc w:val="center"/>
        <w:rPr>
          <w:b/>
          <w:bCs/>
          <w:color w:val="auto"/>
        </w:rPr>
      </w:pPr>
      <w:r>
        <w:rPr>
          <w:b/>
          <w:bCs/>
          <w:color w:val="auto"/>
        </w:rPr>
        <w:t>Table 8: Payback period detailed calculations</w:t>
      </w:r>
    </w:p>
    <w:p w14:paraId="264AC4B2">
      <w:pPr>
        <w:spacing w:after="0"/>
        <w:jc w:val="center"/>
        <w:rPr>
          <w:color w:val="auto"/>
        </w:rPr>
      </w:pPr>
      <w:r>
        <w:rPr>
          <w:color w:val="auto"/>
        </w:rPr>
        <w:t>(Source: Self-developed)</w:t>
      </w:r>
    </w:p>
    <w:p w14:paraId="0165F21C">
      <w:pPr>
        <w:pStyle w:val="3"/>
        <w:spacing w:after="0"/>
        <w:rPr>
          <w:color w:val="auto"/>
        </w:rPr>
      </w:pPr>
      <w:bookmarkStart w:id="12" w:name="_Toc11415"/>
      <w:r>
        <w:rPr>
          <w:color w:val="auto"/>
        </w:rPr>
        <w:t>3.3 Analysis of calculations</w:t>
      </w:r>
      <w:bookmarkEnd w:id="12"/>
      <w:r>
        <w:rPr>
          <w:color w:val="auto"/>
        </w:rPr>
        <w:t xml:space="preserve"> </w:t>
      </w:r>
    </w:p>
    <w:p w14:paraId="7B00E82F">
      <w:pPr>
        <w:spacing w:after="0"/>
        <w:rPr>
          <w:color w:val="auto"/>
        </w:rPr>
      </w:pPr>
      <w:r>
        <w:rPr>
          <w:color w:val="auto"/>
        </w:rPr>
        <w:t xml:space="preserve">NPV, IRR, profitability index and payback period are the highest in the </w:t>
      </w:r>
      <w:r>
        <w:rPr>
          <w:b/>
          <w:bCs/>
          <w:i/>
          <w:iCs/>
          <w:color w:val="auto"/>
        </w:rPr>
        <w:t>best case scenario</w:t>
      </w:r>
      <w:r>
        <w:rPr>
          <w:color w:val="auto"/>
        </w:rPr>
        <w:t xml:space="preserve">. The figures were observed at £25.83 million, 23.44%, 1.52 and 2.78 years respectively. It justifies that the project is feasible and can yield profits for the organisation since higher NPV signifies a greater creation of wealth and an effective return on investment. NPV allows a comparison to be made for the money that needs to be paid in order to recover a specific investment amount in future (Dobrowolski and Drozdowski, 2022). At the base case scenario, the project is acceptable due to an NPV of £17.88 million and IRR of 20.76% making it an attractive investment option. It indicates that the base case can also be considered for the process of decision-making since the project is feasible. However, the worst case scenarios yield lower NPV values (8.17 million), lowered IRR rate (15.24%) and lowest profitability index (1.16). It can hinder the process of decision-making (worst-case scenario) since current market conditions are unfavourable towards inflation and tax rates thus making the project unattractive. </w:t>
      </w:r>
    </w:p>
    <w:p w14:paraId="58656C7F">
      <w:pPr>
        <w:pStyle w:val="3"/>
        <w:spacing w:after="0"/>
        <w:rPr>
          <w:color w:val="auto"/>
        </w:rPr>
      </w:pPr>
      <w:bookmarkStart w:id="13" w:name="_Toc24430"/>
      <w:r>
        <w:rPr>
          <w:color w:val="auto"/>
        </w:rPr>
        <w:t>3.4 Discussion on uncertainty affecting decision-making</w:t>
      </w:r>
      <w:bookmarkEnd w:id="13"/>
    </w:p>
    <w:p w14:paraId="1EA71DE4">
      <w:pPr>
        <w:spacing w:after="0"/>
        <w:rPr>
          <w:color w:val="auto"/>
        </w:rPr>
      </w:pPr>
      <w:r>
        <w:rPr>
          <w:color w:val="auto"/>
        </w:rPr>
        <w:t xml:space="preserve">Uncertainty affects decision-making in financing construction projects which relates technical risks and risks related to higher inflation rates that drives up material prices. As per the statement of Girdzijauskas </w:t>
      </w:r>
      <w:r>
        <w:rPr>
          <w:i/>
          <w:iCs/>
          <w:color w:val="auto"/>
        </w:rPr>
        <w:t>et al.</w:t>
      </w:r>
      <w:r>
        <w:rPr>
          <w:color w:val="auto"/>
        </w:rPr>
        <w:t xml:space="preserve"> (2022), inflation is percentage change on a yearly basis in the general price index, which is also known as the consumer price index (CPI). Higher inflation impacts decision-making by distorting projections for the community health clinic’s cash flows can also result in conservative and short-term decision-making. Technical risks also create uncertainty in the process of decision-making for investments due to lack of data, unpredictable future consequences and unknown probabilities. For the community health clinic project, chances of potential system failures, which can restrict the organisation for the community health clinic to make accurate forecasts. </w:t>
      </w:r>
    </w:p>
    <w:p w14:paraId="62DE7622">
      <w:pPr>
        <w:pStyle w:val="2"/>
        <w:spacing w:after="0"/>
        <w:rPr>
          <w:color w:val="auto"/>
        </w:rPr>
      </w:pPr>
      <w:bookmarkStart w:id="14" w:name="_Toc5029"/>
      <w:r>
        <w:rPr>
          <w:color w:val="auto"/>
        </w:rPr>
        <w:t>4. Section C: Cost Control Plan</w:t>
      </w:r>
      <w:bookmarkEnd w:id="14"/>
      <w:r>
        <w:rPr>
          <w:color w:val="auto"/>
        </w:rPr>
        <w:t xml:space="preserve"> </w:t>
      </w:r>
    </w:p>
    <w:p w14:paraId="4F476BC2">
      <w:pPr>
        <w:pStyle w:val="3"/>
        <w:spacing w:after="0"/>
        <w:rPr>
          <w:color w:val="auto"/>
        </w:rPr>
      </w:pPr>
      <w:bookmarkStart w:id="15" w:name="_Toc28929"/>
      <w:r>
        <w:rPr>
          <w:color w:val="auto"/>
        </w:rPr>
        <w:t>4.1 Contingency budgeting</w:t>
      </w:r>
      <w:bookmarkEnd w:id="15"/>
    </w:p>
    <w:p w14:paraId="20911DB3">
      <w:pPr>
        <w:spacing w:after="0"/>
        <w:rPr>
          <w:color w:val="auto"/>
        </w:rPr>
      </w:pPr>
      <w:r>
        <w:rPr>
          <w:color w:val="auto"/>
        </w:rPr>
        <w:t xml:space="preserve">Contingency budgeting can be useful for mitigating financial risks by setting aside dedicated funds to create a safety cushion. It is a reserve, which is set aside in a project’s budget for providing any risk-response actions in scenarios of cost overruns (Capone and Narbaev, 2024). It helps the organisation to cover unforeseen expenses, delays in the community health clinic and emergency fund requirements. For the project which is worth £50 million, an overall contingency of £5 to £7.5 million is appropriate which can have higher percentages. There can be several risks within the project such as complex infrastructure, specialist equipment followed by regulatory changes. </w:t>
      </w:r>
    </w:p>
    <w:p w14:paraId="6C707464">
      <w:pPr>
        <w:pStyle w:val="3"/>
        <w:spacing w:after="0"/>
      </w:pPr>
      <w:bookmarkStart w:id="16" w:name="_Toc2649"/>
      <w:r>
        <w:t>4.2 Earned Value Management (EVM) indicators</w:t>
      </w:r>
      <w:bookmarkEnd w:id="16"/>
    </w:p>
    <w:p w14:paraId="4B494CED">
      <w:pPr>
        <w:spacing w:after="0"/>
        <w:jc w:val="center"/>
      </w:pPr>
      <w:r>
        <w:drawing>
          <wp:inline distT="0" distB="0" distL="0" distR="0">
            <wp:extent cx="5730875" cy="3632200"/>
            <wp:effectExtent l="25400" t="25400" r="25400" b="25400"/>
            <wp:docPr id="1033" name="image8.png"/>
            <wp:cNvGraphicFramePr/>
            <a:graphic xmlns:a="http://schemas.openxmlformats.org/drawingml/2006/main">
              <a:graphicData uri="http://schemas.openxmlformats.org/drawingml/2006/picture">
                <pic:pic xmlns:pic="http://schemas.openxmlformats.org/drawingml/2006/picture">
                  <pic:nvPicPr>
                    <pic:cNvPr id="1033" name="image8.png"/>
                    <pic:cNvPicPr/>
                  </pic:nvPicPr>
                  <pic:blipFill>
                    <a:blip r:embed="rId14" cstate="print"/>
                    <a:srcRect/>
                    <a:stretch>
                      <a:fillRect/>
                    </a:stretch>
                  </pic:blipFill>
                  <pic:spPr>
                    <a:xfrm>
                      <a:off x="0" y="0"/>
                      <a:ext cx="5731200" cy="3632200"/>
                    </a:xfrm>
                    <a:prstGeom prst="rect">
                      <a:avLst/>
                    </a:prstGeom>
                    <a:ln w="25400" cap="flat" cmpd="sng">
                      <a:solidFill>
                        <a:srgbClr val="000000"/>
                      </a:solidFill>
                      <a:prstDash val="solid"/>
                      <a:round/>
                      <a:headEnd type="none" w="med" len="med"/>
                      <a:tailEnd type="none" w="med" len="med"/>
                    </a:ln>
                  </pic:spPr>
                </pic:pic>
              </a:graphicData>
            </a:graphic>
          </wp:inline>
        </w:drawing>
      </w:r>
    </w:p>
    <w:p w14:paraId="7C698864">
      <w:pPr>
        <w:spacing w:after="0"/>
        <w:jc w:val="center"/>
        <w:rPr>
          <w:b/>
          <w:bCs/>
          <w:color w:val="auto"/>
        </w:rPr>
      </w:pPr>
      <w:r>
        <w:rPr>
          <w:b/>
          <w:bCs/>
          <w:color w:val="auto"/>
        </w:rPr>
        <w:t xml:space="preserve">Figure 7: Metrics of “Earned Value Management” </w:t>
      </w:r>
    </w:p>
    <w:p w14:paraId="647E53F3">
      <w:pPr>
        <w:spacing w:after="0"/>
        <w:jc w:val="center"/>
        <w:rPr>
          <w:color w:val="auto"/>
        </w:rPr>
      </w:pPr>
      <w:r>
        <w:rPr>
          <w:color w:val="auto"/>
        </w:rPr>
        <w:t xml:space="preserve">(Source: Proaño-Narváez </w:t>
      </w:r>
      <w:r>
        <w:rPr>
          <w:i/>
          <w:iCs/>
          <w:color w:val="auto"/>
        </w:rPr>
        <w:t>et al.</w:t>
      </w:r>
      <w:r>
        <w:rPr>
          <w:color w:val="auto"/>
        </w:rPr>
        <w:t xml:space="preserve">, 2022, p.5) </w:t>
      </w:r>
    </w:p>
    <w:p w14:paraId="78F2656B">
      <w:pPr>
        <w:spacing w:after="0"/>
        <w:rPr>
          <w:color w:val="auto"/>
        </w:rPr>
      </w:pPr>
      <w:r>
        <w:rPr>
          <w:color w:val="auto"/>
        </w:rPr>
        <w:t xml:space="preserve">Earned value management indicators relevant for the community health clinic project are planned value (PV), earned value (EV) and cost performance index (CPI). Cost overruns are detected through CPI where a value of less than 1 implies that for every pound spent on the project, less than one pound of productivity within the project is being accomplished justifying increased expenses. “Planned Value Method” concentrates on cost-based schedule performance by using planned values as a metric (Elsaid </w:t>
      </w:r>
      <w:r>
        <w:rPr>
          <w:i/>
          <w:iCs/>
          <w:color w:val="auto"/>
        </w:rPr>
        <w:t>et al.</w:t>
      </w:r>
      <w:r>
        <w:rPr>
          <w:color w:val="auto"/>
        </w:rPr>
        <w:t xml:space="preserve">, 2025, p.23606). Comparison of EV and PV can help project managers of the community health clinic for determining if delays in project's activities are taking place or not. EVM functionality over the clinic’s construction timeline includes planning and design, monitoring, risk detection and forecasting. </w:t>
      </w:r>
    </w:p>
    <w:p w14:paraId="08400FCE">
      <w:pPr>
        <w:pStyle w:val="3"/>
        <w:spacing w:after="0"/>
        <w:rPr>
          <w:color w:val="auto"/>
        </w:rPr>
      </w:pPr>
      <w:bookmarkStart w:id="17" w:name="_Toc3003"/>
      <w:r>
        <w:rPr>
          <w:color w:val="auto"/>
        </w:rPr>
        <w:t>4.3 Cost-monitoring processes</w:t>
      </w:r>
      <w:bookmarkEnd w:id="17"/>
    </w:p>
    <w:p w14:paraId="4C2798F9">
      <w:pPr>
        <w:spacing w:after="0"/>
        <w:jc w:val="center"/>
        <w:rPr>
          <w:color w:val="auto"/>
        </w:rPr>
      </w:pPr>
      <w:r>
        <w:rPr>
          <w:color w:val="auto"/>
        </w:rPr>
        <mc:AlternateContent>
          <mc:Choice Requires="wpg">
            <w:drawing>
              <wp:inline distT="0" distB="0" distL="0" distR="0">
                <wp:extent cx="5730875" cy="2804160"/>
                <wp:effectExtent l="0" t="0" r="0" b="0"/>
                <wp:docPr id="1034" name="Group 674907728"/>
                <wp:cNvGraphicFramePr/>
                <a:graphic xmlns:a="http://schemas.openxmlformats.org/drawingml/2006/main">
                  <a:graphicData uri="http://schemas.microsoft.com/office/word/2010/wordprocessingGroup">
                    <wpg:wgp>
                      <wpg:cNvGrpSpPr/>
                      <wpg:grpSpPr>
                        <a:xfrm rot="0">
                          <a:off x="0" y="0"/>
                          <a:ext cx="5731200" cy="2804630"/>
                          <a:chOff x="525825" y="161625"/>
                          <a:chExt cx="5814550" cy="2839250"/>
                        </a:xfrm>
                      </wpg:grpSpPr>
                      <wps:wsp>
                        <wps:cNvPr id="1" name="Rectangles 1"/>
                        <wps:cNvSpPr/>
                        <wps:spPr>
                          <a:xfrm>
                            <a:off x="2525550" y="2147400"/>
                            <a:ext cx="1782300" cy="848700"/>
                          </a:xfrm>
                          <a:prstGeom prst="rect">
                            <a:avLst/>
                          </a:prstGeom>
                          <a:solidFill>
                            <a:srgbClr val="F4CCCC"/>
                          </a:solidFill>
                          <a:ln w="9525" cap="flat" cmpd="sng">
                            <a:solidFill>
                              <a:srgbClr val="000000"/>
                            </a:solidFill>
                            <a:prstDash val="solid"/>
                            <a:round/>
                            <a:headEnd type="none" w="sm" len="sm"/>
                            <a:tailEnd type="none" w="sm" len="sm"/>
                          </a:ln>
                        </wps:spPr>
                        <wps:txbx>
                          <w:txbxContent>
                            <w:p w14:paraId="481758FA">
                              <w:pPr>
                                <w:spacing w:before="0" w:after="0" w:line="240" w:lineRule="auto"/>
                                <w:jc w:val="center"/>
                              </w:pPr>
                              <w:r>
                                <w:rPr>
                                  <w:color w:val="000000"/>
                                </w:rPr>
                                <w:t>Cost Budgeting</w:t>
                              </w:r>
                            </w:p>
                          </w:txbxContent>
                        </wps:txbx>
                        <wps:bodyPr wrap="square" lIns="91425" tIns="91425" rIns="91425" bIns="91425" anchor="ctr">
                          <a:noAutofit/>
                        </wps:bodyPr>
                      </wps:wsp>
                      <wps:wsp>
                        <wps:cNvPr id="2" name="Rectangles 2"/>
                        <wps:cNvSpPr/>
                        <wps:spPr>
                          <a:xfrm>
                            <a:off x="530600" y="2147400"/>
                            <a:ext cx="1680900" cy="848700"/>
                          </a:xfrm>
                          <a:prstGeom prst="rect">
                            <a:avLst/>
                          </a:prstGeom>
                          <a:solidFill>
                            <a:srgbClr val="D9EAD3"/>
                          </a:solidFill>
                          <a:ln w="9525" cap="flat" cmpd="sng">
                            <a:solidFill>
                              <a:srgbClr val="000000"/>
                            </a:solidFill>
                            <a:prstDash val="solid"/>
                            <a:round/>
                            <a:headEnd type="none" w="sm" len="sm"/>
                            <a:tailEnd type="none" w="sm" len="sm"/>
                          </a:ln>
                        </wps:spPr>
                        <wps:txbx>
                          <w:txbxContent>
                            <w:p w14:paraId="56CCC26D">
                              <w:pPr>
                                <w:spacing w:before="0" w:after="0" w:line="240" w:lineRule="auto"/>
                                <w:jc w:val="center"/>
                              </w:pPr>
                              <w:r>
                                <w:rPr>
                                  <w:color w:val="000000"/>
                                </w:rPr>
                                <w:t>Cost Estimating</w:t>
                              </w:r>
                            </w:p>
                          </w:txbxContent>
                        </wps:txbx>
                        <wps:bodyPr wrap="square" lIns="91425" tIns="91425" rIns="91425" bIns="91425" anchor="ctr">
                          <a:noAutofit/>
                        </wps:bodyPr>
                      </wps:wsp>
                      <wps:wsp>
                        <wps:cNvPr id="3" name="Rectangles 3"/>
                        <wps:cNvSpPr/>
                        <wps:spPr>
                          <a:xfrm>
                            <a:off x="2211500" y="166400"/>
                            <a:ext cx="2341800" cy="848700"/>
                          </a:xfrm>
                          <a:prstGeom prst="rect">
                            <a:avLst/>
                          </a:prstGeom>
                          <a:solidFill>
                            <a:srgbClr val="FCE5CD"/>
                          </a:solidFill>
                          <a:ln w="9525" cap="flat" cmpd="sng">
                            <a:solidFill>
                              <a:srgbClr val="000000"/>
                            </a:solidFill>
                            <a:prstDash val="solid"/>
                            <a:round/>
                            <a:headEnd type="none" w="sm" len="sm"/>
                            <a:tailEnd type="none" w="sm" len="sm"/>
                          </a:ln>
                        </wps:spPr>
                        <wps:txbx>
                          <w:txbxContent>
                            <w:p w14:paraId="33AF5A1E">
                              <w:pPr>
                                <w:spacing w:before="0" w:after="0" w:line="240" w:lineRule="auto"/>
                                <w:jc w:val="center"/>
                              </w:pPr>
                              <w:r>
                                <w:rPr>
                                  <w:color w:val="000000"/>
                                </w:rPr>
                                <w:t>Cost Monitoring Processes</w:t>
                              </w:r>
                            </w:p>
                          </w:txbxContent>
                        </wps:txbx>
                        <wps:bodyPr wrap="square" lIns="91425" tIns="91425" rIns="91425" bIns="91425" anchor="ctr">
                          <a:noAutofit/>
                        </wps:bodyPr>
                      </wps:wsp>
                      <wps:wsp>
                        <wps:cNvPr id="4" name="Rectangles 4"/>
                        <wps:cNvSpPr/>
                        <wps:spPr>
                          <a:xfrm>
                            <a:off x="4553300" y="2147400"/>
                            <a:ext cx="1782300" cy="848700"/>
                          </a:xfrm>
                          <a:prstGeom prst="rect">
                            <a:avLst/>
                          </a:prstGeom>
                          <a:solidFill>
                            <a:srgbClr val="EAD1DC"/>
                          </a:solidFill>
                          <a:ln w="9525" cap="flat" cmpd="sng">
                            <a:solidFill>
                              <a:srgbClr val="000000"/>
                            </a:solidFill>
                            <a:prstDash val="solid"/>
                            <a:round/>
                            <a:headEnd type="none" w="sm" len="sm"/>
                            <a:tailEnd type="none" w="sm" len="sm"/>
                          </a:ln>
                        </wps:spPr>
                        <wps:txbx>
                          <w:txbxContent>
                            <w:p w14:paraId="03C2091D">
                              <w:pPr>
                                <w:spacing w:before="0" w:after="0" w:line="240" w:lineRule="auto"/>
                                <w:jc w:val="center"/>
                              </w:pPr>
                              <w:r>
                                <w:rPr>
                                  <w:color w:val="000000"/>
                                </w:rPr>
                                <w:t>Cost Control</w:t>
                              </w:r>
                            </w:p>
                          </w:txbxContent>
                        </wps:txbx>
                        <wps:bodyPr wrap="square" lIns="91425" tIns="91425" rIns="91425" bIns="91425" anchor="ctr">
                          <a:noAutofit/>
                        </wps:bodyPr>
                      </wps:wsp>
                      <wps:wsp>
                        <wps:cNvPr id="5" name="Straight Arrow Connector 5"/>
                        <wps:cNvCnPr/>
                        <wps:spPr>
                          <a:xfrm flipH="1">
                            <a:off x="1229775" y="1219650"/>
                            <a:ext cx="1401000" cy="777300"/>
                          </a:xfrm>
                          <a:prstGeom prst="straightConnector1">
                            <a:avLst/>
                          </a:prstGeom>
                          <a:ln w="9525" cap="flat" cmpd="sng">
                            <a:solidFill>
                              <a:srgbClr val="000000"/>
                            </a:solidFill>
                            <a:prstDash val="solid"/>
                            <a:round/>
                            <a:headEnd type="none" w="med" len="med"/>
                            <a:tailEnd type="triangle" w="med" len="med"/>
                          </a:ln>
                        </wps:spPr>
                        <wps:bodyPr/>
                      </wps:wsp>
                      <wps:wsp>
                        <wps:cNvPr id="6" name="Straight Arrow Connector 6"/>
                        <wps:cNvCnPr/>
                        <wps:spPr>
                          <a:xfrm>
                            <a:off x="3285225" y="1260550"/>
                            <a:ext cx="51000" cy="623700"/>
                          </a:xfrm>
                          <a:prstGeom prst="straightConnector1">
                            <a:avLst/>
                          </a:prstGeom>
                          <a:ln w="9525" cap="flat" cmpd="sng">
                            <a:solidFill>
                              <a:srgbClr val="000000"/>
                            </a:solidFill>
                            <a:prstDash val="solid"/>
                            <a:round/>
                            <a:headEnd type="none" w="med" len="med"/>
                            <a:tailEnd type="triangle" w="med" len="med"/>
                          </a:ln>
                        </wps:spPr>
                        <wps:bodyPr/>
                      </wps:wsp>
                      <wps:wsp>
                        <wps:cNvPr id="7" name="Straight Arrow Connector 7"/>
                        <wps:cNvCnPr/>
                        <wps:spPr>
                          <a:xfrm>
                            <a:off x="3919200" y="1291225"/>
                            <a:ext cx="1482600" cy="675000"/>
                          </a:xfrm>
                          <a:prstGeom prst="straightConnector1">
                            <a:avLst/>
                          </a:prstGeom>
                          <a:ln w="9525" cap="flat" cmpd="sng">
                            <a:solidFill>
                              <a:srgbClr val="000000"/>
                            </a:solidFill>
                            <a:prstDash val="solid"/>
                            <a:round/>
                            <a:headEnd type="none" w="med" len="med"/>
                            <a:tailEnd type="triangle" w="med" len="med"/>
                          </a:ln>
                        </wps:spPr>
                        <wps:bodyPr/>
                      </wps:wsp>
                    </wpg:wgp>
                  </a:graphicData>
                </a:graphic>
              </wp:inline>
            </w:drawing>
          </mc:Choice>
          <mc:Fallback>
            <w:pict>
              <v:group id="Group 674907728" o:spid="_x0000_s1026" o:spt="203" style="height:220.8pt;width:451.25pt;" coordorigin="525825,161625" coordsize="5814550,2839250" o:gfxdata="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">
                <o:lock v:ext="edit" aspectratio="f"/>
                <v:rect id="_x0000_s1026" o:spid="_x0000_s1026" o:spt="1" style="position:absolute;left:2525550;top:2147400;height:848700;width:1782300;v-text-anchor:middle;" fillcolor="#F4CCCC" filled="t" stroked="t" coordsize="21600,21600" o:gfxdata="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djTMLgAAADaAAAA&#10;DwAAAAAAAAABACAAAAAiAAAAZHJzL2Rvd25yZXYueG1sUEsBAhQAFAAAAAgAh07iQDMvBZ47AAAA&#10;OQAAABAAAAAAAAAAAQAgAAAABwEAAGRycy9zaGFwZXhtbC54bWxQSwUGAAAAAAYABgBbAQAAsQMA&#10;AAAA&#10;">
                  <v:fill on="t" focussize="0,0"/>
                  <v:stroke color="#000000" joinstyle="round" startarrowwidth="narrow" startarrowlength="short" endarrowwidth="narrow" endarrowlength="short"/>
                  <v:imagedata o:title=""/>
                  <o:lock v:ext="edit" aspectratio="f"/>
                  <v:textbox inset="7.1988188976378pt,7.1988188976378pt,7.1988188976378pt,7.1988188976378pt">
                    <w:txbxContent>
                      <w:p w14:paraId="481758FA">
                        <w:pPr>
                          <w:spacing w:before="0" w:after="0" w:line="240" w:lineRule="auto"/>
                          <w:jc w:val="center"/>
                        </w:pPr>
                        <w:r>
                          <w:rPr>
                            <w:color w:val="000000"/>
                          </w:rPr>
                          <w:t>Cost Budgeting</w:t>
                        </w:r>
                      </w:p>
                    </w:txbxContent>
                  </v:textbox>
                </v:rect>
                <v:rect id="_x0000_s1026" o:spid="_x0000_s1026" o:spt="1" style="position:absolute;left:530600;top:2147400;height:848700;width:1680900;v-text-anchor:middle;" fillcolor="#D9EAD3" filled="t" stroked="t" coordsize="21600,21600" o:gfxdata="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AJTGvQAA&#10;ANoAAAAPAAAAAAAAAAEAIAAAACIAAABkcnMvZG93bnJldi54bWxQSwECFAAUAAAACACHTuJAMy8F&#10;njsAAAA5AAAAEAAAAAAAAAABACAAAAAMAQAAZHJzL3NoYXBleG1sLnhtbFBLBQYAAAAABgAGAFsB&#10;AAC2AwAAAAA=&#10;">
                  <v:fill on="t" focussize="0,0"/>
                  <v:stroke color="#000000" joinstyle="round" startarrowwidth="narrow" startarrowlength="short" endarrowwidth="narrow" endarrowlength="short"/>
                  <v:imagedata o:title=""/>
                  <o:lock v:ext="edit" aspectratio="f"/>
                  <v:textbox inset="7.1988188976378pt,7.1988188976378pt,7.1988188976378pt,7.1988188976378pt">
                    <w:txbxContent>
                      <w:p w14:paraId="56CCC26D">
                        <w:pPr>
                          <w:spacing w:before="0" w:after="0" w:line="240" w:lineRule="auto"/>
                          <w:jc w:val="center"/>
                        </w:pPr>
                        <w:r>
                          <w:rPr>
                            <w:color w:val="000000"/>
                          </w:rPr>
                          <w:t>Cost Estimating</w:t>
                        </w:r>
                      </w:p>
                    </w:txbxContent>
                  </v:textbox>
                </v:rect>
                <v:rect id="_x0000_s1026" o:spid="_x0000_s1026" o:spt="1" style="position:absolute;left:2211500;top:166400;height:848700;width:2341800;v-text-anchor:middle;" fillcolor="#FCE5CD" filled="t" stroked="t" coordsize="21600,21600" o:gfxdata="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GDNvMtwAAANoAAAAP&#10;AAAAAAAAAAEAIAAAACIAAABkcnMvZG93bnJldi54bWxQSwECFAAUAAAACACHTuJAMy8FnjsAAAA5&#10;AAAAEAAAAAAAAAABACAAAAAGAQAAZHJzL3NoYXBleG1sLnhtbFBLBQYAAAAABgAGAFsBAACwAwAA&#10;AAA=&#10;">
                  <v:fill on="t" focussize="0,0"/>
                  <v:stroke color="#000000" joinstyle="round" startarrowwidth="narrow" startarrowlength="short" endarrowwidth="narrow" endarrowlength="short"/>
                  <v:imagedata o:title=""/>
                  <o:lock v:ext="edit" aspectratio="f"/>
                  <v:textbox inset="7.1988188976378pt,7.1988188976378pt,7.1988188976378pt,7.1988188976378pt">
                    <w:txbxContent>
                      <w:p w14:paraId="33AF5A1E">
                        <w:pPr>
                          <w:spacing w:before="0" w:after="0" w:line="240" w:lineRule="auto"/>
                          <w:jc w:val="center"/>
                        </w:pPr>
                        <w:r>
                          <w:rPr>
                            <w:color w:val="000000"/>
                          </w:rPr>
                          <w:t>Cost Monitoring Processes</w:t>
                        </w:r>
                      </w:p>
                    </w:txbxContent>
                  </v:textbox>
                </v:rect>
                <v:rect id="_x0000_s1026" o:spid="_x0000_s1026" o:spt="1" style="position:absolute;left:4553300;top:2147400;height:848700;width:1782300;v-text-anchor:middle;" fillcolor="#EAD1DC" filled="t" stroked="t" coordsize="21600,21600" o:gfxdata="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fJ+lG5AAAA2gAA&#10;AA8AAAAAAAAAAQAgAAAAIgAAAGRycy9kb3ducmV2LnhtbFBLAQIUABQAAAAIAIdO4kAzLwWeOwAA&#10;ADkAAAAQAAAAAAAAAAEAIAAAAAgBAABkcnMvc2hhcGV4bWwueG1sUEsFBgAAAAAGAAYAWwEAALID&#10;AAAAAA==&#10;">
                  <v:fill on="t" focussize="0,0"/>
                  <v:stroke color="#000000" joinstyle="round" startarrowwidth="narrow" startarrowlength="short" endarrowwidth="narrow" endarrowlength="short"/>
                  <v:imagedata o:title=""/>
                  <o:lock v:ext="edit" aspectratio="f"/>
                  <v:textbox inset="7.1988188976378pt,7.1988188976378pt,7.1988188976378pt,7.1988188976378pt">
                    <w:txbxContent>
                      <w:p w14:paraId="03C2091D">
                        <w:pPr>
                          <w:spacing w:before="0" w:after="0" w:line="240" w:lineRule="auto"/>
                          <w:jc w:val="center"/>
                        </w:pPr>
                        <w:r>
                          <w:rPr>
                            <w:color w:val="000000"/>
                          </w:rPr>
                          <w:t>Cost Control</w:t>
                        </w:r>
                      </w:p>
                    </w:txbxContent>
                  </v:textbox>
                </v:rect>
                <v:shape id="_x0000_s1026" o:spid="_x0000_s1026" o:spt="32" type="#_x0000_t32" style="position:absolute;left:1229775;top:1219650;flip:x;height:777300;width:1401000;" filled="f" stroked="t" coordsize="21600,21600" o:gfxdata="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68BSvQAA&#10;ANo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shape>
                <v:shape id="_x0000_s1026" o:spid="_x0000_s1026" o:spt="32" type="#_x0000_t32" style="position:absolute;left:3285225;top:1260550;height:623700;width:51000;" filled="f" stroked="t" coordsize="21600,21600" o:gfxdata="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fnRaG8AAAA&#10;2g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shape>
                <v:shape id="_x0000_s1026" o:spid="_x0000_s1026" o:spt="32" type="#_x0000_t32" style="position:absolute;left:3919200;top:1291225;height:675000;width:1482600;" filled="f" stroked="t" coordsize="21600,21600" o:gfxdata="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q+A6vQAA&#10;ANo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shape>
                <w10:wrap type="none"/>
                <w10:anchorlock/>
              </v:group>
            </w:pict>
          </mc:Fallback>
        </mc:AlternateContent>
      </w:r>
    </w:p>
    <w:p w14:paraId="0ED8807B">
      <w:pPr>
        <w:spacing w:after="0"/>
        <w:jc w:val="center"/>
        <w:rPr>
          <w:b/>
          <w:bCs/>
          <w:color w:val="auto"/>
        </w:rPr>
      </w:pPr>
      <w:r>
        <w:rPr>
          <w:b/>
          <w:bCs/>
          <w:color w:val="auto"/>
        </w:rPr>
        <w:t>Figure 8: Cost monitoring processes</w:t>
      </w:r>
    </w:p>
    <w:p w14:paraId="375B9557">
      <w:pPr>
        <w:spacing w:after="0"/>
        <w:jc w:val="center"/>
        <w:rPr>
          <w:color w:val="auto"/>
        </w:rPr>
      </w:pPr>
      <w:r>
        <w:rPr>
          <w:color w:val="auto"/>
        </w:rPr>
        <w:t>(Source: Self-developed)</w:t>
      </w:r>
    </w:p>
    <w:p w14:paraId="357F9E84">
      <w:pPr>
        <w:spacing w:after="0"/>
        <w:rPr>
          <w:color w:val="auto"/>
        </w:rPr>
      </w:pPr>
      <w:r>
        <w:rPr>
          <w:color w:val="auto"/>
        </w:rPr>
        <w:t xml:space="preserve">Processes for monitoring costs can be helpful in managing financial risks by providing visibility on the expenses through real-time data. Companies seeking investment or capital opportunities may face time and cost issues (Schroeder </w:t>
      </w:r>
      <w:r>
        <w:rPr>
          <w:i/>
          <w:iCs/>
          <w:color w:val="auto"/>
        </w:rPr>
        <w:t>et al.</w:t>
      </w:r>
      <w:r>
        <w:rPr>
          <w:color w:val="auto"/>
        </w:rPr>
        <w:t xml:space="preserve">, 2022). The cost-monitoring process allows detection of budget overruns and allows the management team to implement any corrective actions. Automated approaches through AI can be useful in managing long-term costs of monitoring (Ditria </w:t>
      </w:r>
      <w:r>
        <w:rPr>
          <w:i/>
          <w:iCs/>
          <w:color w:val="auto"/>
        </w:rPr>
        <w:t>et al.</w:t>
      </w:r>
      <w:r>
        <w:rPr>
          <w:color w:val="auto"/>
        </w:rPr>
        <w:t xml:space="preserve">, 2022). Data on the cost drivers and spending patterns can facilitate better and informed decision-making, which is also followed by sound strategic adjustments. </w:t>
      </w:r>
    </w:p>
    <w:p w14:paraId="2AC1F971">
      <w:pPr>
        <w:pStyle w:val="3"/>
        <w:spacing w:after="0"/>
        <w:rPr>
          <w:color w:val="auto"/>
        </w:rPr>
      </w:pPr>
      <w:bookmarkStart w:id="18" w:name="_Toc14919"/>
      <w:r>
        <w:rPr>
          <w:color w:val="auto"/>
        </w:rPr>
        <w:t>4.4 Methods to prevent scope creep</w:t>
      </w:r>
      <w:bookmarkEnd w:id="18"/>
    </w:p>
    <w:p w14:paraId="55CEB011">
      <w:pPr>
        <w:spacing w:after="0"/>
        <w:rPr>
          <w:color w:val="auto"/>
        </w:rPr>
      </w:pPr>
      <w:r>
        <w:rPr>
          <w:color w:val="auto"/>
        </w:rPr>
        <w:t xml:space="preserve">For preventing scope creep risks in the community health clinic project, it is important in developing a detailed statement of work (SOW) by outlining specific deliverables and milestones to ensure that the project is on track. Managers can use several methods such as involvement of stakeholders and strict levels of change control systems for managing scope creep problems (Okafor and Odubade, 2022). Effective communication is also important in preventing scope creep risks by consistently communicating with the project’s stakeholders to ensure that they are informed regarding any changes to be made. </w:t>
      </w:r>
    </w:p>
    <w:p w14:paraId="7ED8DDE3">
      <w:pPr>
        <w:pStyle w:val="3"/>
        <w:spacing w:after="0"/>
        <w:rPr>
          <w:color w:val="auto"/>
        </w:rPr>
      </w:pPr>
      <w:bookmarkStart w:id="19" w:name="_Toc1469"/>
      <w:r>
        <w:rPr>
          <w:color w:val="auto"/>
        </w:rPr>
        <w:t>4.5 Risk mitigation strategies</w:t>
      </w:r>
      <w:bookmarkEnd w:id="19"/>
    </w:p>
    <w:p w14:paraId="6A515770">
      <w:pPr>
        <w:spacing w:after="0"/>
        <w:rPr>
          <w:color w:val="auto"/>
        </w:rPr>
      </w:pPr>
      <w:r>
        <w:rPr>
          <w:color w:val="auto"/>
        </w:rPr>
        <w:t xml:space="preserve">Some mitigation strategies for managing the cost control system are hedging, fixed price contracts and procurement controls. Cost controlling can be mitigated through </w:t>
      </w:r>
      <w:r>
        <w:rPr>
          <w:b/>
          <w:bCs/>
          <w:i/>
          <w:iCs/>
          <w:color w:val="auto"/>
        </w:rPr>
        <w:t>Hedging</w:t>
      </w:r>
      <w:r>
        <w:rPr>
          <w:color w:val="auto"/>
        </w:rPr>
        <w:t xml:space="preserve"> which uses derivative contracts for balancing potential losses in an investment. Firms can use derivatives for creating a hedge towards exposure to fluctuations in interest rates and currency values (Alfaro </w:t>
      </w:r>
      <w:r>
        <w:rPr>
          <w:i/>
          <w:iCs/>
          <w:color w:val="auto"/>
        </w:rPr>
        <w:t>et al.</w:t>
      </w:r>
      <w:r>
        <w:rPr>
          <w:color w:val="auto"/>
        </w:rPr>
        <w:t xml:space="preserve">, 2024). </w:t>
      </w:r>
      <w:r>
        <w:rPr>
          <w:b/>
          <w:bCs/>
          <w:i/>
          <w:iCs/>
          <w:color w:val="auto"/>
        </w:rPr>
        <w:t>Fixed price contracts</w:t>
      </w:r>
      <w:r>
        <w:rPr>
          <w:color w:val="auto"/>
        </w:rPr>
        <w:t xml:space="preserve"> are also useful in implementing cost control mechanisms by transferring risks of cost-overrun from the buyer to the seller. </w:t>
      </w:r>
      <w:r>
        <w:rPr>
          <w:b/>
          <w:bCs/>
          <w:i/>
          <w:iCs/>
          <w:color w:val="auto"/>
        </w:rPr>
        <w:t xml:space="preserve">Procurement controls </w:t>
      </w:r>
      <w:r>
        <w:rPr>
          <w:color w:val="auto"/>
        </w:rPr>
        <w:t xml:space="preserve">establish cost control through auditable and structured processes which can help in preventing excess budget variances by implementing contract management and supplier due diligence. </w:t>
      </w:r>
    </w:p>
    <w:p w14:paraId="4BD579FF">
      <w:pPr>
        <w:pStyle w:val="2"/>
        <w:spacing w:after="0"/>
        <w:rPr>
          <w:color w:val="auto"/>
        </w:rPr>
      </w:pPr>
      <w:bookmarkStart w:id="20" w:name="_Toc4221"/>
      <w:r>
        <w:rPr>
          <w:color w:val="auto"/>
        </w:rPr>
        <w:t>5. Section D: Reporting Framework</w:t>
      </w:r>
      <w:bookmarkEnd w:id="20"/>
      <w:r>
        <w:rPr>
          <w:color w:val="auto"/>
        </w:rPr>
        <w:t xml:space="preserve"> </w:t>
      </w:r>
    </w:p>
    <w:p w14:paraId="27D04E49">
      <w:pPr>
        <w:pStyle w:val="3"/>
        <w:spacing w:after="0"/>
        <w:rPr>
          <w:color w:val="auto"/>
        </w:rPr>
      </w:pPr>
      <w:bookmarkStart w:id="21" w:name="_Toc4486"/>
      <w:r>
        <w:rPr>
          <w:color w:val="auto"/>
        </w:rPr>
        <w:t>5.1 Report types and frequency</w:t>
      </w:r>
      <w:bookmarkEnd w:id="21"/>
      <w:r>
        <w:rPr>
          <w:color w:val="auto"/>
        </w:rPr>
        <w:t xml:space="preserve"> </w:t>
      </w:r>
    </w:p>
    <w:p w14:paraId="6FC47F93">
      <w:pPr>
        <w:spacing w:after="0"/>
        <w:rPr>
          <w:color w:val="auto"/>
        </w:rPr>
      </w:pPr>
      <w:r>
        <w:rPr>
          <w:b/>
          <w:bCs/>
          <w:i/>
          <w:iCs/>
          <w:color w:val="auto"/>
        </w:rPr>
        <w:t xml:space="preserve">Monthly financials </w:t>
      </w:r>
      <w:r>
        <w:rPr>
          <w:color w:val="auto"/>
        </w:rPr>
        <w:t xml:space="preserve">can be used by project workers to keep a track of its current performance and make any data oriented insights. </w:t>
      </w:r>
      <w:r>
        <w:rPr>
          <w:b/>
          <w:bCs/>
          <w:i/>
          <w:iCs/>
          <w:color w:val="auto"/>
        </w:rPr>
        <w:t>Cost discrepancies</w:t>
      </w:r>
      <w:r>
        <w:rPr>
          <w:color w:val="auto"/>
        </w:rPr>
        <w:t xml:space="preserve"> can result in financial losses, cost overruns and project delays (Ayob and Ilhamullah, 2024). </w:t>
      </w:r>
      <w:r>
        <w:rPr>
          <w:b/>
          <w:bCs/>
          <w:i/>
          <w:iCs/>
          <w:color w:val="auto"/>
        </w:rPr>
        <w:t>Cost reports</w:t>
      </w:r>
      <w:r>
        <w:rPr>
          <w:color w:val="auto"/>
        </w:rPr>
        <w:t xml:space="preserve"> can be used for managing resource allocation and adjusting project plans for ensuring profitability. </w:t>
      </w:r>
      <w:r>
        <w:rPr>
          <w:b/>
          <w:bCs/>
          <w:i/>
          <w:iCs/>
          <w:color w:val="auto"/>
        </w:rPr>
        <w:t>CAPEX dashboards</w:t>
      </w:r>
      <w:r>
        <w:rPr>
          <w:color w:val="auto"/>
        </w:rPr>
        <w:t xml:space="preserve"> are used in visualising the budget consumption and highlighting variances between actual and budgeted values. The frequency of reporting can be centered on the construction and operational phases. Project threshold for escalation relates to a delay in the project exceeding a specific number of days, variances in budget (above 10%) and technical failures. Reports are fed into the discussion meeting through the agenda item table, meeting documentation and action oriented reporting. Some examples of template formats that are to be used are RAG Status, project dashboard status, issue logs and critical milestones.</w:t>
      </w:r>
    </w:p>
    <w:p w14:paraId="0D846ECC">
      <w:pPr>
        <w:pStyle w:val="3"/>
        <w:spacing w:after="0"/>
        <w:rPr>
          <w:color w:val="auto"/>
        </w:rPr>
      </w:pPr>
      <w:bookmarkStart w:id="22" w:name="_Toc12416"/>
      <w:r>
        <w:rPr>
          <w:color w:val="auto"/>
        </w:rPr>
        <w:t>5.2 Key financial KPIs</w:t>
      </w:r>
      <w:bookmarkEnd w:id="22"/>
    </w:p>
    <w:p w14:paraId="729379BD">
      <w:pPr>
        <w:spacing w:after="0"/>
        <w:rPr>
          <w:color w:val="auto"/>
        </w:rPr>
      </w:pPr>
      <w:r>
        <w:rPr>
          <w:b/>
          <w:bCs/>
          <w:i/>
          <w:iCs/>
          <w:color w:val="auto"/>
        </w:rPr>
        <w:t>Project workers of the community health clinic to measure performance can use schedule variance and cost variance</w:t>
      </w:r>
      <w:r>
        <w:rPr>
          <w:color w:val="auto"/>
        </w:rPr>
        <w:t xml:space="preserve"> by highlighting efficiency levels. Immediate visibility into cost variances can allow organisations in reducing financial risks and improving decision-making processes (Olajide </w:t>
      </w:r>
      <w:r>
        <w:rPr>
          <w:i/>
          <w:iCs/>
          <w:color w:val="auto"/>
        </w:rPr>
        <w:t>et al.</w:t>
      </w:r>
      <w:r>
        <w:rPr>
          <w:color w:val="auto"/>
        </w:rPr>
        <w:t xml:space="preserve">, 2023). Budget utilisation is monitored by using </w:t>
      </w:r>
      <w:r>
        <w:rPr>
          <w:b/>
          <w:bCs/>
          <w:i/>
          <w:iCs/>
          <w:color w:val="auto"/>
        </w:rPr>
        <w:t>burn rate</w:t>
      </w:r>
      <w:r>
        <w:rPr>
          <w:color w:val="auto"/>
        </w:rPr>
        <w:t xml:space="preserve"> for monitoring the speed at which the project team is able to consume hours for story points by adjusting to sprint scope. </w:t>
      </w:r>
      <w:r>
        <w:rPr>
          <w:b/>
          <w:bCs/>
          <w:i/>
          <w:iCs/>
          <w:color w:val="auto"/>
        </w:rPr>
        <w:t>Cash flow forecasts</w:t>
      </w:r>
      <w:r>
        <w:rPr>
          <w:color w:val="auto"/>
        </w:rPr>
        <w:t xml:space="preserve"> outlines expected inflows and outflows for ensuring that there is enough cash in hand for meeting future obligations. </w:t>
      </w:r>
    </w:p>
    <w:p w14:paraId="45AC61A5">
      <w:pPr>
        <w:pStyle w:val="3"/>
        <w:spacing w:after="0"/>
        <w:rPr>
          <w:color w:val="auto"/>
        </w:rPr>
      </w:pPr>
      <w:bookmarkStart w:id="23" w:name="_Toc7039"/>
      <w:r>
        <w:rPr>
          <w:color w:val="auto"/>
        </w:rPr>
        <w:t>5.3 Roles in Governance structure and use of financial software tools</w:t>
      </w:r>
      <w:bookmarkEnd w:id="23"/>
      <w:r>
        <w:rPr>
          <w:color w:val="auto"/>
        </w:rPr>
        <w:t xml:space="preserve"> </w:t>
      </w:r>
    </w:p>
    <w:p w14:paraId="3D0FB1B9">
      <w:pPr>
        <w:spacing w:after="0"/>
        <w:rPr>
          <w:color w:val="auto"/>
        </w:rPr>
      </w:pPr>
      <w:r>
        <w:rPr>
          <w:b/>
          <w:bCs/>
          <w:i/>
          <w:iCs/>
          <w:color w:val="auto"/>
        </w:rPr>
        <w:t>Governance structure</w:t>
      </w:r>
      <w:r>
        <w:rPr>
          <w:color w:val="auto"/>
        </w:rPr>
        <w:t xml:space="preserve"> includes project sponsor and project managers who need strategic reports for approving budgets in order to make decisions on project feasibility. Financial software such as </w:t>
      </w:r>
      <w:r>
        <w:rPr>
          <w:b/>
          <w:bCs/>
          <w:i/>
          <w:iCs/>
          <w:color w:val="auto"/>
        </w:rPr>
        <w:t>ERP systems</w:t>
      </w:r>
      <w:r>
        <w:rPr>
          <w:color w:val="auto"/>
        </w:rPr>
        <w:t xml:space="preserve"> includes various modules that are required for operations such as production, work progress and managing inventory levels (Boutros </w:t>
      </w:r>
      <w:r>
        <w:rPr>
          <w:i/>
          <w:iCs/>
          <w:color w:val="auto"/>
        </w:rPr>
        <w:t>et al.</w:t>
      </w:r>
      <w:r>
        <w:rPr>
          <w:color w:val="auto"/>
        </w:rPr>
        <w:t xml:space="preserve">, 2024). </w:t>
      </w:r>
      <w:r>
        <w:rPr>
          <w:b/>
          <w:bCs/>
          <w:i/>
          <w:iCs/>
          <w:color w:val="auto"/>
        </w:rPr>
        <w:t>Project accounting systems</w:t>
      </w:r>
      <w:r>
        <w:rPr>
          <w:color w:val="auto"/>
        </w:rPr>
        <w:t xml:space="preserve"> within project management helps in keeping a track and measurement of financial health for the project through real-time monitoring of costs and revenue. </w:t>
      </w:r>
    </w:p>
    <w:p w14:paraId="42B8DD0B">
      <w:pPr>
        <w:pStyle w:val="3"/>
        <w:spacing w:after="0"/>
        <w:rPr>
          <w:color w:val="auto"/>
        </w:rPr>
      </w:pPr>
      <w:bookmarkStart w:id="24" w:name="_Toc14375"/>
      <w:r>
        <w:rPr>
          <w:color w:val="auto"/>
        </w:rPr>
        <w:t>5.4 Reporting supporting decision‑making, transparency, and accountability</w:t>
      </w:r>
      <w:bookmarkEnd w:id="24"/>
    </w:p>
    <w:p w14:paraId="7DEFEC62">
      <w:pPr>
        <w:spacing w:after="0"/>
        <w:rPr>
          <w:color w:val="auto"/>
        </w:rPr>
      </w:pPr>
      <w:r>
        <w:rPr>
          <w:color w:val="auto"/>
        </w:rPr>
        <w:t xml:space="preserve">Reporting for project workers supports </w:t>
      </w:r>
      <w:r>
        <w:rPr>
          <w:b/>
          <w:bCs/>
          <w:i/>
          <w:iCs/>
          <w:color w:val="auto"/>
        </w:rPr>
        <w:t>decision-making</w:t>
      </w:r>
      <w:r>
        <w:rPr>
          <w:color w:val="auto"/>
        </w:rPr>
        <w:t xml:space="preserve"> by providing critical metrics and data oriented insights such as adherence to timeline and usage of budget. It is useful for reallocation of resources and addressing any issues before it escalates.</w:t>
      </w:r>
      <w:r>
        <w:rPr>
          <w:b/>
          <w:bCs/>
          <w:i/>
          <w:iCs/>
          <w:color w:val="auto"/>
        </w:rPr>
        <w:t xml:space="preserve"> Transparency</w:t>
      </w:r>
      <w:r>
        <w:rPr>
          <w:color w:val="auto"/>
        </w:rPr>
        <w:t xml:space="preserve"> in reporting requires regular status reports and real-time dashboards by ensuring that project’s workers have a clear viewpoint on the project’s status. Transparent data accountability framework supplemented by reporting tools and management dashboards for assisting data oriented decisions and monitoring progress (Zdybicki, 2025). Reporting ensures </w:t>
      </w:r>
      <w:r>
        <w:rPr>
          <w:b/>
          <w:bCs/>
          <w:i/>
          <w:iCs/>
          <w:color w:val="auto"/>
        </w:rPr>
        <w:t>accountability</w:t>
      </w:r>
      <w:r>
        <w:rPr>
          <w:color w:val="auto"/>
        </w:rPr>
        <w:t xml:space="preserve"> by tracking both team and individual performance against any planned efforts within the operation phase of the construction. Accountability and transparency relates to PRINCE2 and PMBOK approaches through project board and project sponsorship. </w:t>
      </w:r>
    </w:p>
    <w:p w14:paraId="0BA9271F">
      <w:pPr>
        <w:pStyle w:val="2"/>
        <w:spacing w:after="0"/>
        <w:rPr>
          <w:color w:val="auto"/>
        </w:rPr>
      </w:pPr>
      <w:bookmarkStart w:id="25" w:name="_Toc26868"/>
      <w:r>
        <w:rPr>
          <w:color w:val="auto"/>
        </w:rPr>
        <w:t>6. Conclusion and Recommendations</w:t>
      </w:r>
      <w:bookmarkEnd w:id="25"/>
      <w:r>
        <w:rPr>
          <w:color w:val="auto"/>
        </w:rPr>
        <w:t xml:space="preserve"> </w:t>
      </w:r>
    </w:p>
    <w:p w14:paraId="094EC770">
      <w:pPr>
        <w:spacing w:after="0"/>
      </w:pPr>
      <w:r>
        <w:rPr>
          <w:color w:val="auto"/>
        </w:rPr>
        <w:t>It can be concluded that the best case scenario is profitable for the community health clinic. It is due to higher NPV and IRR values implying that the project can be accepted. Cost control plan includes contingency budgeting and earned value management, which are useful metrics for mitigating cost overrun problems. Reporting framework includes monitoring overall project performance through cost variance, schedule variance and</w:t>
      </w:r>
      <w:r>
        <w:t xml:space="preserve"> capex dashboards. Therefore, it is recommended for sound contingency planning, allocation of risks and value engineering by finding cost-effective alternatives for reducing any upfront costs. </w:t>
      </w:r>
      <w:r>
        <w:br w:type="page"/>
      </w:r>
    </w:p>
    <w:p w14:paraId="0014716B">
      <w:pPr>
        <w:pStyle w:val="2"/>
      </w:pPr>
      <w:bookmarkStart w:id="26" w:name="_Toc9011"/>
      <w:r>
        <w:t>References</w:t>
      </w:r>
      <w:bookmarkEnd w:id="26"/>
    </w:p>
    <w:p w14:paraId="49A89CC7">
      <w:pPr>
        <w:spacing w:after="0"/>
      </w:pPr>
      <w:r>
        <w:t xml:space="preserve">Adeboye, E.O., Ifeanyi, E.V. and Labisi, G.B.E.M.I.S.O.L.A., (2022). The policy-startup feedback loop: How tech entrepreneurs can shape better grant programs. </w:t>
      </w:r>
      <w:r>
        <w:rPr>
          <w:i/>
          <w:iCs/>
        </w:rPr>
        <w:t>Iconic Research and Engineering Journals (IRE Journals)</w:t>
      </w:r>
      <w:r>
        <w:t xml:space="preserve">, </w:t>
      </w:r>
      <w:r>
        <w:rPr>
          <w:i/>
          <w:iCs/>
        </w:rPr>
        <w:t>5</w:t>
      </w:r>
      <w:r>
        <w:t>(10), pp.373-379.</w:t>
      </w:r>
    </w:p>
    <w:p w14:paraId="15457DB4">
      <w:pPr>
        <w:spacing w:after="0"/>
      </w:pPr>
      <w:r>
        <w:t xml:space="preserve">Alfaro, L., Calani, M. and Varela, L., (2024). Firms, currency hedging, and financial derivatives. In </w:t>
      </w:r>
      <w:r>
        <w:rPr>
          <w:i/>
          <w:iCs/>
        </w:rPr>
        <w:t>Handbook of Financial Integration</w:t>
      </w:r>
      <w:r>
        <w:t xml:space="preserve"> (pp. 340-370). Edward Elgar Publishing.</w:t>
      </w:r>
    </w:p>
    <w:p w14:paraId="464BDDAB">
      <w:pPr>
        <w:pBdr>
          <w:top w:val="none" w:color="auto" w:sz="0" w:space="0"/>
          <w:left w:val="none" w:color="auto" w:sz="0" w:space="0"/>
          <w:bottom w:val="none" w:color="auto" w:sz="0" w:space="0"/>
          <w:right w:val="none" w:color="auto" w:sz="0" w:space="0"/>
          <w:between w:val="none" w:color="auto" w:sz="0" w:space="0"/>
        </w:pBdr>
        <w:spacing w:after="0"/>
      </w:pPr>
      <w:r>
        <w:t xml:space="preserve">Atrill, P. and Mclaney, E., (2022). </w:t>
      </w:r>
      <w:r>
        <w:rPr>
          <w:i/>
          <w:iCs/>
        </w:rPr>
        <w:t>Accounting and Finance for non-specialists</w:t>
      </w:r>
      <w:r>
        <w:t>. 12th edition. Pearson Education.</w:t>
      </w:r>
    </w:p>
    <w:p w14:paraId="699B7387">
      <w:pPr>
        <w:spacing w:after="0"/>
      </w:pPr>
      <w:r>
        <w:t xml:space="preserve">Ayob, A. and Ilhamullah, M., (2024). The differences in the cost of labor wage between the contract document and on-site contractor cost analysis: a case study. </w:t>
      </w:r>
      <w:r>
        <w:rPr>
          <w:i/>
          <w:iCs/>
        </w:rPr>
        <w:t>Journal of Sustainable Civil Engineering Insights</w:t>
      </w:r>
      <w:r>
        <w:t xml:space="preserve">, </w:t>
      </w:r>
      <w:r>
        <w:rPr>
          <w:i/>
          <w:iCs/>
        </w:rPr>
        <w:t>1</w:t>
      </w:r>
      <w:r>
        <w:t>(2), pp.1-10.</w:t>
      </w:r>
    </w:p>
    <w:p w14:paraId="1CAF0B21">
      <w:pPr>
        <w:spacing w:after="0"/>
      </w:pPr>
      <w:r>
        <w:t xml:space="preserve">Boutros, M.B., El Hajj, C., Jawad, D. and Martínez Montes, G., (2024). Diffusion of ERP in the construction industry: An ERP modules approach: Case study of developing countries. </w:t>
      </w:r>
      <w:r>
        <w:rPr>
          <w:i/>
          <w:iCs/>
        </w:rPr>
        <w:t>Buildings</w:t>
      </w:r>
      <w:r>
        <w:t xml:space="preserve">, </w:t>
      </w:r>
      <w:r>
        <w:rPr>
          <w:i/>
          <w:iCs/>
        </w:rPr>
        <w:t>14</w:t>
      </w:r>
      <w:r>
        <w:t>(10), p.3224.</w:t>
      </w:r>
    </w:p>
    <w:p w14:paraId="5B7D4288">
      <w:pPr>
        <w:spacing w:after="0"/>
        <w:rPr>
          <w:highlight w:val="white"/>
        </w:rPr>
      </w:pPr>
      <w:r>
        <w:rPr>
          <w:highlight w:val="white"/>
        </w:rPr>
        <w:t xml:space="preserve">Brown, G. and Volckmann, W.M., (2024). Unpacking private equity performance. </w:t>
      </w:r>
      <w:r>
        <w:rPr>
          <w:i/>
          <w:iCs/>
          <w:highlight w:val="white"/>
        </w:rPr>
        <w:t>The Journal of Portfolio Management</w:t>
      </w:r>
      <w:r>
        <w:rPr>
          <w:highlight w:val="white"/>
        </w:rPr>
        <w:t xml:space="preserve">, </w:t>
      </w:r>
      <w:r>
        <w:rPr>
          <w:i/>
          <w:iCs/>
          <w:highlight w:val="white"/>
        </w:rPr>
        <w:t>50</w:t>
      </w:r>
      <w:r>
        <w:rPr>
          <w:highlight w:val="white"/>
        </w:rPr>
        <w:t>(7), pp.100-115.</w:t>
      </w:r>
    </w:p>
    <w:p w14:paraId="46F29462">
      <w:pPr>
        <w:spacing w:after="0"/>
      </w:pPr>
      <w:r>
        <w:t xml:space="preserve">Cadenovic, J., Deloof, M. and Paeleman, I., (2024). Do dividend policies of privately held firms follow a life cycle?. </w:t>
      </w:r>
      <w:r>
        <w:rPr>
          <w:i/>
          <w:iCs/>
        </w:rPr>
        <w:t>The European Journal of Finance</w:t>
      </w:r>
      <w:r>
        <w:t xml:space="preserve">, </w:t>
      </w:r>
      <w:r>
        <w:rPr>
          <w:i/>
          <w:iCs/>
        </w:rPr>
        <w:t>30</w:t>
      </w:r>
      <w:r>
        <w:t>(5), pp.457-480.</w:t>
      </w:r>
    </w:p>
    <w:p w14:paraId="670B2782">
      <w:pPr>
        <w:spacing w:after="0"/>
        <w:rPr>
          <w:sz w:val="28"/>
          <w:szCs w:val="28"/>
        </w:rPr>
      </w:pPr>
      <w:r>
        <w:t xml:space="preserve">Capone, C. and Narbaev, T., (2022). Estimation of risk contingency budget in projects using machine learning. </w:t>
      </w:r>
      <w:r>
        <w:rPr>
          <w:i/>
          <w:iCs/>
        </w:rPr>
        <w:t>IFAC-PapersOnLine</w:t>
      </w:r>
      <w:r>
        <w:t xml:space="preserve">, </w:t>
      </w:r>
      <w:r>
        <w:rPr>
          <w:i/>
          <w:iCs/>
        </w:rPr>
        <w:t>55</w:t>
      </w:r>
      <w:r>
        <w:t>(10), pp.3238-3243.</w:t>
      </w:r>
    </w:p>
    <w:p w14:paraId="4F02374F">
      <w:pPr>
        <w:spacing w:after="0"/>
      </w:pPr>
      <w:r>
        <w:t xml:space="preserve">Ditria, E.M., Buelow, C.A., Gonzalez-Rivero, M. and Connolly, R.M., (2022). Artificial intelligence and automated monitoring for assisting conservation of marine ecosystems: A perspective. </w:t>
      </w:r>
      <w:r>
        <w:rPr>
          <w:i/>
          <w:iCs/>
        </w:rPr>
        <w:t>Frontiers in Marine Science</w:t>
      </w:r>
      <w:r>
        <w:t xml:space="preserve">, </w:t>
      </w:r>
      <w:r>
        <w:rPr>
          <w:i/>
          <w:iCs/>
        </w:rPr>
        <w:t>9</w:t>
      </w:r>
      <w:r>
        <w:t xml:space="preserve">, p.918104. </w:t>
      </w:r>
    </w:p>
    <w:p w14:paraId="00D38BFB">
      <w:pPr>
        <w:spacing w:after="0"/>
      </w:pPr>
      <w:r>
        <w:t xml:space="preserve">Dobrowolski, Z. and Drozdowski, G., (2022). Does the net present value as a financial metric fit investment in green energy security?. </w:t>
      </w:r>
      <w:r>
        <w:rPr>
          <w:i/>
          <w:iCs/>
        </w:rPr>
        <w:t>Energies</w:t>
      </w:r>
      <w:r>
        <w:t xml:space="preserve">, </w:t>
      </w:r>
      <w:r>
        <w:rPr>
          <w:i/>
          <w:iCs/>
        </w:rPr>
        <w:t>15</w:t>
      </w:r>
      <w:r>
        <w:t>(1), p.353.</w:t>
      </w:r>
    </w:p>
    <w:p w14:paraId="4815B3E3">
      <w:pPr>
        <w:spacing w:after="0"/>
      </w:pPr>
      <w:r>
        <w:t xml:space="preserve">Elsaid, M., Nassar, K., Alqahtani, F.K. and Abotaleb, I., (2025). Comparative analysis of earned value management techniques in construction projects. </w:t>
      </w:r>
      <w:r>
        <w:rPr>
          <w:i/>
          <w:iCs/>
        </w:rPr>
        <w:t>Scientific Reports</w:t>
      </w:r>
      <w:r>
        <w:t xml:space="preserve">, </w:t>
      </w:r>
      <w:r>
        <w:rPr>
          <w:i/>
          <w:iCs/>
        </w:rPr>
        <w:t>15</w:t>
      </w:r>
      <w:r>
        <w:t>(1), p.23606.</w:t>
      </w:r>
    </w:p>
    <w:p w14:paraId="264DF74C">
      <w:pPr>
        <w:spacing w:after="0"/>
      </w:pPr>
      <w:r>
        <w:t xml:space="preserve">Girdzijauskas, S., Streimikiene, D., Griesiene, I., Mikalauskiene, A. and Kyriakopoulos, G.L., (2022). New approach to inflation phenomena to ensure sustainable economic growth. </w:t>
      </w:r>
      <w:r>
        <w:rPr>
          <w:i/>
          <w:iCs/>
        </w:rPr>
        <w:t>Sustainability</w:t>
      </w:r>
      <w:r>
        <w:t xml:space="preserve">, </w:t>
      </w:r>
      <w:r>
        <w:rPr>
          <w:i/>
          <w:iCs/>
        </w:rPr>
        <w:t>14</w:t>
      </w:r>
      <w:r>
        <w:t>(1), p.518.</w:t>
      </w:r>
    </w:p>
    <w:p w14:paraId="6F8A4CEB">
      <w:pPr>
        <w:spacing w:after="0"/>
      </w:pPr>
      <w:r>
        <w:rPr>
          <w:highlight w:val="white"/>
        </w:rPr>
        <w:t xml:space="preserve">Kotcharin, S. and Jantadej, K., (2024). Behavior of small and medium shipping enterprises’ working capital management: moderating role of firm-specific characteristics in times of crises and geopolitical risk. </w:t>
      </w:r>
      <w:r>
        <w:rPr>
          <w:i/>
          <w:iCs/>
          <w:highlight w:val="white"/>
        </w:rPr>
        <w:t>Cogent Business &amp; Management</w:t>
      </w:r>
      <w:r>
        <w:rPr>
          <w:highlight w:val="white"/>
        </w:rPr>
        <w:t xml:space="preserve">, </w:t>
      </w:r>
      <w:r>
        <w:rPr>
          <w:i/>
          <w:iCs/>
          <w:highlight w:val="white"/>
        </w:rPr>
        <w:t>11</w:t>
      </w:r>
      <w:r>
        <w:rPr>
          <w:highlight w:val="white"/>
        </w:rPr>
        <w:t>(1), p.2396544.</w:t>
      </w:r>
    </w:p>
    <w:p w14:paraId="650B6816">
      <w:pPr>
        <w:spacing w:after="0"/>
        <w:rPr>
          <w:sz w:val="28"/>
          <w:szCs w:val="28"/>
        </w:rPr>
      </w:pPr>
      <w:r>
        <w:t xml:space="preserve">Mwale, B.J., Ntsobi, M. and Nyamkure, B., (2025). Maximizing Educational Impact: A Mixed-Method Analysis of Strategic Funding Pathways for Sci-Bono Discovery Centre in South Africa. </w:t>
      </w:r>
      <w:r>
        <w:rPr>
          <w:i/>
          <w:iCs/>
        </w:rPr>
        <w:t>European Journal of Business and Management</w:t>
      </w:r>
      <w:r>
        <w:t xml:space="preserve">, </w:t>
      </w:r>
      <w:r>
        <w:rPr>
          <w:i/>
          <w:iCs/>
        </w:rPr>
        <w:t>17</w:t>
      </w:r>
      <w:r>
        <w:t>(4), pp.73-83.</w:t>
      </w:r>
    </w:p>
    <w:p w14:paraId="1F28B8C0">
      <w:pPr>
        <w:spacing w:after="0"/>
        <w:rPr>
          <w:sz w:val="28"/>
          <w:szCs w:val="28"/>
        </w:rPr>
      </w:pPr>
      <w:r>
        <w:t xml:space="preserve">Naomi, I.W., (2023). Effects of Debt Financing on Financial Performance of Manufacturing Firms in Kenya. </w:t>
      </w:r>
      <w:r>
        <w:rPr>
          <w:i/>
          <w:iCs/>
        </w:rPr>
        <w:t>African Journal of Commercial Studies</w:t>
      </w:r>
      <w:r>
        <w:t xml:space="preserve">, </w:t>
      </w:r>
      <w:r>
        <w:rPr>
          <w:i/>
          <w:iCs/>
        </w:rPr>
        <w:t>3</w:t>
      </w:r>
      <w:r>
        <w:t>(2), pp.86-95.</w:t>
      </w:r>
    </w:p>
    <w:p w14:paraId="68B13057">
      <w:pPr>
        <w:spacing w:after="0"/>
      </w:pPr>
      <w:r>
        <w:t xml:space="preserve">Okafor, I. and Odubade, O., (2022). Factors affecting scope creep in project management: Identify the key factors contributing to scope creep and explore strategies to prevent it. </w:t>
      </w:r>
      <w:r>
        <w:rPr>
          <w:i/>
          <w:iCs/>
        </w:rPr>
        <w:t>International Journal of Engineering Technology and Management Sciences</w:t>
      </w:r>
      <w:r>
        <w:t xml:space="preserve">, </w:t>
      </w:r>
      <w:r>
        <w:rPr>
          <w:i/>
          <w:iCs/>
        </w:rPr>
        <w:t>6</w:t>
      </w:r>
      <w:r>
        <w:t>(11), pp.10-5281.</w:t>
      </w:r>
    </w:p>
    <w:p w14:paraId="3D843BA5">
      <w:pPr>
        <w:spacing w:after="0"/>
        <w:rPr>
          <w:color w:val="auto"/>
        </w:rPr>
      </w:pPr>
      <w:r>
        <w:t xml:space="preserve">Olajide, J.O., Otokiti, B.O., Nwani, S., Ogunmokun, A.S., Adekunle, B.I. and Fiemotongha, J.E., (2023). Real-Time Financial Variance Analysis Models for Procurement and Material Cost Monitoring. </w:t>
      </w:r>
      <w:r>
        <w:rPr>
          <w:i/>
          <w:iCs/>
        </w:rPr>
        <w:t>Gyanshauryam, International Scientific Refereed Research Journal</w:t>
      </w:r>
      <w:r>
        <w:t xml:space="preserve">, </w:t>
      </w:r>
      <w:r>
        <w:rPr>
          <w:i/>
          <w:iCs/>
        </w:rPr>
        <w:t>6</w:t>
      </w:r>
      <w:r>
        <w:t>(5), pp.115-125.</w:t>
      </w:r>
    </w:p>
    <w:p w14:paraId="60C269CB">
      <w:pPr>
        <w:spacing w:after="0"/>
        <w:rPr>
          <w:color w:val="auto"/>
        </w:rPr>
      </w:pPr>
      <w:r>
        <w:rPr>
          <w:color w:val="auto"/>
        </w:rPr>
        <w:t xml:space="preserve">Proaño-Narváez, M., Flores-Vázquez, C., Vásquez Quiroz, P. and Avila-Calle, M., (2022). Earned value method (EVM) for construction projects: Current application and future projections. </w:t>
      </w:r>
      <w:r>
        <w:rPr>
          <w:i/>
          <w:iCs/>
          <w:color w:val="auto"/>
        </w:rPr>
        <w:t>Buildings</w:t>
      </w:r>
      <w:r>
        <w:rPr>
          <w:color w:val="auto"/>
        </w:rPr>
        <w:t xml:space="preserve">, </w:t>
      </w:r>
      <w:r>
        <w:rPr>
          <w:i/>
          <w:iCs/>
          <w:color w:val="auto"/>
        </w:rPr>
        <w:t>12</w:t>
      </w:r>
      <w:r>
        <w:rPr>
          <w:color w:val="auto"/>
        </w:rPr>
        <w:t>(3), p.301.</w:t>
      </w:r>
    </w:p>
    <w:p w14:paraId="3816FC37">
      <w:pPr>
        <w:pBdr>
          <w:top w:val="none" w:color="auto" w:sz="0" w:space="0"/>
          <w:left w:val="none" w:color="auto" w:sz="0" w:space="0"/>
          <w:bottom w:val="none" w:color="auto" w:sz="0" w:space="0"/>
          <w:right w:val="none" w:color="auto" w:sz="0" w:space="0"/>
          <w:between w:val="none" w:color="auto" w:sz="0" w:space="0"/>
        </w:pBdr>
        <w:spacing w:after="0"/>
      </w:pPr>
      <w:r>
        <w:rPr>
          <w:color w:val="auto"/>
        </w:rPr>
        <w:t>Schroeder, R.G., Cl</w:t>
      </w:r>
      <w:r>
        <w:t xml:space="preserve">ark, M.W. and Cathey, J.M., (2022). </w:t>
      </w:r>
      <w:r>
        <w:rPr>
          <w:i/>
          <w:iCs/>
        </w:rPr>
        <w:t>Financial accounting theory and analysis: text and cases</w:t>
      </w:r>
      <w:r>
        <w:t>. John Wiley &amp; Sons.</w:t>
      </w:r>
    </w:p>
    <w:p w14:paraId="10AE4B25">
      <w:pPr>
        <w:spacing w:after="0"/>
      </w:pPr>
      <w:r>
        <w:t xml:space="preserve">Zdybicki, T., (2025). Project-Lifecycle Data as the Conceptual Basis for Data-Driven Governance in Global IT Programmes. </w:t>
      </w:r>
      <w:r>
        <w:rPr>
          <w:i/>
          <w:iCs/>
        </w:rPr>
        <w:t>European Research Studies Journal</w:t>
      </w:r>
      <w:r>
        <w:t xml:space="preserve">, </w:t>
      </w:r>
      <w:r>
        <w:rPr>
          <w:i/>
          <w:iCs/>
        </w:rPr>
        <w:t>28</w:t>
      </w:r>
      <w:r>
        <w:t>(3), pp.1518-1537.</w:t>
      </w:r>
    </w:p>
    <w:p w14:paraId="40E832FF"/>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FB5C6ED4-5E75-4E75-A3BE-2099CE3127AD}"/>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F0A259A4-C5FE-419C-BB2A-A686AF2C3D89}"/>
  </w:font>
  <w:font w:name="Wingdings">
    <w:panose1 w:val="05000000000000000000"/>
    <w:charset w:val="02"/>
    <w:family w:val="auto"/>
    <w:pitch w:val="default"/>
    <w:sig w:usb0="00000000" w:usb1="00000000" w:usb2="00000000" w:usb3="00000000" w:csb0="80000000" w:csb1="00000000"/>
    <w:embedRegular r:id="rId3" w:fontKey="{08360B24-FBD1-4188-AB8F-7E78E45092D1}"/>
  </w:font>
  <w:font w:name="Calibri">
    <w:panose1 w:val="020F0502020204030204"/>
    <w:charset w:val="00"/>
    <w:family w:val="swiss"/>
    <w:pitch w:val="default"/>
    <w:sig w:usb0="E4002EFF" w:usb1="C200247B" w:usb2="00000009" w:usb3="00000000" w:csb0="200001FF" w:csb1="00000000"/>
    <w:embedRegular r:id="rId4" w:fontKey="{8FE0520C-81B9-4680-AF6D-6E9C48BAC56A}"/>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embedRegular r:id="rId5" w:fontKey="{A1FB21B9-EF79-4F63-9B27-4106E2340633}"/>
  </w:font>
  <w:font w:name="Quattrocento Sans">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embedRegular r:id="rId6" w:fontKey="{A1138252-1ABA-4A02-BBBE-7057CBEC4B4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64397">
    <w:pPr>
      <w:jc w:val="right"/>
      <w:rPr>
        <w:sz w:val="20"/>
        <w:szCs w:val="20"/>
      </w:rPr>
    </w:pPr>
    <w:r>
      <w:rPr>
        <w:sz w:val="20"/>
        <w:szCs w:val="20"/>
      </w:rPr>
      <w:fldChar w:fldCharType="begin"/>
    </w:r>
    <w:r>
      <w:rPr>
        <w:sz w:val="20"/>
        <w:szCs w:val="20"/>
      </w:rPr>
      <w:instrText xml:space="preserve">PAGE</w:instrText>
    </w:r>
    <w:r>
      <w:rPr>
        <w:sz w:val="20"/>
        <w:szCs w:val="20"/>
      </w:rPr>
      <w:fldChar w:fldCharType="separate"/>
    </w:r>
    <w:r>
      <w:rPr>
        <w:sz w:val="20"/>
        <w:szCs w:val="20"/>
      </w:rPr>
      <w:t>16</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4736641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before="200" w:after="200" w:line="360" w:lineRule="auto"/>
      <w:jc w:val="both"/>
    </w:pPr>
    <w:rPr>
      <w:rFonts w:ascii="Times New Roman" w:hAnsi="Times New Roman" w:eastAsia="Times New Roman" w:cs="Times New Roman"/>
      <w:sz w:val="24"/>
      <w:szCs w:val="24"/>
      <w:lang w:val="en-IN" w:eastAsia="en-IN" w:bidi="ar-SA"/>
    </w:rPr>
  </w:style>
  <w:style w:type="paragraph" w:styleId="2">
    <w:name w:val="heading 1"/>
    <w:basedOn w:val="1"/>
    <w:next w:val="1"/>
    <w:qFormat/>
    <w:uiPriority w:val="0"/>
    <w:pPr>
      <w:keepNext/>
      <w:keepLines/>
      <w:outlineLvl w:val="0"/>
    </w:pPr>
    <w:rPr>
      <w:b/>
      <w:bCs/>
    </w:rPr>
  </w:style>
  <w:style w:type="paragraph" w:styleId="3">
    <w:name w:val="heading 2"/>
    <w:basedOn w:val="1"/>
    <w:next w:val="1"/>
    <w:uiPriority w:val="0"/>
    <w:pPr>
      <w:keepNext/>
      <w:keepLines/>
      <w:outlineLvl w:val="1"/>
    </w:pPr>
    <w:rPr>
      <w:b/>
      <w:bCs/>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rPr>
  </w:style>
  <w:style w:type="paragraph" w:styleId="6">
    <w:name w:val="heading 5"/>
    <w:basedOn w:val="1"/>
    <w:next w:val="1"/>
    <w:uiPriority w:val="0"/>
    <w:pPr>
      <w:keepNext/>
      <w:keepLines/>
      <w:spacing w:before="240" w:after="80"/>
      <w:outlineLvl w:val="4"/>
    </w:pPr>
    <w:rPr>
      <w:color w:val="666666"/>
      <w:sz w:val="22"/>
      <w:szCs w:val="22"/>
    </w:rPr>
  </w:style>
  <w:style w:type="paragraph" w:styleId="7">
    <w:name w:val="heading 6"/>
    <w:basedOn w:val="1"/>
    <w:next w:val="1"/>
    <w:uiPriority w:val="0"/>
    <w:pPr>
      <w:keepNext/>
      <w:keepLines/>
      <w:spacing w:before="240" w:after="80"/>
      <w:outlineLvl w:val="5"/>
    </w:pPr>
    <w:rPr>
      <w:i/>
      <w:iCs/>
      <w:color w:val="666666"/>
      <w:sz w:val="22"/>
      <w:szCs w:val="22"/>
    </w:rPr>
  </w:style>
  <w:style w:type="character" w:default="1" w:styleId="8">
    <w:name w:val="Default Paragraph Font"/>
    <w:qFormat/>
    <w:uiPriority w:val="1"/>
  </w:style>
  <w:style w:type="table" w:default="1" w:styleId="9">
    <w:name w:val="Normal Table"/>
    <w:uiPriority w:val="99"/>
    <w:tblPr>
      <w:tblCellMar>
        <w:top w:w="0" w:type="dxa"/>
        <w:left w:w="108" w:type="dxa"/>
        <w:bottom w:w="0" w:type="dxa"/>
        <w:right w:w="108" w:type="dxa"/>
      </w:tblCellMar>
    </w:tblPr>
  </w:style>
  <w:style w:type="paragraph" w:styleId="10">
    <w:name w:val="Balloon Text"/>
    <w:basedOn w:val="1"/>
    <w:link w:val="33"/>
    <w:qFormat/>
    <w:uiPriority w:val="99"/>
    <w:pPr>
      <w:spacing w:before="0" w:after="0" w:line="240" w:lineRule="auto"/>
    </w:pPr>
    <w:rPr>
      <w:rFonts w:ascii="Segoe UI" w:hAnsi="Segoe UI" w:cs="Segoe UI"/>
      <w:sz w:val="18"/>
      <w:szCs w:val="18"/>
    </w:rPr>
  </w:style>
  <w:style w:type="character" w:styleId="11">
    <w:name w:val="annotation reference"/>
    <w:basedOn w:val="8"/>
    <w:uiPriority w:val="99"/>
    <w:rPr>
      <w:sz w:val="16"/>
      <w:szCs w:val="16"/>
    </w:rPr>
  </w:style>
  <w:style w:type="paragraph" w:styleId="12">
    <w:name w:val="annotation text"/>
    <w:basedOn w:val="1"/>
    <w:link w:val="32"/>
    <w:qFormat/>
    <w:uiPriority w:val="99"/>
    <w:pPr>
      <w:spacing w:line="240" w:lineRule="auto"/>
    </w:pPr>
    <w:rPr>
      <w:sz w:val="20"/>
      <w:szCs w:val="20"/>
    </w:rPr>
  </w:style>
  <w:style w:type="paragraph" w:styleId="13">
    <w:name w:val="footer"/>
    <w:basedOn w:val="1"/>
    <w:link w:val="35"/>
    <w:uiPriority w:val="99"/>
    <w:pPr>
      <w:tabs>
        <w:tab w:val="center" w:pos="4513"/>
        <w:tab w:val="right" w:pos="9026"/>
      </w:tabs>
      <w:spacing w:before="0" w:after="0" w:line="240" w:lineRule="auto"/>
    </w:pPr>
  </w:style>
  <w:style w:type="paragraph" w:styleId="14">
    <w:name w:val="header"/>
    <w:basedOn w:val="1"/>
    <w:link w:val="34"/>
    <w:qFormat/>
    <w:uiPriority w:val="99"/>
    <w:pPr>
      <w:tabs>
        <w:tab w:val="center" w:pos="4513"/>
        <w:tab w:val="right" w:pos="9026"/>
      </w:tabs>
      <w:spacing w:before="0" w:after="0" w:line="240" w:lineRule="auto"/>
    </w:pPr>
  </w:style>
  <w:style w:type="paragraph" w:styleId="15">
    <w:name w:val="Normal (Web)"/>
    <w:basedOn w:val="1"/>
    <w:uiPriority w:val="99"/>
    <w:pPr>
      <w:spacing w:before="100" w:beforeAutospacing="1" w:after="100" w:afterAutospacing="1" w:line="240" w:lineRule="auto"/>
      <w:jc w:val="left"/>
    </w:pPr>
  </w:style>
  <w:style w:type="paragraph" w:styleId="16">
    <w:name w:val="Subtitle"/>
    <w:basedOn w:val="1"/>
    <w:next w:val="1"/>
    <w:qFormat/>
    <w:uiPriority w:val="0"/>
    <w:pPr>
      <w:keepNext/>
      <w:keepLines/>
      <w:spacing w:before="0" w:after="320"/>
    </w:pPr>
    <w:rPr>
      <w:rFonts w:ascii="Arial" w:hAnsi="Arial" w:eastAsia="Arial" w:cs="Arial"/>
      <w:color w:val="666666"/>
      <w:sz w:val="30"/>
      <w:szCs w:val="30"/>
    </w:rPr>
  </w:style>
  <w:style w:type="paragraph" w:styleId="17">
    <w:name w:val="Title"/>
    <w:basedOn w:val="1"/>
    <w:next w:val="1"/>
    <w:qFormat/>
    <w:uiPriority w:val="0"/>
    <w:pPr>
      <w:keepNext/>
      <w:keepLines/>
      <w:jc w:val="center"/>
    </w:pPr>
    <w:rPr>
      <w:b/>
      <w:bCs/>
      <w:sz w:val="32"/>
      <w:szCs w:val="32"/>
    </w:rPr>
  </w:style>
  <w:style w:type="paragraph" w:styleId="18">
    <w:name w:val="toc 1"/>
    <w:basedOn w:val="1"/>
    <w:next w:val="1"/>
    <w:uiPriority w:val="0"/>
  </w:style>
  <w:style w:type="paragraph" w:styleId="19">
    <w:name w:val="toc 2"/>
    <w:basedOn w:val="1"/>
    <w:next w:val="1"/>
    <w:uiPriority w:val="0"/>
    <w:pPr>
      <w:ind w:left="420" w:leftChars="200"/>
    </w:pPr>
  </w:style>
  <w:style w:type="table" w:customStyle="1" w:styleId="20">
    <w:name w:val="TableNormal"/>
    <w:qFormat/>
    <w:uiPriority w:val="0"/>
    <w:tblPr>
      <w:tblCellMar>
        <w:top w:w="100" w:type="dxa"/>
        <w:left w:w="100" w:type="dxa"/>
        <w:bottom w:w="100" w:type="dxa"/>
        <w:right w:w="100" w:type="dxa"/>
      </w:tblCellMar>
    </w:tblPr>
  </w:style>
  <w:style w:type="table" w:customStyle="1" w:styleId="21">
    <w:name w:val="_Style 12"/>
    <w:basedOn w:val="20"/>
    <w:qFormat/>
    <w:uiPriority w:val="0"/>
  </w:style>
  <w:style w:type="table" w:customStyle="1" w:styleId="22">
    <w:name w:val="_Style 13"/>
    <w:basedOn w:val="20"/>
    <w:qFormat/>
    <w:uiPriority w:val="0"/>
  </w:style>
  <w:style w:type="table" w:customStyle="1" w:styleId="23">
    <w:name w:val="_Style 14"/>
    <w:basedOn w:val="20"/>
    <w:uiPriority w:val="0"/>
  </w:style>
  <w:style w:type="table" w:customStyle="1" w:styleId="24">
    <w:name w:val="_Style 15"/>
    <w:basedOn w:val="20"/>
    <w:qFormat/>
    <w:uiPriority w:val="0"/>
  </w:style>
  <w:style w:type="table" w:customStyle="1" w:styleId="25">
    <w:name w:val="_Style 16"/>
    <w:basedOn w:val="20"/>
    <w:qFormat/>
    <w:uiPriority w:val="0"/>
  </w:style>
  <w:style w:type="table" w:customStyle="1" w:styleId="26">
    <w:name w:val="_Style 17"/>
    <w:basedOn w:val="20"/>
    <w:uiPriority w:val="0"/>
  </w:style>
  <w:style w:type="table" w:customStyle="1" w:styleId="27">
    <w:name w:val="_Style 18"/>
    <w:basedOn w:val="20"/>
    <w:uiPriority w:val="0"/>
  </w:style>
  <w:style w:type="table" w:customStyle="1" w:styleId="28">
    <w:name w:val="_Style 19"/>
    <w:basedOn w:val="20"/>
    <w:uiPriority w:val="0"/>
  </w:style>
  <w:style w:type="table" w:customStyle="1" w:styleId="29">
    <w:name w:val="_Style 20"/>
    <w:basedOn w:val="20"/>
    <w:uiPriority w:val="0"/>
  </w:style>
  <w:style w:type="table" w:customStyle="1" w:styleId="30">
    <w:name w:val="_Style 21"/>
    <w:basedOn w:val="20"/>
    <w:qFormat/>
    <w:uiPriority w:val="0"/>
  </w:style>
  <w:style w:type="table" w:customStyle="1" w:styleId="31">
    <w:name w:val="_Style 22"/>
    <w:basedOn w:val="20"/>
    <w:uiPriority w:val="0"/>
  </w:style>
  <w:style w:type="character" w:customStyle="1" w:styleId="32">
    <w:name w:val="Comment Text Char"/>
    <w:basedOn w:val="8"/>
    <w:link w:val="12"/>
    <w:qFormat/>
    <w:uiPriority w:val="99"/>
    <w:rPr>
      <w:sz w:val="20"/>
      <w:szCs w:val="20"/>
    </w:rPr>
  </w:style>
  <w:style w:type="character" w:customStyle="1" w:styleId="33">
    <w:name w:val="Balloon Text Char"/>
    <w:basedOn w:val="8"/>
    <w:link w:val="10"/>
    <w:uiPriority w:val="99"/>
    <w:rPr>
      <w:rFonts w:ascii="Segoe UI" w:hAnsi="Segoe UI" w:cs="Segoe UI"/>
      <w:sz w:val="18"/>
      <w:szCs w:val="18"/>
    </w:rPr>
  </w:style>
  <w:style w:type="character" w:customStyle="1" w:styleId="34">
    <w:name w:val="Header Char_1dbc759c-e5d2-40bf-94f1-04788bb54630"/>
    <w:basedOn w:val="8"/>
    <w:link w:val="14"/>
    <w:uiPriority w:val="99"/>
    <w:rPr>
      <w:lang w:val="en-GB"/>
    </w:rPr>
  </w:style>
  <w:style w:type="character" w:customStyle="1" w:styleId="35">
    <w:name w:val="Footer Char_3aae7a4e-a24a-4c7b-8322-7a874778655f"/>
    <w:basedOn w:val="8"/>
    <w:link w:val="13"/>
    <w:uiPriority w:val="99"/>
    <w:rPr>
      <w:lang w:val="en-GB"/>
    </w:rPr>
  </w:style>
  <w:style w:type="table" w:customStyle="1" w:styleId="36">
    <w:name w:val="_Style 34"/>
    <w:basedOn w:val="9"/>
    <w:uiPriority w:val="0"/>
    <w:tblPr>
      <w:tblCellMar>
        <w:left w:w="115" w:type="dxa"/>
        <w:right w:w="115" w:type="dxa"/>
      </w:tblCellMar>
    </w:tblPr>
  </w:style>
  <w:style w:type="table" w:customStyle="1" w:styleId="37">
    <w:name w:val="_Style 35"/>
    <w:basedOn w:val="9"/>
    <w:qFormat/>
    <w:uiPriority w:val="0"/>
  </w:style>
  <w:style w:type="table" w:customStyle="1" w:styleId="38">
    <w:name w:val="_Style 36"/>
    <w:basedOn w:val="9"/>
    <w:uiPriority w:val="0"/>
    <w:tblPr>
      <w:tblCellMar>
        <w:top w:w="100" w:type="dxa"/>
        <w:left w:w="100" w:type="dxa"/>
        <w:bottom w:w="100" w:type="dxa"/>
        <w:right w:w="100" w:type="dxa"/>
      </w:tblCellMar>
    </w:tblPr>
  </w:style>
  <w:style w:type="table" w:customStyle="1" w:styleId="39">
    <w:name w:val="_Style 37"/>
    <w:basedOn w:val="9"/>
    <w:qFormat/>
    <w:uiPriority w:val="0"/>
  </w:style>
  <w:style w:type="table" w:customStyle="1" w:styleId="40">
    <w:name w:val="_Style 38"/>
    <w:basedOn w:val="9"/>
    <w:uiPriority w:val="0"/>
    <w:tblPr>
      <w:tblCellMar>
        <w:top w:w="100" w:type="dxa"/>
        <w:left w:w="100" w:type="dxa"/>
        <w:bottom w:w="100" w:type="dxa"/>
        <w:right w:w="100" w:type="dxa"/>
      </w:tblCellMar>
    </w:tblPr>
  </w:style>
  <w:style w:type="table" w:customStyle="1" w:styleId="41">
    <w:name w:val="_Style 39"/>
    <w:basedOn w:val="9"/>
    <w:uiPriority w:val="0"/>
    <w:tblPr>
      <w:tblCellMar>
        <w:top w:w="100" w:type="dxa"/>
        <w:left w:w="100" w:type="dxa"/>
        <w:bottom w:w="100" w:type="dxa"/>
        <w:right w:w="100" w:type="dxa"/>
      </w:tblCellMar>
    </w:tblPr>
  </w:style>
  <w:style w:type="table" w:customStyle="1" w:styleId="42">
    <w:name w:val="_Style 40"/>
    <w:basedOn w:val="9"/>
    <w:qFormat/>
    <w:uiPriority w:val="0"/>
  </w:style>
  <w:style w:type="table" w:customStyle="1" w:styleId="43">
    <w:name w:val="_Style 41"/>
    <w:basedOn w:val="9"/>
    <w:uiPriority w:val="0"/>
    <w:tblPr>
      <w:tblCellMar>
        <w:top w:w="100" w:type="dxa"/>
        <w:left w:w="100" w:type="dxa"/>
        <w:bottom w:w="100" w:type="dxa"/>
        <w:right w:w="100" w:type="dxa"/>
      </w:tblCellMar>
    </w:tblPr>
  </w:style>
  <w:style w:type="table" w:customStyle="1" w:styleId="44">
    <w:name w:val="_Style 42"/>
    <w:basedOn w:val="9"/>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DpZQU66bAc5yssa5cXJ0vY/yrw==">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</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20</Pages>
  <Words>3604</Words>
  <Characters>20943</Characters>
  <Paragraphs>357</Paragraphs>
  <TotalTime>2</TotalTime>
  <ScaleCrop>false</ScaleCrop>
  <LinksUpToDate>false</LinksUpToDate>
  <CharactersWithSpaces>24427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2026-03-16T08:07:00Z</dcterms:created>
  <dcterms:modified xsi:type="dcterms:W3CDTF">2026-03-17T17:45:58Z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032BDD241E044BB6BF247CE56356701E_13</vt:lpwstr>
  </property>
  <property fmtid="{D5CDD505-2E9C-101B-9397-08002B2CF9AE}" pid="3" name="KSOProductBuildVer">
    <vt:lpwstr>1033-12.2.0.23196</vt:lpwstr>
  </property>
</Properties>
</file>