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028AF" w14:textId="78EEB409" w:rsidR="00AE577C" w:rsidRPr="005340B4" w:rsidRDefault="005340B4" w:rsidP="00AE577C">
      <w:pPr>
        <w:pStyle w:val="Title"/>
        <w:jc w:val="center"/>
        <w:rPr>
          <w:color w:val="000000" w:themeColor="text1"/>
          <w:sz w:val="32"/>
          <w:szCs w:val="32"/>
          <w:lang w:val="en-GB"/>
        </w:rPr>
      </w:pPr>
      <w:r>
        <w:rPr>
          <w:noProof/>
          <w:color w:val="000000" w:themeColor="text1"/>
          <w:sz w:val="32"/>
          <w:szCs w:val="32"/>
          <w:lang w:val="en-GB"/>
        </w:rPr>
        <w:drawing>
          <wp:anchor distT="0" distB="0" distL="114300" distR="114300" simplePos="0" relativeHeight="251658240" behindDoc="1" locked="0" layoutInCell="1" allowOverlap="1" wp14:anchorId="757C7E30" wp14:editId="0DDF9DE7">
            <wp:simplePos x="0" y="0"/>
            <wp:positionH relativeFrom="column">
              <wp:posOffset>1080655</wp:posOffset>
            </wp:positionH>
            <wp:positionV relativeFrom="paragraph">
              <wp:posOffset>0</wp:posOffset>
            </wp:positionV>
            <wp:extent cx="3572510" cy="1231265"/>
            <wp:effectExtent l="0" t="0" r="0" b="0"/>
            <wp:wrapNone/>
            <wp:docPr id="20077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2510" cy="1231265"/>
                    </a:xfrm>
                    <a:prstGeom prst="rect">
                      <a:avLst/>
                    </a:prstGeom>
                    <a:noFill/>
                  </pic:spPr>
                </pic:pic>
              </a:graphicData>
            </a:graphic>
          </wp:anchor>
        </w:drawing>
      </w:r>
    </w:p>
    <w:p w14:paraId="538B4E3F" w14:textId="77777777" w:rsidR="005340B4" w:rsidRDefault="005340B4" w:rsidP="00E16900">
      <w:pPr>
        <w:rPr>
          <w:b/>
          <w:bCs/>
          <w:sz w:val="36"/>
          <w:szCs w:val="36"/>
          <w:lang w:val="en-GB"/>
        </w:rPr>
      </w:pPr>
    </w:p>
    <w:p w14:paraId="65AC604C" w14:textId="77777777" w:rsidR="005340B4" w:rsidRDefault="005340B4" w:rsidP="00E16900">
      <w:pPr>
        <w:rPr>
          <w:b/>
          <w:bCs/>
          <w:sz w:val="36"/>
          <w:szCs w:val="36"/>
          <w:lang w:val="en-GB"/>
        </w:rPr>
      </w:pPr>
    </w:p>
    <w:p w14:paraId="4875B9CC" w14:textId="77777777" w:rsidR="005340B4" w:rsidRDefault="005340B4" w:rsidP="00E16900">
      <w:pPr>
        <w:rPr>
          <w:b/>
          <w:bCs/>
          <w:sz w:val="36"/>
          <w:szCs w:val="36"/>
          <w:lang w:val="en-GB"/>
        </w:rPr>
      </w:pPr>
    </w:p>
    <w:p w14:paraId="3E9A95F2" w14:textId="77777777" w:rsidR="005340B4" w:rsidRDefault="005340B4" w:rsidP="00E16900">
      <w:pPr>
        <w:rPr>
          <w:b/>
          <w:bCs/>
          <w:sz w:val="36"/>
          <w:szCs w:val="36"/>
          <w:lang w:val="en-GB"/>
        </w:rPr>
      </w:pPr>
    </w:p>
    <w:p w14:paraId="358E2549" w14:textId="1435A43D" w:rsidR="00550662" w:rsidRPr="00475A11" w:rsidRDefault="00AD255A" w:rsidP="001D2204">
      <w:pPr>
        <w:ind w:left="3119" w:hanging="2977"/>
        <w:rPr>
          <w:sz w:val="32"/>
          <w:szCs w:val="32"/>
          <w:lang w:val="en-GB"/>
        </w:rPr>
      </w:pPr>
      <w:r w:rsidRPr="00475A11">
        <w:rPr>
          <w:b/>
          <w:bCs/>
          <w:sz w:val="32"/>
          <w:szCs w:val="32"/>
          <w:u w:val="single"/>
          <w:lang w:val="en-GB"/>
        </w:rPr>
        <w:t>Name</w:t>
      </w:r>
      <w:r w:rsidRPr="00475A11">
        <w:rPr>
          <w:sz w:val="32"/>
          <w:szCs w:val="32"/>
          <w:u w:val="single"/>
          <w:lang w:val="en-GB"/>
        </w:rPr>
        <w:t>:</w:t>
      </w:r>
      <w:r w:rsidR="00937011" w:rsidRPr="00475A11">
        <w:rPr>
          <w:sz w:val="32"/>
          <w:szCs w:val="32"/>
          <w:lang w:val="en-GB"/>
        </w:rPr>
        <w:t xml:space="preserve"> </w:t>
      </w:r>
      <w:r w:rsidR="00B55225" w:rsidRPr="00475A11">
        <w:rPr>
          <w:sz w:val="32"/>
          <w:szCs w:val="32"/>
          <w:lang w:val="en-GB"/>
        </w:rPr>
        <w:t xml:space="preserve">                 </w:t>
      </w:r>
      <w:r w:rsidR="00765269">
        <w:rPr>
          <w:sz w:val="32"/>
          <w:szCs w:val="32"/>
          <w:lang w:val="en-GB"/>
        </w:rPr>
        <w:t xml:space="preserve">    </w:t>
      </w:r>
      <w:r w:rsidR="00B55225" w:rsidRPr="00475A11">
        <w:rPr>
          <w:sz w:val="32"/>
          <w:szCs w:val="32"/>
          <w:lang w:val="en-GB"/>
        </w:rPr>
        <w:t xml:space="preserve"> </w:t>
      </w:r>
      <w:r w:rsidRPr="00475A11">
        <w:rPr>
          <w:sz w:val="32"/>
          <w:szCs w:val="32"/>
          <w:lang w:val="en-GB"/>
        </w:rPr>
        <w:t xml:space="preserve">Patel Krutiben </w:t>
      </w:r>
      <w:proofErr w:type="spellStart"/>
      <w:r w:rsidR="0032511A" w:rsidRPr="00475A11">
        <w:rPr>
          <w:sz w:val="32"/>
          <w:szCs w:val="32"/>
          <w:lang w:val="en-GB"/>
        </w:rPr>
        <w:t>Rajeshbhai</w:t>
      </w:r>
      <w:proofErr w:type="spellEnd"/>
    </w:p>
    <w:p w14:paraId="3400F8FF" w14:textId="60CB9F8D" w:rsidR="00AD255A" w:rsidRPr="00475A11" w:rsidRDefault="00AD255A" w:rsidP="001D2204">
      <w:pPr>
        <w:ind w:firstLine="142"/>
        <w:rPr>
          <w:sz w:val="32"/>
          <w:szCs w:val="32"/>
          <w:lang w:val="en-GB"/>
        </w:rPr>
      </w:pPr>
      <w:r w:rsidRPr="00475A11">
        <w:rPr>
          <w:b/>
          <w:bCs/>
          <w:sz w:val="32"/>
          <w:szCs w:val="32"/>
          <w:u w:val="single"/>
          <w:lang w:val="en-GB"/>
        </w:rPr>
        <w:t>Student Id</w:t>
      </w:r>
      <w:r w:rsidRPr="00475A11">
        <w:rPr>
          <w:sz w:val="32"/>
          <w:szCs w:val="32"/>
          <w:u w:val="single"/>
          <w:lang w:val="en-GB"/>
        </w:rPr>
        <w:t>:</w:t>
      </w:r>
      <w:r w:rsidR="00937011" w:rsidRPr="00475A11">
        <w:rPr>
          <w:sz w:val="32"/>
          <w:szCs w:val="32"/>
          <w:lang w:val="en-GB"/>
        </w:rPr>
        <w:t xml:space="preserve"> </w:t>
      </w:r>
      <w:r w:rsidR="00B55225" w:rsidRPr="00475A11">
        <w:rPr>
          <w:sz w:val="32"/>
          <w:szCs w:val="32"/>
          <w:lang w:val="en-GB"/>
        </w:rPr>
        <w:t xml:space="preserve">          </w:t>
      </w:r>
      <w:r w:rsidR="00765269">
        <w:rPr>
          <w:sz w:val="32"/>
          <w:szCs w:val="32"/>
          <w:lang w:val="en-GB"/>
        </w:rPr>
        <w:t xml:space="preserve">    </w:t>
      </w:r>
      <w:r w:rsidR="00F90B3B" w:rsidRPr="00475A11">
        <w:rPr>
          <w:sz w:val="32"/>
          <w:szCs w:val="32"/>
          <w:lang w:val="en-GB"/>
        </w:rPr>
        <w:t>2506595</w:t>
      </w:r>
    </w:p>
    <w:p w14:paraId="3D4CE70F" w14:textId="234B329B" w:rsidR="00DD3D4A" w:rsidRPr="00475A11" w:rsidRDefault="00F90B3B" w:rsidP="001D2204">
      <w:pPr>
        <w:ind w:left="3119" w:hanging="2977"/>
        <w:rPr>
          <w:sz w:val="32"/>
          <w:szCs w:val="32"/>
          <w:lang w:val="en-GB"/>
        </w:rPr>
      </w:pPr>
      <w:r w:rsidRPr="00475A11">
        <w:rPr>
          <w:b/>
          <w:bCs/>
          <w:sz w:val="32"/>
          <w:szCs w:val="32"/>
          <w:u w:val="single"/>
          <w:lang w:val="en-GB"/>
        </w:rPr>
        <w:t>Module</w:t>
      </w:r>
      <w:r w:rsidR="001C00F0" w:rsidRPr="00475A11">
        <w:rPr>
          <w:sz w:val="32"/>
          <w:szCs w:val="32"/>
          <w:u w:val="single"/>
          <w:lang w:val="en-GB"/>
        </w:rPr>
        <w:t>:</w:t>
      </w:r>
      <w:r w:rsidR="001C00F0" w:rsidRPr="00475A11">
        <w:rPr>
          <w:sz w:val="32"/>
          <w:szCs w:val="32"/>
          <w:lang w:val="en-GB"/>
        </w:rPr>
        <w:t xml:space="preserve"> </w:t>
      </w:r>
      <w:r w:rsidR="00B55225" w:rsidRPr="00475A11">
        <w:rPr>
          <w:sz w:val="32"/>
          <w:szCs w:val="32"/>
          <w:lang w:val="en-GB"/>
        </w:rPr>
        <w:t xml:space="preserve">              </w:t>
      </w:r>
      <w:r w:rsidR="00765269">
        <w:rPr>
          <w:sz w:val="32"/>
          <w:szCs w:val="32"/>
          <w:lang w:val="en-GB"/>
        </w:rPr>
        <w:t xml:space="preserve">  </w:t>
      </w:r>
      <w:r w:rsidR="00765269">
        <w:rPr>
          <w:sz w:val="32"/>
          <w:szCs w:val="32"/>
          <w:lang w:val="en-GB"/>
        </w:rPr>
        <w:tab/>
      </w:r>
      <w:r w:rsidR="00923D0A" w:rsidRPr="00475A11">
        <w:rPr>
          <w:sz w:val="32"/>
          <w:szCs w:val="32"/>
          <w:lang w:val="en-GB"/>
        </w:rPr>
        <w:t xml:space="preserve">Community </w:t>
      </w:r>
      <w:r w:rsidR="00362FBB" w:rsidRPr="00475A11">
        <w:rPr>
          <w:sz w:val="32"/>
          <w:szCs w:val="32"/>
          <w:lang w:val="en-GB"/>
        </w:rPr>
        <w:t xml:space="preserve">Care </w:t>
      </w:r>
      <w:r w:rsidR="00CA3338">
        <w:rPr>
          <w:sz w:val="32"/>
          <w:szCs w:val="32"/>
          <w:lang w:val="en-GB"/>
        </w:rPr>
        <w:t>a</w:t>
      </w:r>
      <w:r w:rsidR="00362FBB" w:rsidRPr="00475A11">
        <w:rPr>
          <w:sz w:val="32"/>
          <w:szCs w:val="32"/>
          <w:lang w:val="en-GB"/>
        </w:rPr>
        <w:t xml:space="preserve">nd Management </w:t>
      </w:r>
      <w:r w:rsidR="00CA3338">
        <w:rPr>
          <w:sz w:val="32"/>
          <w:szCs w:val="32"/>
          <w:lang w:val="en-GB"/>
        </w:rPr>
        <w:t>o</w:t>
      </w:r>
      <w:r w:rsidR="00362FBB" w:rsidRPr="00475A11">
        <w:rPr>
          <w:sz w:val="32"/>
          <w:szCs w:val="32"/>
          <w:lang w:val="en-GB"/>
        </w:rPr>
        <w:t>f</w:t>
      </w:r>
      <w:r w:rsidR="00A658B9" w:rsidRPr="00475A11">
        <w:rPr>
          <w:sz w:val="32"/>
          <w:szCs w:val="32"/>
          <w:lang w:val="en-GB"/>
        </w:rPr>
        <w:t xml:space="preserve"> </w:t>
      </w:r>
      <w:r w:rsidR="00362FBB" w:rsidRPr="00475A11">
        <w:rPr>
          <w:sz w:val="32"/>
          <w:szCs w:val="32"/>
          <w:lang w:val="en-GB"/>
        </w:rPr>
        <w:t xml:space="preserve">Longer Term Conditions </w:t>
      </w:r>
      <w:r w:rsidR="008C0271" w:rsidRPr="00475A11">
        <w:rPr>
          <w:sz w:val="32"/>
          <w:szCs w:val="32"/>
          <w:lang w:val="en-GB"/>
        </w:rPr>
        <w:t>(</w:t>
      </w:r>
      <w:r w:rsidR="00362FBB" w:rsidRPr="00475A11">
        <w:rPr>
          <w:sz w:val="32"/>
          <w:szCs w:val="32"/>
          <w:lang w:val="en-GB"/>
        </w:rPr>
        <w:t>LCHS</w:t>
      </w:r>
      <w:r w:rsidR="00A658B9" w:rsidRPr="00475A11">
        <w:rPr>
          <w:sz w:val="32"/>
          <w:szCs w:val="32"/>
          <w:lang w:val="en-GB"/>
        </w:rPr>
        <w:t>7003)</w:t>
      </w:r>
      <w:r w:rsidR="00D56576" w:rsidRPr="00475A11">
        <w:rPr>
          <w:sz w:val="32"/>
          <w:szCs w:val="32"/>
          <w:lang w:val="en-GB"/>
        </w:rPr>
        <w:t xml:space="preserve">  </w:t>
      </w:r>
      <w:r w:rsidR="009C22E8" w:rsidRPr="00475A11">
        <w:rPr>
          <w:sz w:val="32"/>
          <w:szCs w:val="32"/>
          <w:lang w:val="en-GB"/>
        </w:rPr>
        <w:t xml:space="preserve"> </w:t>
      </w:r>
    </w:p>
    <w:p w14:paraId="0665B853" w14:textId="46B8CD3F" w:rsidR="004550E8" w:rsidRPr="00475A11" w:rsidRDefault="00475A11" w:rsidP="00A658B9">
      <w:pPr>
        <w:tabs>
          <w:tab w:val="left" w:pos="142"/>
        </w:tabs>
        <w:ind w:left="3119" w:hanging="3119"/>
        <w:rPr>
          <w:sz w:val="32"/>
          <w:szCs w:val="32"/>
          <w:lang w:val="en-GB"/>
        </w:rPr>
      </w:pPr>
      <w:r>
        <w:rPr>
          <w:b/>
          <w:bCs/>
          <w:sz w:val="32"/>
          <w:szCs w:val="32"/>
          <w:lang w:val="en-GB"/>
        </w:rPr>
        <w:t xml:space="preserve"> </w:t>
      </w:r>
      <w:r w:rsidR="00AE6DEF" w:rsidRPr="00475A11">
        <w:rPr>
          <w:b/>
          <w:bCs/>
          <w:sz w:val="32"/>
          <w:szCs w:val="32"/>
          <w:u w:val="single"/>
          <w:lang w:val="en-GB"/>
        </w:rPr>
        <w:t>Lecture’s Name</w:t>
      </w:r>
      <w:r w:rsidR="00AE6DEF" w:rsidRPr="00475A11">
        <w:rPr>
          <w:sz w:val="32"/>
          <w:szCs w:val="32"/>
          <w:u w:val="single"/>
          <w:lang w:val="en-GB"/>
        </w:rPr>
        <w:t>:</w:t>
      </w:r>
      <w:r w:rsidR="00923D0A" w:rsidRPr="00475A11">
        <w:rPr>
          <w:sz w:val="32"/>
          <w:szCs w:val="32"/>
          <w:lang w:val="en-GB"/>
        </w:rPr>
        <w:t xml:space="preserve">   </w:t>
      </w:r>
      <w:r w:rsidR="00765269">
        <w:rPr>
          <w:sz w:val="32"/>
          <w:szCs w:val="32"/>
          <w:lang w:val="en-GB"/>
        </w:rPr>
        <w:t xml:space="preserve">    </w:t>
      </w:r>
      <w:r w:rsidR="00D86F5E" w:rsidRPr="00475A11">
        <w:rPr>
          <w:sz w:val="32"/>
          <w:szCs w:val="32"/>
          <w:lang w:val="en-GB"/>
        </w:rPr>
        <w:t>Dr Brian Mashumb</w:t>
      </w:r>
      <w:r w:rsidR="007D47A2" w:rsidRPr="00475A11">
        <w:rPr>
          <w:sz w:val="32"/>
          <w:szCs w:val="32"/>
          <w:lang w:val="en-GB"/>
        </w:rPr>
        <w:t>a</w:t>
      </w:r>
    </w:p>
    <w:p w14:paraId="313A6E5E" w14:textId="4DFE87B0" w:rsidR="00550662" w:rsidRPr="00997780" w:rsidRDefault="007D47A2" w:rsidP="00997780">
      <w:pPr>
        <w:ind w:left="3119" w:hanging="3119"/>
        <w:rPr>
          <w:sz w:val="36"/>
          <w:szCs w:val="36"/>
          <w:lang w:val="en-GB"/>
        </w:rPr>
      </w:pPr>
      <w:r w:rsidRPr="00475A11">
        <w:rPr>
          <w:b/>
          <w:bCs/>
          <w:sz w:val="32"/>
          <w:szCs w:val="32"/>
          <w:u w:val="single"/>
          <w:lang w:val="en-GB"/>
        </w:rPr>
        <w:t>Assignment Title</w:t>
      </w:r>
      <w:r w:rsidRPr="00475A11">
        <w:rPr>
          <w:sz w:val="32"/>
          <w:szCs w:val="32"/>
          <w:u w:val="single"/>
          <w:lang w:val="en-GB"/>
        </w:rPr>
        <w:t>:</w:t>
      </w:r>
      <w:r w:rsidR="00937011" w:rsidRPr="00475A11">
        <w:rPr>
          <w:sz w:val="32"/>
          <w:szCs w:val="32"/>
          <w:lang w:val="en-GB"/>
        </w:rPr>
        <w:t xml:space="preserve"> </w:t>
      </w:r>
      <w:r w:rsidR="005C0326" w:rsidRPr="00475A11">
        <w:rPr>
          <w:sz w:val="32"/>
          <w:szCs w:val="32"/>
          <w:lang w:val="en-GB"/>
        </w:rPr>
        <w:t xml:space="preserve">Managing Types 2 Diabetes Mellitus </w:t>
      </w:r>
      <w:r w:rsidR="00397685" w:rsidRPr="00475A11">
        <w:rPr>
          <w:sz w:val="32"/>
          <w:szCs w:val="32"/>
          <w:lang w:val="en-GB"/>
        </w:rPr>
        <w:t xml:space="preserve">   </w:t>
      </w:r>
      <w:r w:rsidR="00051285" w:rsidRPr="00475A11">
        <w:rPr>
          <w:sz w:val="32"/>
          <w:szCs w:val="32"/>
          <w:lang w:val="en-GB"/>
        </w:rPr>
        <w:t xml:space="preserve">    </w:t>
      </w:r>
      <w:r w:rsidR="005C0326" w:rsidRPr="00475A11">
        <w:rPr>
          <w:sz w:val="32"/>
          <w:szCs w:val="32"/>
          <w:lang w:val="en-GB"/>
        </w:rPr>
        <w:t xml:space="preserve">Among </w:t>
      </w:r>
      <w:r w:rsidR="00B817C3" w:rsidRPr="00475A11">
        <w:rPr>
          <w:sz w:val="32"/>
          <w:szCs w:val="32"/>
          <w:lang w:val="en-GB"/>
        </w:rPr>
        <w:t>the</w:t>
      </w:r>
      <w:r w:rsidR="005C0326" w:rsidRPr="00475A11">
        <w:rPr>
          <w:sz w:val="32"/>
          <w:szCs w:val="32"/>
          <w:lang w:val="en-GB"/>
        </w:rPr>
        <w:t xml:space="preserve"> </w:t>
      </w:r>
      <w:r w:rsidR="00397685" w:rsidRPr="00475A11">
        <w:rPr>
          <w:sz w:val="32"/>
          <w:szCs w:val="32"/>
          <w:lang w:val="en-GB"/>
        </w:rPr>
        <w:t>Older Population</w:t>
      </w:r>
    </w:p>
    <w:sdt>
      <w:sdtPr>
        <w:rPr>
          <w:rFonts w:ascii="Arial" w:eastAsiaTheme="minorEastAsia" w:hAnsi="Arial" w:cstheme="minorBidi"/>
          <w:b w:val="0"/>
          <w:bCs w:val="0"/>
          <w:color w:val="auto"/>
          <w:sz w:val="22"/>
          <w:szCs w:val="22"/>
        </w:rPr>
        <w:id w:val="-635575684"/>
        <w:docPartObj>
          <w:docPartGallery w:val="Table of Contents"/>
          <w:docPartUnique/>
        </w:docPartObj>
      </w:sdtPr>
      <w:sdtEndPr>
        <w:rPr>
          <w:noProof/>
        </w:rPr>
      </w:sdtEndPr>
      <w:sdtContent>
        <w:p w14:paraId="1520830E" w14:textId="119DC804" w:rsidR="00B1588F" w:rsidRDefault="00B1588F">
          <w:pPr>
            <w:pStyle w:val="TOCHeading"/>
          </w:pPr>
          <w:r>
            <w:t>Table of Contents</w:t>
          </w:r>
        </w:p>
        <w:p w14:paraId="69AF195B" w14:textId="536B798B" w:rsidR="00B1588F" w:rsidRDefault="00B1588F">
          <w:pPr>
            <w:pStyle w:val="TOC1"/>
            <w:tabs>
              <w:tab w:val="right" w:leader="dot" w:pos="9016"/>
            </w:tabs>
            <w:rPr>
              <w:rFonts w:asciiTheme="minorHAnsi" w:hAnsiTheme="minorHAnsi"/>
              <w:noProof/>
              <w:kern w:val="2"/>
              <w:sz w:val="24"/>
              <w:szCs w:val="24"/>
              <w:lang w:eastAsia="en-IN"/>
              <w14:ligatures w14:val="standardContextual"/>
            </w:rPr>
          </w:pPr>
          <w:r>
            <w:fldChar w:fldCharType="begin"/>
          </w:r>
          <w:r>
            <w:instrText xml:space="preserve"> TOC \o "1-3" \h \z \u </w:instrText>
          </w:r>
          <w:r>
            <w:fldChar w:fldCharType="separate"/>
          </w:r>
          <w:hyperlink w:anchor="_Toc213963910" w:history="1">
            <w:r w:rsidRPr="00EE6BBA">
              <w:rPr>
                <w:rStyle w:val="Hyperlink"/>
                <w:noProof/>
                <w:lang w:val="en-GB"/>
              </w:rPr>
              <w:t>What is Diabetes Mellitus?</w:t>
            </w:r>
            <w:r>
              <w:rPr>
                <w:noProof/>
                <w:webHidden/>
              </w:rPr>
              <w:tab/>
            </w:r>
            <w:r>
              <w:rPr>
                <w:noProof/>
                <w:webHidden/>
              </w:rPr>
              <w:fldChar w:fldCharType="begin"/>
            </w:r>
            <w:r>
              <w:rPr>
                <w:noProof/>
                <w:webHidden/>
              </w:rPr>
              <w:instrText xml:space="preserve"> PAGEREF _Toc213963910 \h </w:instrText>
            </w:r>
            <w:r>
              <w:rPr>
                <w:noProof/>
                <w:webHidden/>
              </w:rPr>
            </w:r>
            <w:r>
              <w:rPr>
                <w:noProof/>
                <w:webHidden/>
              </w:rPr>
              <w:fldChar w:fldCharType="separate"/>
            </w:r>
            <w:r>
              <w:rPr>
                <w:noProof/>
                <w:webHidden/>
              </w:rPr>
              <w:t>4</w:t>
            </w:r>
            <w:r>
              <w:rPr>
                <w:noProof/>
                <w:webHidden/>
              </w:rPr>
              <w:fldChar w:fldCharType="end"/>
            </w:r>
          </w:hyperlink>
        </w:p>
        <w:p w14:paraId="7D6C9F3B" w14:textId="167359D0"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11" w:history="1">
            <w:r w:rsidRPr="00EE6BBA">
              <w:rPr>
                <w:rStyle w:val="Hyperlink"/>
                <w:noProof/>
                <w:lang w:val="en-GB"/>
              </w:rPr>
              <w:t>Epidemiology of T2DM</w:t>
            </w:r>
            <w:r>
              <w:rPr>
                <w:noProof/>
                <w:webHidden/>
              </w:rPr>
              <w:tab/>
            </w:r>
            <w:r>
              <w:rPr>
                <w:noProof/>
                <w:webHidden/>
              </w:rPr>
              <w:fldChar w:fldCharType="begin"/>
            </w:r>
            <w:r>
              <w:rPr>
                <w:noProof/>
                <w:webHidden/>
              </w:rPr>
              <w:instrText xml:space="preserve"> PAGEREF _Toc213963911 \h </w:instrText>
            </w:r>
            <w:r>
              <w:rPr>
                <w:noProof/>
                <w:webHidden/>
              </w:rPr>
            </w:r>
            <w:r>
              <w:rPr>
                <w:noProof/>
                <w:webHidden/>
              </w:rPr>
              <w:fldChar w:fldCharType="separate"/>
            </w:r>
            <w:r>
              <w:rPr>
                <w:noProof/>
                <w:webHidden/>
              </w:rPr>
              <w:t>4</w:t>
            </w:r>
            <w:r>
              <w:rPr>
                <w:noProof/>
                <w:webHidden/>
              </w:rPr>
              <w:fldChar w:fldCharType="end"/>
            </w:r>
          </w:hyperlink>
        </w:p>
        <w:p w14:paraId="4B259F35" w14:textId="2D1378AB"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12" w:history="1">
            <w:r w:rsidRPr="00EE6BBA">
              <w:rPr>
                <w:rStyle w:val="Hyperlink"/>
                <w:noProof/>
                <w:lang w:val="en-GB"/>
              </w:rPr>
              <w:t>Signs and Symptoms of T2DM</w:t>
            </w:r>
            <w:r>
              <w:rPr>
                <w:noProof/>
                <w:webHidden/>
              </w:rPr>
              <w:tab/>
            </w:r>
            <w:r>
              <w:rPr>
                <w:noProof/>
                <w:webHidden/>
              </w:rPr>
              <w:fldChar w:fldCharType="begin"/>
            </w:r>
            <w:r>
              <w:rPr>
                <w:noProof/>
                <w:webHidden/>
              </w:rPr>
              <w:instrText xml:space="preserve"> PAGEREF _Toc213963912 \h </w:instrText>
            </w:r>
            <w:r>
              <w:rPr>
                <w:noProof/>
                <w:webHidden/>
              </w:rPr>
            </w:r>
            <w:r>
              <w:rPr>
                <w:noProof/>
                <w:webHidden/>
              </w:rPr>
              <w:fldChar w:fldCharType="separate"/>
            </w:r>
            <w:r>
              <w:rPr>
                <w:noProof/>
                <w:webHidden/>
              </w:rPr>
              <w:t>4</w:t>
            </w:r>
            <w:r>
              <w:rPr>
                <w:noProof/>
                <w:webHidden/>
              </w:rPr>
              <w:fldChar w:fldCharType="end"/>
            </w:r>
          </w:hyperlink>
        </w:p>
        <w:p w14:paraId="7D5988FF" w14:textId="78C0EA85"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13" w:history="1">
            <w:r w:rsidRPr="00EE6BBA">
              <w:rPr>
                <w:rStyle w:val="Hyperlink"/>
                <w:noProof/>
                <w:lang w:val="en-GB"/>
              </w:rPr>
              <w:t>Aetiology of T2DM</w:t>
            </w:r>
            <w:r>
              <w:rPr>
                <w:noProof/>
                <w:webHidden/>
              </w:rPr>
              <w:tab/>
            </w:r>
            <w:r>
              <w:rPr>
                <w:noProof/>
                <w:webHidden/>
              </w:rPr>
              <w:fldChar w:fldCharType="begin"/>
            </w:r>
            <w:r>
              <w:rPr>
                <w:noProof/>
                <w:webHidden/>
              </w:rPr>
              <w:instrText xml:space="preserve"> PAGEREF _Toc213963913 \h </w:instrText>
            </w:r>
            <w:r>
              <w:rPr>
                <w:noProof/>
                <w:webHidden/>
              </w:rPr>
            </w:r>
            <w:r>
              <w:rPr>
                <w:noProof/>
                <w:webHidden/>
              </w:rPr>
              <w:fldChar w:fldCharType="separate"/>
            </w:r>
            <w:r>
              <w:rPr>
                <w:noProof/>
                <w:webHidden/>
              </w:rPr>
              <w:t>5</w:t>
            </w:r>
            <w:r>
              <w:rPr>
                <w:noProof/>
                <w:webHidden/>
              </w:rPr>
              <w:fldChar w:fldCharType="end"/>
            </w:r>
          </w:hyperlink>
        </w:p>
        <w:p w14:paraId="6EE9892F" w14:textId="2BC1AEC5" w:rsidR="00B1588F" w:rsidRDefault="00B1588F">
          <w:pPr>
            <w:pStyle w:val="TOC2"/>
            <w:tabs>
              <w:tab w:val="right" w:leader="dot" w:pos="9016"/>
            </w:tabs>
            <w:rPr>
              <w:rFonts w:asciiTheme="minorHAnsi" w:hAnsiTheme="minorHAnsi"/>
              <w:noProof/>
              <w:kern w:val="2"/>
              <w:sz w:val="24"/>
              <w:szCs w:val="24"/>
              <w:lang w:eastAsia="en-IN"/>
              <w14:ligatures w14:val="standardContextual"/>
            </w:rPr>
          </w:pPr>
          <w:hyperlink w:anchor="_Toc213963914" w:history="1">
            <w:r w:rsidRPr="00EE6BBA">
              <w:rPr>
                <w:rStyle w:val="Hyperlink"/>
                <w:noProof/>
                <w:lang w:val="en-GB"/>
              </w:rPr>
              <w:t>Ageing</w:t>
            </w:r>
            <w:r>
              <w:rPr>
                <w:noProof/>
                <w:webHidden/>
              </w:rPr>
              <w:tab/>
            </w:r>
            <w:r>
              <w:rPr>
                <w:noProof/>
                <w:webHidden/>
              </w:rPr>
              <w:fldChar w:fldCharType="begin"/>
            </w:r>
            <w:r>
              <w:rPr>
                <w:noProof/>
                <w:webHidden/>
              </w:rPr>
              <w:instrText xml:space="preserve"> PAGEREF _Toc213963914 \h </w:instrText>
            </w:r>
            <w:r>
              <w:rPr>
                <w:noProof/>
                <w:webHidden/>
              </w:rPr>
            </w:r>
            <w:r>
              <w:rPr>
                <w:noProof/>
                <w:webHidden/>
              </w:rPr>
              <w:fldChar w:fldCharType="separate"/>
            </w:r>
            <w:r>
              <w:rPr>
                <w:noProof/>
                <w:webHidden/>
              </w:rPr>
              <w:t>6</w:t>
            </w:r>
            <w:r>
              <w:rPr>
                <w:noProof/>
                <w:webHidden/>
              </w:rPr>
              <w:fldChar w:fldCharType="end"/>
            </w:r>
          </w:hyperlink>
        </w:p>
        <w:p w14:paraId="1040B54E" w14:textId="6EAF621D" w:rsidR="00B1588F" w:rsidRDefault="00B1588F">
          <w:pPr>
            <w:pStyle w:val="TOC2"/>
            <w:tabs>
              <w:tab w:val="right" w:leader="dot" w:pos="9016"/>
            </w:tabs>
            <w:rPr>
              <w:rFonts w:asciiTheme="minorHAnsi" w:hAnsiTheme="minorHAnsi"/>
              <w:noProof/>
              <w:kern w:val="2"/>
              <w:sz w:val="24"/>
              <w:szCs w:val="24"/>
              <w:lang w:eastAsia="en-IN"/>
              <w14:ligatures w14:val="standardContextual"/>
            </w:rPr>
          </w:pPr>
          <w:hyperlink w:anchor="_Toc213963915" w:history="1">
            <w:r w:rsidRPr="00EE6BBA">
              <w:rPr>
                <w:rStyle w:val="Hyperlink"/>
                <w:noProof/>
                <w:lang w:val="en-GB"/>
              </w:rPr>
              <w:t>Genetic</w:t>
            </w:r>
            <w:r>
              <w:rPr>
                <w:noProof/>
                <w:webHidden/>
              </w:rPr>
              <w:tab/>
            </w:r>
            <w:r>
              <w:rPr>
                <w:noProof/>
                <w:webHidden/>
              </w:rPr>
              <w:fldChar w:fldCharType="begin"/>
            </w:r>
            <w:r>
              <w:rPr>
                <w:noProof/>
                <w:webHidden/>
              </w:rPr>
              <w:instrText xml:space="preserve"> PAGEREF _Toc213963915 \h </w:instrText>
            </w:r>
            <w:r>
              <w:rPr>
                <w:noProof/>
                <w:webHidden/>
              </w:rPr>
            </w:r>
            <w:r>
              <w:rPr>
                <w:noProof/>
                <w:webHidden/>
              </w:rPr>
              <w:fldChar w:fldCharType="separate"/>
            </w:r>
            <w:r>
              <w:rPr>
                <w:noProof/>
                <w:webHidden/>
              </w:rPr>
              <w:t>6</w:t>
            </w:r>
            <w:r>
              <w:rPr>
                <w:noProof/>
                <w:webHidden/>
              </w:rPr>
              <w:fldChar w:fldCharType="end"/>
            </w:r>
          </w:hyperlink>
        </w:p>
        <w:p w14:paraId="1D783419" w14:textId="02FEC0B9" w:rsidR="00B1588F" w:rsidRDefault="00B1588F">
          <w:pPr>
            <w:pStyle w:val="TOC2"/>
            <w:tabs>
              <w:tab w:val="right" w:leader="dot" w:pos="9016"/>
            </w:tabs>
            <w:rPr>
              <w:rFonts w:asciiTheme="minorHAnsi" w:hAnsiTheme="minorHAnsi"/>
              <w:noProof/>
              <w:kern w:val="2"/>
              <w:sz w:val="24"/>
              <w:szCs w:val="24"/>
              <w:lang w:eastAsia="en-IN"/>
              <w14:ligatures w14:val="standardContextual"/>
            </w:rPr>
          </w:pPr>
          <w:hyperlink w:anchor="_Toc213963916" w:history="1">
            <w:r w:rsidRPr="00EE6BBA">
              <w:rPr>
                <w:rStyle w:val="Hyperlink"/>
                <w:noProof/>
                <w:lang w:val="en-GB"/>
              </w:rPr>
              <w:t>Lifestyle Factors</w:t>
            </w:r>
            <w:r>
              <w:rPr>
                <w:noProof/>
                <w:webHidden/>
              </w:rPr>
              <w:tab/>
            </w:r>
            <w:r>
              <w:rPr>
                <w:noProof/>
                <w:webHidden/>
              </w:rPr>
              <w:fldChar w:fldCharType="begin"/>
            </w:r>
            <w:r>
              <w:rPr>
                <w:noProof/>
                <w:webHidden/>
              </w:rPr>
              <w:instrText xml:space="preserve"> PAGEREF _Toc213963916 \h </w:instrText>
            </w:r>
            <w:r>
              <w:rPr>
                <w:noProof/>
                <w:webHidden/>
              </w:rPr>
            </w:r>
            <w:r>
              <w:rPr>
                <w:noProof/>
                <w:webHidden/>
              </w:rPr>
              <w:fldChar w:fldCharType="separate"/>
            </w:r>
            <w:r>
              <w:rPr>
                <w:noProof/>
                <w:webHidden/>
              </w:rPr>
              <w:t>6</w:t>
            </w:r>
            <w:r>
              <w:rPr>
                <w:noProof/>
                <w:webHidden/>
              </w:rPr>
              <w:fldChar w:fldCharType="end"/>
            </w:r>
          </w:hyperlink>
        </w:p>
        <w:p w14:paraId="277376DB" w14:textId="23C0487D" w:rsidR="00B1588F" w:rsidRDefault="00B1588F">
          <w:pPr>
            <w:pStyle w:val="TOC2"/>
            <w:tabs>
              <w:tab w:val="right" w:leader="dot" w:pos="9016"/>
            </w:tabs>
            <w:rPr>
              <w:rFonts w:asciiTheme="minorHAnsi" w:hAnsiTheme="minorHAnsi"/>
              <w:noProof/>
              <w:kern w:val="2"/>
              <w:sz w:val="24"/>
              <w:szCs w:val="24"/>
              <w:lang w:eastAsia="en-IN"/>
              <w14:ligatures w14:val="standardContextual"/>
            </w:rPr>
          </w:pPr>
          <w:hyperlink w:anchor="_Toc213963917" w:history="1">
            <w:r w:rsidRPr="00EE6BBA">
              <w:rPr>
                <w:rStyle w:val="Hyperlink"/>
                <w:noProof/>
                <w:lang w:val="en-GB"/>
              </w:rPr>
              <w:t>Environmental and Psychological factors</w:t>
            </w:r>
            <w:r>
              <w:rPr>
                <w:noProof/>
                <w:webHidden/>
              </w:rPr>
              <w:tab/>
            </w:r>
            <w:r>
              <w:rPr>
                <w:noProof/>
                <w:webHidden/>
              </w:rPr>
              <w:fldChar w:fldCharType="begin"/>
            </w:r>
            <w:r>
              <w:rPr>
                <w:noProof/>
                <w:webHidden/>
              </w:rPr>
              <w:instrText xml:space="preserve"> PAGEREF _Toc213963917 \h </w:instrText>
            </w:r>
            <w:r>
              <w:rPr>
                <w:noProof/>
                <w:webHidden/>
              </w:rPr>
            </w:r>
            <w:r>
              <w:rPr>
                <w:noProof/>
                <w:webHidden/>
              </w:rPr>
              <w:fldChar w:fldCharType="separate"/>
            </w:r>
            <w:r>
              <w:rPr>
                <w:noProof/>
                <w:webHidden/>
              </w:rPr>
              <w:t>6</w:t>
            </w:r>
            <w:r>
              <w:rPr>
                <w:noProof/>
                <w:webHidden/>
              </w:rPr>
              <w:fldChar w:fldCharType="end"/>
            </w:r>
          </w:hyperlink>
        </w:p>
        <w:p w14:paraId="13A365E2" w14:textId="602D9932"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18" w:history="1">
            <w:r w:rsidRPr="00EE6BBA">
              <w:rPr>
                <w:rStyle w:val="Hyperlink"/>
                <w:noProof/>
                <w:lang w:val="en-GB"/>
              </w:rPr>
              <w:t>Complications associated with T2DM</w:t>
            </w:r>
            <w:r>
              <w:rPr>
                <w:noProof/>
                <w:webHidden/>
              </w:rPr>
              <w:tab/>
            </w:r>
            <w:r>
              <w:rPr>
                <w:noProof/>
                <w:webHidden/>
              </w:rPr>
              <w:fldChar w:fldCharType="begin"/>
            </w:r>
            <w:r>
              <w:rPr>
                <w:noProof/>
                <w:webHidden/>
              </w:rPr>
              <w:instrText xml:space="preserve"> PAGEREF _Toc213963918 \h </w:instrText>
            </w:r>
            <w:r>
              <w:rPr>
                <w:noProof/>
                <w:webHidden/>
              </w:rPr>
            </w:r>
            <w:r>
              <w:rPr>
                <w:noProof/>
                <w:webHidden/>
              </w:rPr>
              <w:fldChar w:fldCharType="separate"/>
            </w:r>
            <w:r>
              <w:rPr>
                <w:noProof/>
                <w:webHidden/>
              </w:rPr>
              <w:t>7</w:t>
            </w:r>
            <w:r>
              <w:rPr>
                <w:noProof/>
                <w:webHidden/>
              </w:rPr>
              <w:fldChar w:fldCharType="end"/>
            </w:r>
          </w:hyperlink>
        </w:p>
        <w:p w14:paraId="7E885D06" w14:textId="4F64E171"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19" w:history="1">
            <w:r w:rsidRPr="00EE6BBA">
              <w:rPr>
                <w:rStyle w:val="Hyperlink"/>
                <w:noProof/>
                <w:lang w:val="en-GB"/>
              </w:rPr>
              <w:t>Diagnosis and Monitoring</w:t>
            </w:r>
            <w:r>
              <w:rPr>
                <w:noProof/>
                <w:webHidden/>
              </w:rPr>
              <w:tab/>
            </w:r>
            <w:r>
              <w:rPr>
                <w:noProof/>
                <w:webHidden/>
              </w:rPr>
              <w:fldChar w:fldCharType="begin"/>
            </w:r>
            <w:r>
              <w:rPr>
                <w:noProof/>
                <w:webHidden/>
              </w:rPr>
              <w:instrText xml:space="preserve"> PAGEREF _Toc213963919 \h </w:instrText>
            </w:r>
            <w:r>
              <w:rPr>
                <w:noProof/>
                <w:webHidden/>
              </w:rPr>
            </w:r>
            <w:r>
              <w:rPr>
                <w:noProof/>
                <w:webHidden/>
              </w:rPr>
              <w:fldChar w:fldCharType="separate"/>
            </w:r>
            <w:r>
              <w:rPr>
                <w:noProof/>
                <w:webHidden/>
              </w:rPr>
              <w:t>8</w:t>
            </w:r>
            <w:r>
              <w:rPr>
                <w:noProof/>
                <w:webHidden/>
              </w:rPr>
              <w:fldChar w:fldCharType="end"/>
            </w:r>
          </w:hyperlink>
        </w:p>
        <w:p w14:paraId="5065ABC9" w14:textId="12A2EF3E" w:rsidR="00B1588F" w:rsidRDefault="00B1588F">
          <w:pPr>
            <w:pStyle w:val="TOC2"/>
            <w:tabs>
              <w:tab w:val="right" w:leader="dot" w:pos="9016"/>
            </w:tabs>
            <w:rPr>
              <w:rFonts w:asciiTheme="minorHAnsi" w:hAnsiTheme="minorHAnsi"/>
              <w:noProof/>
              <w:kern w:val="2"/>
              <w:sz w:val="24"/>
              <w:szCs w:val="24"/>
              <w:lang w:eastAsia="en-IN"/>
              <w14:ligatures w14:val="standardContextual"/>
            </w:rPr>
          </w:pPr>
          <w:hyperlink w:anchor="_Toc213963920" w:history="1">
            <w:r w:rsidRPr="00EE6BBA">
              <w:rPr>
                <w:rStyle w:val="Hyperlink"/>
                <w:noProof/>
                <w:lang w:val="en-GB"/>
              </w:rPr>
              <w:t>Ongoing Monitoring</w:t>
            </w:r>
            <w:r>
              <w:rPr>
                <w:noProof/>
                <w:webHidden/>
              </w:rPr>
              <w:tab/>
            </w:r>
            <w:r>
              <w:rPr>
                <w:noProof/>
                <w:webHidden/>
              </w:rPr>
              <w:fldChar w:fldCharType="begin"/>
            </w:r>
            <w:r>
              <w:rPr>
                <w:noProof/>
                <w:webHidden/>
              </w:rPr>
              <w:instrText xml:space="preserve"> PAGEREF _Toc213963920 \h </w:instrText>
            </w:r>
            <w:r>
              <w:rPr>
                <w:noProof/>
                <w:webHidden/>
              </w:rPr>
            </w:r>
            <w:r>
              <w:rPr>
                <w:noProof/>
                <w:webHidden/>
              </w:rPr>
              <w:fldChar w:fldCharType="separate"/>
            </w:r>
            <w:r>
              <w:rPr>
                <w:noProof/>
                <w:webHidden/>
              </w:rPr>
              <w:t>9</w:t>
            </w:r>
            <w:r>
              <w:rPr>
                <w:noProof/>
                <w:webHidden/>
              </w:rPr>
              <w:fldChar w:fldCharType="end"/>
            </w:r>
          </w:hyperlink>
        </w:p>
        <w:p w14:paraId="677C1A8E" w14:textId="7244487F"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21" w:history="1">
            <w:r w:rsidRPr="00EE6BBA">
              <w:rPr>
                <w:rStyle w:val="Hyperlink"/>
                <w:noProof/>
                <w:lang w:val="en-GB"/>
              </w:rPr>
              <w:t>Treating T2DM</w:t>
            </w:r>
            <w:r>
              <w:rPr>
                <w:noProof/>
                <w:webHidden/>
              </w:rPr>
              <w:tab/>
            </w:r>
            <w:r>
              <w:rPr>
                <w:noProof/>
                <w:webHidden/>
              </w:rPr>
              <w:fldChar w:fldCharType="begin"/>
            </w:r>
            <w:r>
              <w:rPr>
                <w:noProof/>
                <w:webHidden/>
              </w:rPr>
              <w:instrText xml:space="preserve"> PAGEREF _Toc213963921 \h </w:instrText>
            </w:r>
            <w:r>
              <w:rPr>
                <w:noProof/>
                <w:webHidden/>
              </w:rPr>
            </w:r>
            <w:r>
              <w:rPr>
                <w:noProof/>
                <w:webHidden/>
              </w:rPr>
              <w:fldChar w:fldCharType="separate"/>
            </w:r>
            <w:r>
              <w:rPr>
                <w:noProof/>
                <w:webHidden/>
              </w:rPr>
              <w:t>9</w:t>
            </w:r>
            <w:r>
              <w:rPr>
                <w:noProof/>
                <w:webHidden/>
              </w:rPr>
              <w:fldChar w:fldCharType="end"/>
            </w:r>
          </w:hyperlink>
        </w:p>
        <w:p w14:paraId="1F139FF1" w14:textId="10918145"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22" w:history="1">
            <w:r w:rsidRPr="00EE6BBA">
              <w:rPr>
                <w:rStyle w:val="Hyperlink"/>
                <w:noProof/>
                <w:lang w:val="en-GB"/>
              </w:rPr>
              <w:t>Role of Families and Caregivers</w:t>
            </w:r>
            <w:r>
              <w:rPr>
                <w:noProof/>
                <w:webHidden/>
              </w:rPr>
              <w:tab/>
            </w:r>
            <w:r>
              <w:rPr>
                <w:noProof/>
                <w:webHidden/>
              </w:rPr>
              <w:fldChar w:fldCharType="begin"/>
            </w:r>
            <w:r>
              <w:rPr>
                <w:noProof/>
                <w:webHidden/>
              </w:rPr>
              <w:instrText xml:space="preserve"> PAGEREF _Toc213963922 \h </w:instrText>
            </w:r>
            <w:r>
              <w:rPr>
                <w:noProof/>
                <w:webHidden/>
              </w:rPr>
            </w:r>
            <w:r>
              <w:rPr>
                <w:noProof/>
                <w:webHidden/>
              </w:rPr>
              <w:fldChar w:fldCharType="separate"/>
            </w:r>
            <w:r>
              <w:rPr>
                <w:noProof/>
                <w:webHidden/>
              </w:rPr>
              <w:t>10</w:t>
            </w:r>
            <w:r>
              <w:rPr>
                <w:noProof/>
                <w:webHidden/>
              </w:rPr>
              <w:fldChar w:fldCharType="end"/>
            </w:r>
          </w:hyperlink>
        </w:p>
        <w:p w14:paraId="4EEB98AC" w14:textId="0A43FF02"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23" w:history="1">
            <w:r w:rsidRPr="00EE6BBA">
              <w:rPr>
                <w:rStyle w:val="Hyperlink"/>
                <w:noProof/>
                <w:lang w:val="en-GB"/>
              </w:rPr>
              <w:t>Local and national political health and social care agendas</w:t>
            </w:r>
            <w:r>
              <w:rPr>
                <w:noProof/>
                <w:webHidden/>
              </w:rPr>
              <w:tab/>
            </w:r>
            <w:r>
              <w:rPr>
                <w:noProof/>
                <w:webHidden/>
              </w:rPr>
              <w:fldChar w:fldCharType="begin"/>
            </w:r>
            <w:r>
              <w:rPr>
                <w:noProof/>
                <w:webHidden/>
              </w:rPr>
              <w:instrText xml:space="preserve"> PAGEREF _Toc213963923 \h </w:instrText>
            </w:r>
            <w:r>
              <w:rPr>
                <w:noProof/>
                <w:webHidden/>
              </w:rPr>
            </w:r>
            <w:r>
              <w:rPr>
                <w:noProof/>
                <w:webHidden/>
              </w:rPr>
              <w:fldChar w:fldCharType="separate"/>
            </w:r>
            <w:r>
              <w:rPr>
                <w:noProof/>
                <w:webHidden/>
              </w:rPr>
              <w:t>11</w:t>
            </w:r>
            <w:r>
              <w:rPr>
                <w:noProof/>
                <w:webHidden/>
              </w:rPr>
              <w:fldChar w:fldCharType="end"/>
            </w:r>
          </w:hyperlink>
        </w:p>
        <w:p w14:paraId="3F4CDA32" w14:textId="6339D39E" w:rsidR="00B1588F" w:rsidRDefault="00B1588F">
          <w:pPr>
            <w:pStyle w:val="TOC2"/>
            <w:tabs>
              <w:tab w:val="right" w:leader="dot" w:pos="9016"/>
            </w:tabs>
            <w:rPr>
              <w:rFonts w:asciiTheme="minorHAnsi" w:hAnsiTheme="minorHAnsi"/>
              <w:noProof/>
              <w:kern w:val="2"/>
              <w:sz w:val="24"/>
              <w:szCs w:val="24"/>
              <w:lang w:eastAsia="en-IN"/>
              <w14:ligatures w14:val="standardContextual"/>
            </w:rPr>
          </w:pPr>
          <w:hyperlink w:anchor="_Toc213963924" w:history="1">
            <w:r w:rsidRPr="00EE6BBA">
              <w:rPr>
                <w:rStyle w:val="Hyperlink"/>
                <w:noProof/>
                <w:lang w:val="en-GB"/>
              </w:rPr>
              <w:t>National Agendas</w:t>
            </w:r>
            <w:r>
              <w:rPr>
                <w:noProof/>
                <w:webHidden/>
              </w:rPr>
              <w:tab/>
            </w:r>
            <w:r>
              <w:rPr>
                <w:noProof/>
                <w:webHidden/>
              </w:rPr>
              <w:fldChar w:fldCharType="begin"/>
            </w:r>
            <w:r>
              <w:rPr>
                <w:noProof/>
                <w:webHidden/>
              </w:rPr>
              <w:instrText xml:space="preserve"> PAGEREF _Toc213963924 \h </w:instrText>
            </w:r>
            <w:r>
              <w:rPr>
                <w:noProof/>
                <w:webHidden/>
              </w:rPr>
            </w:r>
            <w:r>
              <w:rPr>
                <w:noProof/>
                <w:webHidden/>
              </w:rPr>
              <w:fldChar w:fldCharType="separate"/>
            </w:r>
            <w:r>
              <w:rPr>
                <w:noProof/>
                <w:webHidden/>
              </w:rPr>
              <w:t>11</w:t>
            </w:r>
            <w:r>
              <w:rPr>
                <w:noProof/>
                <w:webHidden/>
              </w:rPr>
              <w:fldChar w:fldCharType="end"/>
            </w:r>
          </w:hyperlink>
        </w:p>
        <w:p w14:paraId="025B9698" w14:textId="6C334D91" w:rsidR="00B1588F" w:rsidRDefault="00B1588F">
          <w:pPr>
            <w:pStyle w:val="TOC2"/>
            <w:tabs>
              <w:tab w:val="right" w:leader="dot" w:pos="9016"/>
            </w:tabs>
            <w:rPr>
              <w:rFonts w:asciiTheme="minorHAnsi" w:hAnsiTheme="minorHAnsi"/>
              <w:noProof/>
              <w:kern w:val="2"/>
              <w:sz w:val="24"/>
              <w:szCs w:val="24"/>
              <w:lang w:eastAsia="en-IN"/>
              <w14:ligatures w14:val="standardContextual"/>
            </w:rPr>
          </w:pPr>
          <w:hyperlink w:anchor="_Toc213963925" w:history="1">
            <w:r w:rsidRPr="00EE6BBA">
              <w:rPr>
                <w:rStyle w:val="Hyperlink"/>
                <w:noProof/>
                <w:lang w:val="en-GB"/>
              </w:rPr>
              <w:t>Local Implementation</w:t>
            </w:r>
            <w:r>
              <w:rPr>
                <w:noProof/>
                <w:webHidden/>
              </w:rPr>
              <w:tab/>
            </w:r>
            <w:r>
              <w:rPr>
                <w:noProof/>
                <w:webHidden/>
              </w:rPr>
              <w:fldChar w:fldCharType="begin"/>
            </w:r>
            <w:r>
              <w:rPr>
                <w:noProof/>
                <w:webHidden/>
              </w:rPr>
              <w:instrText xml:space="preserve"> PAGEREF _Toc213963925 \h </w:instrText>
            </w:r>
            <w:r>
              <w:rPr>
                <w:noProof/>
                <w:webHidden/>
              </w:rPr>
            </w:r>
            <w:r>
              <w:rPr>
                <w:noProof/>
                <w:webHidden/>
              </w:rPr>
              <w:fldChar w:fldCharType="separate"/>
            </w:r>
            <w:r>
              <w:rPr>
                <w:noProof/>
                <w:webHidden/>
              </w:rPr>
              <w:t>12</w:t>
            </w:r>
            <w:r>
              <w:rPr>
                <w:noProof/>
                <w:webHidden/>
              </w:rPr>
              <w:fldChar w:fldCharType="end"/>
            </w:r>
          </w:hyperlink>
        </w:p>
        <w:p w14:paraId="0EAD0450" w14:textId="64AE1A50"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26" w:history="1">
            <w:r w:rsidRPr="00EE6BBA">
              <w:rPr>
                <w:rStyle w:val="Hyperlink"/>
                <w:noProof/>
                <w:lang w:val="en-GB"/>
              </w:rPr>
              <w:t>Self-Management Tips</w:t>
            </w:r>
            <w:r>
              <w:rPr>
                <w:noProof/>
                <w:webHidden/>
              </w:rPr>
              <w:tab/>
            </w:r>
            <w:r>
              <w:rPr>
                <w:noProof/>
                <w:webHidden/>
              </w:rPr>
              <w:fldChar w:fldCharType="begin"/>
            </w:r>
            <w:r>
              <w:rPr>
                <w:noProof/>
                <w:webHidden/>
              </w:rPr>
              <w:instrText xml:space="preserve"> PAGEREF _Toc213963926 \h </w:instrText>
            </w:r>
            <w:r>
              <w:rPr>
                <w:noProof/>
                <w:webHidden/>
              </w:rPr>
            </w:r>
            <w:r>
              <w:rPr>
                <w:noProof/>
                <w:webHidden/>
              </w:rPr>
              <w:fldChar w:fldCharType="separate"/>
            </w:r>
            <w:r>
              <w:rPr>
                <w:noProof/>
                <w:webHidden/>
              </w:rPr>
              <w:t>12</w:t>
            </w:r>
            <w:r>
              <w:rPr>
                <w:noProof/>
                <w:webHidden/>
              </w:rPr>
              <w:fldChar w:fldCharType="end"/>
            </w:r>
          </w:hyperlink>
        </w:p>
        <w:p w14:paraId="1E8B224C" w14:textId="20C9217A"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27" w:history="1">
            <w:r w:rsidRPr="00EE6BBA">
              <w:rPr>
                <w:rStyle w:val="Hyperlink"/>
                <w:noProof/>
                <w:lang w:val="en-GB"/>
              </w:rPr>
              <w:t>Contact and Support information</w:t>
            </w:r>
            <w:r>
              <w:rPr>
                <w:noProof/>
                <w:webHidden/>
              </w:rPr>
              <w:tab/>
            </w:r>
            <w:r>
              <w:rPr>
                <w:noProof/>
                <w:webHidden/>
              </w:rPr>
              <w:fldChar w:fldCharType="begin"/>
            </w:r>
            <w:r>
              <w:rPr>
                <w:noProof/>
                <w:webHidden/>
              </w:rPr>
              <w:instrText xml:space="preserve"> PAGEREF _Toc213963927 \h </w:instrText>
            </w:r>
            <w:r>
              <w:rPr>
                <w:noProof/>
                <w:webHidden/>
              </w:rPr>
            </w:r>
            <w:r>
              <w:rPr>
                <w:noProof/>
                <w:webHidden/>
              </w:rPr>
              <w:fldChar w:fldCharType="separate"/>
            </w:r>
            <w:r>
              <w:rPr>
                <w:noProof/>
                <w:webHidden/>
              </w:rPr>
              <w:t>13</w:t>
            </w:r>
            <w:r>
              <w:rPr>
                <w:noProof/>
                <w:webHidden/>
              </w:rPr>
              <w:fldChar w:fldCharType="end"/>
            </w:r>
          </w:hyperlink>
        </w:p>
        <w:p w14:paraId="5AAF6EB0" w14:textId="6C85B2C8" w:rsidR="00B1588F" w:rsidRDefault="00B1588F">
          <w:pPr>
            <w:pStyle w:val="TOC1"/>
            <w:tabs>
              <w:tab w:val="right" w:leader="dot" w:pos="9016"/>
            </w:tabs>
            <w:rPr>
              <w:rFonts w:asciiTheme="minorHAnsi" w:hAnsiTheme="minorHAnsi"/>
              <w:noProof/>
              <w:kern w:val="2"/>
              <w:sz w:val="24"/>
              <w:szCs w:val="24"/>
              <w:lang w:eastAsia="en-IN"/>
              <w14:ligatures w14:val="standardContextual"/>
            </w:rPr>
          </w:pPr>
          <w:hyperlink w:anchor="_Toc213963928" w:history="1">
            <w:r w:rsidRPr="00EE6BBA">
              <w:rPr>
                <w:rStyle w:val="Hyperlink"/>
                <w:noProof/>
                <w:lang w:val="en-GB"/>
              </w:rPr>
              <w:t>Reference list</w:t>
            </w:r>
            <w:r>
              <w:rPr>
                <w:noProof/>
                <w:webHidden/>
              </w:rPr>
              <w:tab/>
            </w:r>
            <w:r>
              <w:rPr>
                <w:noProof/>
                <w:webHidden/>
              </w:rPr>
              <w:fldChar w:fldCharType="begin"/>
            </w:r>
            <w:r>
              <w:rPr>
                <w:noProof/>
                <w:webHidden/>
              </w:rPr>
              <w:instrText xml:space="preserve"> PAGEREF _Toc213963928 \h </w:instrText>
            </w:r>
            <w:r>
              <w:rPr>
                <w:noProof/>
                <w:webHidden/>
              </w:rPr>
            </w:r>
            <w:r>
              <w:rPr>
                <w:noProof/>
                <w:webHidden/>
              </w:rPr>
              <w:fldChar w:fldCharType="separate"/>
            </w:r>
            <w:r>
              <w:rPr>
                <w:noProof/>
                <w:webHidden/>
              </w:rPr>
              <w:t>14</w:t>
            </w:r>
            <w:r>
              <w:rPr>
                <w:noProof/>
                <w:webHidden/>
              </w:rPr>
              <w:fldChar w:fldCharType="end"/>
            </w:r>
          </w:hyperlink>
        </w:p>
        <w:p w14:paraId="1B507147" w14:textId="6028A062" w:rsidR="00B1588F" w:rsidRDefault="00B1588F">
          <w:r>
            <w:rPr>
              <w:b/>
              <w:bCs/>
              <w:noProof/>
            </w:rPr>
            <w:fldChar w:fldCharType="end"/>
          </w:r>
        </w:p>
      </w:sdtContent>
    </w:sdt>
    <w:p w14:paraId="4E07DE0A" w14:textId="77777777" w:rsidR="00550662" w:rsidRDefault="00550662" w:rsidP="00550662">
      <w:pPr>
        <w:rPr>
          <w:lang w:val="en-GB"/>
        </w:rPr>
      </w:pPr>
    </w:p>
    <w:p w14:paraId="4870162B" w14:textId="77777777" w:rsidR="00550662" w:rsidRDefault="00550662" w:rsidP="00550662">
      <w:pPr>
        <w:rPr>
          <w:lang w:val="en-GB"/>
        </w:rPr>
      </w:pPr>
    </w:p>
    <w:p w14:paraId="58A763DB" w14:textId="77777777" w:rsidR="00550662" w:rsidRDefault="00550662" w:rsidP="00550662">
      <w:pPr>
        <w:rPr>
          <w:lang w:val="en-GB"/>
        </w:rPr>
      </w:pPr>
    </w:p>
    <w:p w14:paraId="51FFED8A" w14:textId="6A1AE043" w:rsidR="00550662" w:rsidRDefault="00550662" w:rsidP="00550662">
      <w:pPr>
        <w:rPr>
          <w:lang w:val="en-GB"/>
        </w:rPr>
      </w:pPr>
    </w:p>
    <w:p w14:paraId="19DB0509" w14:textId="77777777" w:rsidR="00550662" w:rsidRDefault="00550662" w:rsidP="00550662">
      <w:pPr>
        <w:rPr>
          <w:lang w:val="en-GB"/>
        </w:rPr>
      </w:pPr>
    </w:p>
    <w:p w14:paraId="6B72FDFA" w14:textId="384C05F0" w:rsidR="00AE577C" w:rsidRPr="009B4253" w:rsidRDefault="00AE577C" w:rsidP="007D47A2">
      <w:pPr>
        <w:pStyle w:val="Title"/>
        <w:rPr>
          <w:rFonts w:ascii="Arial" w:hAnsi="Arial" w:cs="Arial"/>
          <w:color w:val="000000" w:themeColor="text1"/>
          <w:sz w:val="52"/>
          <w:szCs w:val="56"/>
          <w:lang w:val="en-GB"/>
        </w:rPr>
      </w:pPr>
      <w:r w:rsidRPr="009B4253">
        <w:rPr>
          <w:rFonts w:ascii="Arial" w:hAnsi="Arial" w:cs="Arial"/>
          <w:color w:val="000000" w:themeColor="text1"/>
          <w:sz w:val="52"/>
          <w:szCs w:val="56"/>
          <w:lang w:val="en-GB"/>
        </w:rPr>
        <w:t>Managing Type 2 Diabetes Mellitus Among the Older Population</w:t>
      </w:r>
    </w:p>
    <w:p w14:paraId="37260880" w14:textId="77777777" w:rsidR="001B3102" w:rsidRPr="009B4253" w:rsidRDefault="001B3102" w:rsidP="001B3102">
      <w:pPr>
        <w:rPr>
          <w:lang w:val="en-GB"/>
        </w:rPr>
      </w:pPr>
    </w:p>
    <w:p w14:paraId="35865575" w14:textId="77777777" w:rsidR="00AE577C" w:rsidRPr="009B4253" w:rsidRDefault="00AE577C" w:rsidP="00AE577C">
      <w:pPr>
        <w:tabs>
          <w:tab w:val="right" w:pos="5511"/>
        </w:tabs>
        <w:jc w:val="center"/>
        <w:rPr>
          <w:color w:val="000000" w:themeColor="text1"/>
          <w:lang w:val="en-GB"/>
        </w:rPr>
      </w:pPr>
      <w:r w:rsidRPr="009B4253">
        <w:rPr>
          <w:noProof/>
          <w:color w:val="000000" w:themeColor="text1"/>
          <w:lang w:val="en-GB"/>
        </w:rPr>
        <w:drawing>
          <wp:inline distT="0" distB="0" distL="0" distR="0" wp14:anchorId="748939E6" wp14:editId="37736D0D">
            <wp:extent cx="5009067" cy="3337560"/>
            <wp:effectExtent l="0" t="0" r="1270" b="0"/>
            <wp:docPr id="1658818811" name="Picture 1" descr="Signs and Symptoms of Diabetes Mellitu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18811" name="Picture 1" descr="Signs and Symptoms of Diabetes Mellitus -"/>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012100" cy="3339581"/>
                    </a:xfrm>
                    <a:prstGeom prst="rect">
                      <a:avLst/>
                    </a:prstGeom>
                    <a:noFill/>
                    <a:ln>
                      <a:noFill/>
                    </a:ln>
                  </pic:spPr>
                </pic:pic>
              </a:graphicData>
            </a:graphic>
          </wp:inline>
        </w:drawing>
      </w:r>
    </w:p>
    <w:p w14:paraId="7D894A3C" w14:textId="77777777" w:rsidR="00AE577C" w:rsidRPr="009B4253" w:rsidRDefault="00AE577C" w:rsidP="00AE577C">
      <w:pPr>
        <w:pStyle w:val="Heading1"/>
        <w:rPr>
          <w:lang w:val="en-GB"/>
        </w:rPr>
      </w:pPr>
      <w:r w:rsidRPr="009B4253">
        <w:rPr>
          <w:lang w:val="en-GB"/>
        </w:rPr>
        <w:br w:type="page"/>
      </w:r>
      <w:bookmarkStart w:id="0" w:name="_Toc213963910"/>
      <w:r w:rsidRPr="009B4253">
        <w:rPr>
          <w:lang w:val="en-GB"/>
        </w:rPr>
        <w:t>What is Diabetes Mellitus?</w:t>
      </w:r>
      <w:bookmarkEnd w:id="0"/>
    </w:p>
    <w:p w14:paraId="16F1CCBF" w14:textId="77777777" w:rsidR="00AE577C" w:rsidRPr="009B4253" w:rsidRDefault="00AE577C" w:rsidP="00AE577C">
      <w:pPr>
        <w:rPr>
          <w:color w:val="000000" w:themeColor="text1"/>
          <w:lang w:val="en-GB"/>
        </w:rPr>
      </w:pPr>
      <w:r w:rsidRPr="009B4253">
        <w:rPr>
          <w:color w:val="000000" w:themeColor="text1"/>
          <w:lang w:val="en-GB"/>
        </w:rPr>
        <w:t>Diabetes is one of the long-term health conditions affecting people in the UK. This condition occurs when the body cannot regulate the blood glucose level effectively. “Type 2 Diabetes Mellitus” (T2DM) is a chronic condition in which the body does not use insulin effectively, which leads to high blood sugar levels (</w:t>
      </w:r>
      <w:r w:rsidRPr="009B4253">
        <w:rPr>
          <w:rFonts w:cs="Arial"/>
          <w:color w:val="000000" w:themeColor="text1"/>
          <w:lang w:val="en-GB"/>
        </w:rPr>
        <w:t xml:space="preserve">Scarpa </w:t>
      </w:r>
      <w:r w:rsidRPr="009B4253">
        <w:rPr>
          <w:rFonts w:cs="Arial"/>
          <w:i/>
          <w:iCs/>
          <w:color w:val="000000" w:themeColor="text1"/>
          <w:lang w:val="en-GB"/>
        </w:rPr>
        <w:t>et al.,</w:t>
      </w:r>
      <w:r w:rsidRPr="009B4253">
        <w:rPr>
          <w:rFonts w:cs="Arial"/>
          <w:color w:val="000000" w:themeColor="text1"/>
          <w:lang w:val="en-GB"/>
        </w:rPr>
        <w:t xml:space="preserve"> 2024)</w:t>
      </w:r>
      <w:r w:rsidRPr="009B4253">
        <w:rPr>
          <w:color w:val="000000" w:themeColor="text1"/>
          <w:lang w:val="en-GB"/>
        </w:rPr>
        <w:t xml:space="preserve">. Proper management of this disease condition is essential to reduce associated complications like heart disease, neuropathy, kidney problems and many more. Therefore, managing diabetes among the older population is essential to enhance their well-being. </w:t>
      </w:r>
    </w:p>
    <w:p w14:paraId="5548730F" w14:textId="77777777" w:rsidR="00AE577C" w:rsidRPr="009B4253" w:rsidRDefault="00AE577C" w:rsidP="00AE577C">
      <w:pPr>
        <w:rPr>
          <w:color w:val="000000" w:themeColor="text1"/>
          <w:lang w:val="en-GB"/>
        </w:rPr>
      </w:pPr>
      <w:r w:rsidRPr="009B4253">
        <w:rPr>
          <w:color w:val="000000" w:themeColor="text1"/>
          <w:lang w:val="en-GB"/>
        </w:rPr>
        <w:t xml:space="preserve">Effective diabetes management not only enhances physical health but also improves the mental well-being of the population. It can empower them to maintain autonomy and person-centred management. The NHS Long Term Plan is based on integrating care for people with diabetes, promoting prevention and early diagnosis (Newbound, 2019). Helping the older adults living with diabetes through guidance, monitoring and reference on the best practices can improve their health conditions and reduce the national burden. </w:t>
      </w:r>
    </w:p>
    <w:p w14:paraId="5772DEB7" w14:textId="77777777" w:rsidR="00AE577C" w:rsidRPr="009B4253" w:rsidRDefault="00AE577C" w:rsidP="00AE577C">
      <w:pPr>
        <w:pStyle w:val="Heading1"/>
        <w:rPr>
          <w:lang w:val="en-GB"/>
        </w:rPr>
      </w:pPr>
      <w:bookmarkStart w:id="1" w:name="_Toc213963911"/>
      <w:r w:rsidRPr="009B4253">
        <w:rPr>
          <w:lang w:val="en-GB"/>
        </w:rPr>
        <w:t>Epidemiology of T2DM</w:t>
      </w:r>
      <w:bookmarkEnd w:id="1"/>
    </w:p>
    <w:p w14:paraId="6CD6EB45" w14:textId="77777777" w:rsidR="00AE577C" w:rsidRPr="009B4253" w:rsidRDefault="00AE577C" w:rsidP="00AE577C">
      <w:pPr>
        <w:pStyle w:val="ListParagraph"/>
        <w:numPr>
          <w:ilvl w:val="0"/>
          <w:numId w:val="14"/>
        </w:numPr>
        <w:rPr>
          <w:color w:val="000000" w:themeColor="text1"/>
          <w:lang w:val="en-GB"/>
        </w:rPr>
      </w:pPr>
      <w:r w:rsidRPr="009B4253">
        <w:rPr>
          <w:color w:val="000000" w:themeColor="text1"/>
          <w:lang w:val="en-GB"/>
        </w:rPr>
        <w:t>The global prevalence of T2DM is 589 million in 2025 (International Diabetes Federation, 2025)</w:t>
      </w:r>
    </w:p>
    <w:p w14:paraId="0C0C9946" w14:textId="77777777" w:rsidR="00AE577C" w:rsidRPr="009B4253" w:rsidRDefault="00AE577C" w:rsidP="00AE577C">
      <w:pPr>
        <w:pStyle w:val="ListParagraph"/>
        <w:numPr>
          <w:ilvl w:val="0"/>
          <w:numId w:val="14"/>
        </w:numPr>
        <w:rPr>
          <w:color w:val="000000" w:themeColor="text1"/>
          <w:lang w:val="en-GB"/>
        </w:rPr>
      </w:pPr>
      <w:r w:rsidRPr="009B4253">
        <w:rPr>
          <w:color w:val="000000" w:themeColor="text1"/>
          <w:lang w:val="en-GB"/>
        </w:rPr>
        <w:t>More than 4.6 million people in the UK had diabetes in 2025 (Diabetes UK, 2025a)</w:t>
      </w:r>
    </w:p>
    <w:p w14:paraId="5A60D8C9" w14:textId="77777777" w:rsidR="00AE577C" w:rsidRPr="009B4253" w:rsidRDefault="00AE577C" w:rsidP="00AE577C">
      <w:pPr>
        <w:pStyle w:val="ListParagraph"/>
        <w:numPr>
          <w:ilvl w:val="0"/>
          <w:numId w:val="14"/>
        </w:numPr>
        <w:rPr>
          <w:color w:val="000000" w:themeColor="text1"/>
          <w:lang w:val="en-GB"/>
        </w:rPr>
      </w:pPr>
      <w:r w:rsidRPr="009B4253">
        <w:rPr>
          <w:color w:val="000000" w:themeColor="text1"/>
          <w:lang w:val="en-GB"/>
        </w:rPr>
        <w:t>Over 4 in 5 adults live with diabetes in low and middle-income countries (International Diabetes Federation, 2025).</w:t>
      </w:r>
    </w:p>
    <w:p w14:paraId="5069865D" w14:textId="77777777" w:rsidR="00AE577C" w:rsidRPr="009B4253" w:rsidRDefault="00AE577C" w:rsidP="00AE577C">
      <w:pPr>
        <w:pStyle w:val="ListParagraph"/>
        <w:numPr>
          <w:ilvl w:val="0"/>
          <w:numId w:val="14"/>
        </w:numPr>
        <w:rPr>
          <w:color w:val="000000" w:themeColor="text1"/>
          <w:lang w:val="en-GB"/>
        </w:rPr>
      </w:pPr>
      <w:r w:rsidRPr="009B4253">
        <w:rPr>
          <w:color w:val="000000" w:themeColor="text1"/>
          <w:lang w:val="en-GB"/>
        </w:rPr>
        <w:t>It is estimated that approximately 18% of the population aged 65 years or more have T2DM in the UK (</w:t>
      </w:r>
      <w:r w:rsidRPr="009B4253">
        <w:rPr>
          <w:rFonts w:cs="Arial"/>
          <w:color w:val="000000" w:themeColor="text1"/>
          <w:lang w:val="en-GB"/>
        </w:rPr>
        <w:t xml:space="preserve">Bush </w:t>
      </w:r>
      <w:r w:rsidRPr="009B4253">
        <w:rPr>
          <w:rFonts w:cs="Arial"/>
          <w:i/>
          <w:iCs/>
          <w:color w:val="000000" w:themeColor="text1"/>
          <w:lang w:val="en-GB"/>
        </w:rPr>
        <w:t>et al.,</w:t>
      </w:r>
      <w:r w:rsidRPr="009B4253">
        <w:rPr>
          <w:rFonts w:cs="Arial"/>
          <w:color w:val="000000" w:themeColor="text1"/>
          <w:lang w:val="en-GB"/>
        </w:rPr>
        <w:t xml:space="preserve"> 2023)</w:t>
      </w:r>
      <w:r w:rsidRPr="009B4253">
        <w:rPr>
          <w:color w:val="000000" w:themeColor="text1"/>
          <w:lang w:val="en-GB"/>
        </w:rPr>
        <w:t xml:space="preserve">. </w:t>
      </w:r>
    </w:p>
    <w:p w14:paraId="7B547479" w14:textId="77777777" w:rsidR="00AE577C" w:rsidRPr="009B4253" w:rsidRDefault="00AE577C" w:rsidP="00AE577C">
      <w:pPr>
        <w:pStyle w:val="ListParagraph"/>
        <w:numPr>
          <w:ilvl w:val="0"/>
          <w:numId w:val="14"/>
        </w:numPr>
        <w:rPr>
          <w:color w:val="000000" w:themeColor="text1"/>
          <w:lang w:val="en-GB"/>
        </w:rPr>
      </w:pPr>
      <w:r w:rsidRPr="009B4253">
        <w:rPr>
          <w:color w:val="000000" w:themeColor="text1"/>
          <w:lang w:val="en-GB"/>
        </w:rPr>
        <w:t xml:space="preserve">The hazard ratio of T2DM patients is between 1.17 and 1.93 in the UK (HU </w:t>
      </w:r>
      <w:r w:rsidRPr="009B4253">
        <w:rPr>
          <w:i/>
          <w:iCs/>
          <w:color w:val="000000" w:themeColor="text1"/>
          <w:lang w:val="en-GB"/>
        </w:rPr>
        <w:t>et al.,</w:t>
      </w:r>
      <w:r w:rsidRPr="009B4253">
        <w:rPr>
          <w:color w:val="000000" w:themeColor="text1"/>
          <w:lang w:val="en-GB"/>
        </w:rPr>
        <w:t xml:space="preserve"> 2025).</w:t>
      </w:r>
    </w:p>
    <w:p w14:paraId="72054C3A" w14:textId="77777777" w:rsidR="00AE577C" w:rsidRPr="009B4253" w:rsidRDefault="00AE577C" w:rsidP="00AE577C">
      <w:pPr>
        <w:pStyle w:val="Heading1"/>
        <w:rPr>
          <w:lang w:val="en-GB"/>
        </w:rPr>
      </w:pPr>
      <w:bookmarkStart w:id="2" w:name="_Toc213963912"/>
      <w:r w:rsidRPr="009B4253">
        <w:rPr>
          <w:lang w:val="en-GB"/>
        </w:rPr>
        <w:t>Signs and Symptoms of T2DM</w:t>
      </w:r>
      <w:bookmarkEnd w:id="2"/>
    </w:p>
    <w:p w14:paraId="504A3A17" w14:textId="47B8FE0F" w:rsidR="00AE577C" w:rsidRPr="009B4253" w:rsidRDefault="00AE577C" w:rsidP="00AE577C">
      <w:pPr>
        <w:rPr>
          <w:color w:val="000000" w:themeColor="text1"/>
          <w:lang w:val="en-GB"/>
        </w:rPr>
      </w:pPr>
      <w:r w:rsidRPr="009B4253">
        <w:rPr>
          <w:color w:val="000000" w:themeColor="text1"/>
          <w:lang w:val="en-GB"/>
        </w:rPr>
        <w:t>Identifying the signs and symptoms of T2DM is essential to take preventive actions. The common physical symptoms include</w:t>
      </w:r>
      <w:r w:rsidR="00E84585" w:rsidRPr="009B4253">
        <w:rPr>
          <w:color w:val="000000" w:themeColor="text1"/>
          <w:lang w:val="en-GB"/>
        </w:rPr>
        <w:t>:</w:t>
      </w:r>
    </w:p>
    <w:p w14:paraId="4AA36949" w14:textId="77777777" w:rsidR="00AE577C" w:rsidRPr="009B4253" w:rsidRDefault="00AE577C" w:rsidP="00AE577C">
      <w:pPr>
        <w:pStyle w:val="ListParagraph"/>
        <w:numPr>
          <w:ilvl w:val="0"/>
          <w:numId w:val="1"/>
        </w:numPr>
        <w:rPr>
          <w:color w:val="000000" w:themeColor="text1"/>
          <w:lang w:val="en-GB"/>
        </w:rPr>
      </w:pPr>
      <w:r w:rsidRPr="009B4253">
        <w:rPr>
          <w:color w:val="000000" w:themeColor="text1"/>
          <w:lang w:val="en-GB"/>
        </w:rPr>
        <w:t xml:space="preserve">Increased thirst and frequent urination </w:t>
      </w:r>
    </w:p>
    <w:p w14:paraId="7A0AE2B1" w14:textId="77777777" w:rsidR="00AE577C" w:rsidRPr="009B4253" w:rsidRDefault="00AE577C" w:rsidP="00AE577C">
      <w:pPr>
        <w:pStyle w:val="ListParagraph"/>
        <w:numPr>
          <w:ilvl w:val="0"/>
          <w:numId w:val="1"/>
        </w:numPr>
        <w:rPr>
          <w:color w:val="000000" w:themeColor="text1"/>
          <w:lang w:val="en-GB"/>
        </w:rPr>
      </w:pPr>
      <w:r w:rsidRPr="009B4253">
        <w:rPr>
          <w:color w:val="000000" w:themeColor="text1"/>
          <w:lang w:val="en-GB"/>
        </w:rPr>
        <w:t>More hunger</w:t>
      </w:r>
    </w:p>
    <w:p w14:paraId="0EA7A3F4" w14:textId="77777777" w:rsidR="00AE577C" w:rsidRPr="009B4253" w:rsidRDefault="00AE577C" w:rsidP="00AE577C">
      <w:pPr>
        <w:pStyle w:val="ListParagraph"/>
        <w:numPr>
          <w:ilvl w:val="0"/>
          <w:numId w:val="1"/>
        </w:numPr>
        <w:rPr>
          <w:color w:val="000000" w:themeColor="text1"/>
          <w:lang w:val="en-GB"/>
        </w:rPr>
      </w:pPr>
      <w:r w:rsidRPr="009B4253">
        <w:rPr>
          <w:color w:val="000000" w:themeColor="text1"/>
          <w:lang w:val="en-GB"/>
        </w:rPr>
        <w:t>Extreme fatigue</w:t>
      </w:r>
    </w:p>
    <w:p w14:paraId="504980A9" w14:textId="77777777" w:rsidR="00AE577C" w:rsidRPr="009B4253" w:rsidRDefault="00AE577C" w:rsidP="00AE577C">
      <w:pPr>
        <w:pStyle w:val="ListParagraph"/>
        <w:numPr>
          <w:ilvl w:val="0"/>
          <w:numId w:val="1"/>
        </w:numPr>
        <w:rPr>
          <w:color w:val="000000" w:themeColor="text1"/>
          <w:lang w:val="en-GB"/>
        </w:rPr>
      </w:pPr>
      <w:r w:rsidRPr="009B4253">
        <w:rPr>
          <w:color w:val="000000" w:themeColor="text1"/>
          <w:lang w:val="en-GB"/>
        </w:rPr>
        <w:t>Slow-healing of wounds</w:t>
      </w:r>
    </w:p>
    <w:p w14:paraId="2ED9B600" w14:textId="77777777" w:rsidR="00AE577C" w:rsidRPr="009B4253" w:rsidRDefault="00AE577C" w:rsidP="00AE577C">
      <w:pPr>
        <w:pStyle w:val="ListParagraph"/>
        <w:numPr>
          <w:ilvl w:val="0"/>
          <w:numId w:val="1"/>
        </w:numPr>
        <w:rPr>
          <w:color w:val="000000" w:themeColor="text1"/>
          <w:lang w:val="en-GB"/>
        </w:rPr>
      </w:pPr>
      <w:r w:rsidRPr="009B4253">
        <w:rPr>
          <w:color w:val="000000" w:themeColor="text1"/>
          <w:lang w:val="en-GB"/>
        </w:rPr>
        <w:t xml:space="preserve">Blurred vision </w:t>
      </w:r>
    </w:p>
    <w:p w14:paraId="7127F956" w14:textId="77777777" w:rsidR="00AE577C" w:rsidRPr="009B4253" w:rsidRDefault="00AE577C" w:rsidP="00AE577C">
      <w:pPr>
        <w:pStyle w:val="ListParagraph"/>
        <w:numPr>
          <w:ilvl w:val="0"/>
          <w:numId w:val="1"/>
        </w:numPr>
        <w:rPr>
          <w:color w:val="000000" w:themeColor="text1"/>
          <w:lang w:val="en-GB"/>
        </w:rPr>
      </w:pPr>
      <w:r w:rsidRPr="009B4253">
        <w:rPr>
          <w:color w:val="000000" w:themeColor="text1"/>
          <w:lang w:val="en-GB"/>
        </w:rPr>
        <w:t xml:space="preserve">Tiredness </w:t>
      </w:r>
    </w:p>
    <w:p w14:paraId="25954231" w14:textId="77777777" w:rsidR="00AE577C" w:rsidRPr="009B4253" w:rsidRDefault="00AE577C" w:rsidP="00AE577C">
      <w:pPr>
        <w:pStyle w:val="ListParagraph"/>
        <w:numPr>
          <w:ilvl w:val="0"/>
          <w:numId w:val="1"/>
        </w:numPr>
        <w:rPr>
          <w:color w:val="000000" w:themeColor="text1"/>
          <w:lang w:val="en-GB"/>
        </w:rPr>
      </w:pPr>
      <w:r w:rsidRPr="009B4253">
        <w:rPr>
          <w:color w:val="000000" w:themeColor="text1"/>
          <w:lang w:val="en-GB"/>
        </w:rPr>
        <w:t>Numbness or tingling (National Health Service, 2025)</w:t>
      </w:r>
    </w:p>
    <w:p w14:paraId="6A1925A5" w14:textId="77777777" w:rsidR="00AE577C" w:rsidRPr="009B4253" w:rsidRDefault="00AE577C" w:rsidP="00AE577C">
      <w:pPr>
        <w:rPr>
          <w:color w:val="000000" w:themeColor="text1"/>
          <w:lang w:val="en-GB"/>
        </w:rPr>
      </w:pPr>
      <w:r w:rsidRPr="009B4253">
        <w:rPr>
          <w:color w:val="000000" w:themeColor="text1"/>
          <w:lang w:val="en-GB"/>
        </w:rPr>
        <w:t>Older adults often experience changes in appetite in terms of increased hunger, losing interest in food and sleep disturbances (</w:t>
      </w:r>
      <w:r w:rsidRPr="009B4253">
        <w:rPr>
          <w:rFonts w:cs="Arial"/>
          <w:color w:val="000000" w:themeColor="text1"/>
          <w:lang w:val="en-GB"/>
        </w:rPr>
        <w:t xml:space="preserve">Ding </w:t>
      </w:r>
      <w:r w:rsidRPr="009B4253">
        <w:rPr>
          <w:rFonts w:cs="Arial"/>
          <w:i/>
          <w:iCs/>
          <w:color w:val="000000" w:themeColor="text1"/>
          <w:lang w:val="en-GB"/>
        </w:rPr>
        <w:t>et al.,</w:t>
      </w:r>
      <w:r w:rsidRPr="009B4253">
        <w:rPr>
          <w:rFonts w:cs="Arial"/>
          <w:color w:val="000000" w:themeColor="text1"/>
          <w:lang w:val="en-GB"/>
        </w:rPr>
        <w:t xml:space="preserve"> 2024)</w:t>
      </w:r>
      <w:r w:rsidRPr="009B4253">
        <w:rPr>
          <w:color w:val="000000" w:themeColor="text1"/>
          <w:lang w:val="en-GB"/>
        </w:rPr>
        <w:t xml:space="preserve">. Experiencing these symptoms requires consultation with a healthcare professional for blood glucose testing. Early diagnosis is essential to prevent complications and ensure the long-term health of the population. </w:t>
      </w:r>
    </w:p>
    <w:p w14:paraId="61C60E98" w14:textId="77777777" w:rsidR="00AE577C" w:rsidRPr="009B4253" w:rsidRDefault="00AE577C" w:rsidP="00AE577C">
      <w:pPr>
        <w:jc w:val="center"/>
        <w:rPr>
          <w:color w:val="000000" w:themeColor="text1"/>
          <w:lang w:val="en-GB"/>
        </w:rPr>
      </w:pPr>
      <w:r w:rsidRPr="009B4253">
        <w:rPr>
          <w:noProof/>
          <w:color w:val="000000" w:themeColor="text1"/>
          <w:lang w:val="en-GB"/>
        </w:rPr>
        <w:drawing>
          <wp:inline distT="0" distB="0" distL="0" distR="0" wp14:anchorId="5D7D394B" wp14:editId="280BD767">
            <wp:extent cx="2446020" cy="3663927"/>
            <wp:effectExtent l="0" t="0" r="0" b="0"/>
            <wp:docPr id="536091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091243" name=""/>
                    <pic:cNvPicPr/>
                  </pic:nvPicPr>
                  <pic:blipFill>
                    <a:blip r:embed="rId10"/>
                    <a:stretch>
                      <a:fillRect/>
                    </a:stretch>
                  </pic:blipFill>
                  <pic:spPr>
                    <a:xfrm>
                      <a:off x="0" y="0"/>
                      <a:ext cx="2446020" cy="3663927"/>
                    </a:xfrm>
                    <a:prstGeom prst="rect">
                      <a:avLst/>
                    </a:prstGeom>
                  </pic:spPr>
                </pic:pic>
              </a:graphicData>
            </a:graphic>
          </wp:inline>
        </w:drawing>
      </w:r>
    </w:p>
    <w:p w14:paraId="062ACD64" w14:textId="77777777" w:rsidR="00AE577C" w:rsidRPr="009B4253" w:rsidRDefault="00AE577C" w:rsidP="00AE577C">
      <w:pPr>
        <w:jc w:val="center"/>
        <w:rPr>
          <w:b/>
          <w:bCs/>
          <w:color w:val="000000" w:themeColor="text1"/>
          <w:lang w:val="en-GB"/>
        </w:rPr>
      </w:pPr>
      <w:r w:rsidRPr="009B4253">
        <w:rPr>
          <w:b/>
          <w:bCs/>
          <w:color w:val="000000" w:themeColor="text1"/>
          <w:lang w:val="en-GB"/>
        </w:rPr>
        <w:t>Figure 1: Signs and Symptoms of T2DM</w:t>
      </w:r>
    </w:p>
    <w:p w14:paraId="4038E351" w14:textId="5F6FC430" w:rsidR="00AE577C" w:rsidRPr="009B4253" w:rsidRDefault="00AE577C" w:rsidP="00E84585">
      <w:pPr>
        <w:jc w:val="center"/>
        <w:rPr>
          <w:color w:val="000000" w:themeColor="text1"/>
          <w:lang w:val="en-GB"/>
        </w:rPr>
        <w:sectPr w:rsidR="00AE577C" w:rsidRPr="009B4253" w:rsidSect="00997780">
          <w:footerReference w:type="default" r:id="rId11"/>
          <w:pgSz w:w="16838" w:h="11906" w:orient="landscape" w:code="9"/>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num="2" w:space="709"/>
          <w:docGrid w:linePitch="360"/>
        </w:sectPr>
      </w:pPr>
      <w:r w:rsidRPr="009B4253">
        <w:rPr>
          <w:color w:val="000000" w:themeColor="text1"/>
          <w:lang w:val="en-GB"/>
        </w:rPr>
        <w:t>Source: (Cleveland Clinic, 2023)</w:t>
      </w:r>
    </w:p>
    <w:p w14:paraId="61757F0E" w14:textId="77777777" w:rsidR="00AE577C" w:rsidRPr="009B4253" w:rsidRDefault="00AE577C" w:rsidP="00AE577C">
      <w:pPr>
        <w:pStyle w:val="Heading1"/>
        <w:rPr>
          <w:lang w:val="en-GB"/>
        </w:rPr>
      </w:pPr>
      <w:bookmarkStart w:id="3" w:name="_Toc213963913"/>
      <w:r w:rsidRPr="009B4253">
        <w:rPr>
          <w:lang w:val="en-GB"/>
        </w:rPr>
        <w:t>Aetiology of T2DM</w:t>
      </w:r>
      <w:bookmarkEnd w:id="3"/>
    </w:p>
    <w:p w14:paraId="739813C0" w14:textId="77777777" w:rsidR="00AE577C" w:rsidRPr="009B4253" w:rsidRDefault="00AE577C" w:rsidP="00AE577C">
      <w:pPr>
        <w:rPr>
          <w:color w:val="000000" w:themeColor="text1"/>
          <w:lang w:val="en-GB"/>
        </w:rPr>
      </w:pPr>
      <w:r w:rsidRPr="009B4253">
        <w:rPr>
          <w:color w:val="000000" w:themeColor="text1"/>
          <w:lang w:val="en-GB"/>
        </w:rPr>
        <w:t>T2DM is one of the chronic metabolic disorders which mainly occurs when the body either becomes resistant to insulin or does not produce enough insulin to maintain blood glucose levels. It can be stated that insulin is a responsible hormone that helps glucose enter the body cells, which can be used for energy (</w:t>
      </w:r>
      <w:r w:rsidRPr="009B4253">
        <w:rPr>
          <w:rFonts w:cs="Arial"/>
          <w:color w:val="000000" w:themeColor="text1"/>
          <w:lang w:val="en-GB"/>
        </w:rPr>
        <w:t>Rahman, 2021)</w:t>
      </w:r>
      <w:r w:rsidRPr="009B4253">
        <w:rPr>
          <w:color w:val="000000" w:themeColor="text1"/>
          <w:lang w:val="en-GB"/>
        </w:rPr>
        <w:t xml:space="preserve">. However, this process becomes impaired in T2DM, which results in excess glucose circulation in the bloodstream. The biopsychosocial model views diabetes as a result of biological, psychological and social factors (Duinkerken </w:t>
      </w:r>
      <w:r w:rsidRPr="009B4253">
        <w:rPr>
          <w:i/>
          <w:iCs/>
          <w:color w:val="000000" w:themeColor="text1"/>
          <w:lang w:val="en-GB"/>
        </w:rPr>
        <w:t>et al.,</w:t>
      </w:r>
      <w:r w:rsidRPr="009B4253">
        <w:rPr>
          <w:color w:val="000000" w:themeColor="text1"/>
          <w:lang w:val="en-GB"/>
        </w:rPr>
        <w:t xml:space="preserve"> 2020). Genetics, lifestyle factors and psychological factors can trigger the disease conditions. The biological, social and psychological factors responsible for developing this condition are described below</w:t>
      </w:r>
    </w:p>
    <w:p w14:paraId="2C3A9A86" w14:textId="77777777" w:rsidR="00AE577C" w:rsidRPr="009B4253" w:rsidRDefault="00AE577C" w:rsidP="00E84585">
      <w:pPr>
        <w:pStyle w:val="Heading2"/>
        <w:rPr>
          <w:lang w:val="en-GB"/>
        </w:rPr>
      </w:pPr>
      <w:bookmarkStart w:id="4" w:name="_Toc213963914"/>
      <w:r w:rsidRPr="009B4253">
        <w:rPr>
          <w:lang w:val="en-GB"/>
        </w:rPr>
        <w:t>Ageing</w:t>
      </w:r>
      <w:bookmarkEnd w:id="4"/>
      <w:r w:rsidRPr="009B4253">
        <w:rPr>
          <w:lang w:val="en-GB"/>
        </w:rPr>
        <w:t xml:space="preserve"> </w:t>
      </w:r>
    </w:p>
    <w:p w14:paraId="5F46BE33" w14:textId="77777777" w:rsidR="00AE577C" w:rsidRPr="009B4253" w:rsidRDefault="00AE577C" w:rsidP="00AE577C">
      <w:pPr>
        <w:rPr>
          <w:color w:val="000000" w:themeColor="text1"/>
          <w:lang w:val="en-GB"/>
        </w:rPr>
      </w:pPr>
      <w:r w:rsidRPr="009B4253">
        <w:rPr>
          <w:color w:val="000000" w:themeColor="text1"/>
          <w:lang w:val="en-GB"/>
        </w:rPr>
        <w:t>It is one of the risk factors for developing T2DM, as metabolism slows down in many people as they grow older. Additionally, a decrease in muscle mass leads to insulin resistance. The ability of the body to regulate blood glucose level weakens due to age-related changes, where older adults experience issues like hypertension, obesity and many more (</w:t>
      </w:r>
      <w:r w:rsidRPr="009B4253">
        <w:rPr>
          <w:rFonts w:cs="Arial"/>
          <w:color w:val="000000" w:themeColor="text1"/>
          <w:lang w:val="en-GB"/>
        </w:rPr>
        <w:t xml:space="preserve">Huang </w:t>
      </w:r>
      <w:r w:rsidRPr="009B4253">
        <w:rPr>
          <w:rFonts w:cs="Arial"/>
          <w:i/>
          <w:iCs/>
          <w:color w:val="000000" w:themeColor="text1"/>
          <w:lang w:val="en-GB"/>
        </w:rPr>
        <w:t>et al.,</w:t>
      </w:r>
      <w:r w:rsidRPr="009B4253">
        <w:rPr>
          <w:rFonts w:cs="Arial"/>
          <w:color w:val="000000" w:themeColor="text1"/>
          <w:lang w:val="en-GB"/>
        </w:rPr>
        <w:t xml:space="preserve"> 2023)</w:t>
      </w:r>
      <w:r w:rsidRPr="009B4253">
        <w:rPr>
          <w:color w:val="000000" w:themeColor="text1"/>
          <w:lang w:val="en-GB"/>
        </w:rPr>
        <w:t>. Furthermore, hormonal changes can also influence glucose metabolism among women. For example, in postmenopausal women, lower oestrogen levels are associated with high insulin resistance (</w:t>
      </w:r>
      <w:r w:rsidRPr="009B4253">
        <w:rPr>
          <w:rFonts w:cs="Arial"/>
          <w:color w:val="000000" w:themeColor="text1"/>
          <w:lang w:val="en-GB"/>
        </w:rPr>
        <w:t xml:space="preserve">De Paoli </w:t>
      </w:r>
      <w:r w:rsidRPr="009B4253">
        <w:rPr>
          <w:rFonts w:cs="Arial"/>
          <w:i/>
          <w:iCs/>
          <w:color w:val="000000" w:themeColor="text1"/>
          <w:lang w:val="en-GB"/>
        </w:rPr>
        <w:t>et al.,</w:t>
      </w:r>
      <w:r w:rsidRPr="009B4253">
        <w:rPr>
          <w:rFonts w:cs="Arial"/>
          <w:color w:val="000000" w:themeColor="text1"/>
          <w:lang w:val="en-GB"/>
        </w:rPr>
        <w:t xml:space="preserve"> 2021)</w:t>
      </w:r>
      <w:r w:rsidRPr="009B4253">
        <w:rPr>
          <w:color w:val="000000" w:themeColor="text1"/>
          <w:lang w:val="en-GB"/>
        </w:rPr>
        <w:t xml:space="preserve">. As a result, it contributes to impaired action of insulin and leads to T2DM. </w:t>
      </w:r>
    </w:p>
    <w:p w14:paraId="37FB9B38" w14:textId="77777777" w:rsidR="00AE577C" w:rsidRPr="009B4253" w:rsidRDefault="00AE577C" w:rsidP="00E84585">
      <w:pPr>
        <w:pStyle w:val="Heading2"/>
        <w:rPr>
          <w:lang w:val="en-GB"/>
        </w:rPr>
      </w:pPr>
      <w:bookmarkStart w:id="5" w:name="_Toc213963915"/>
      <w:r w:rsidRPr="009B4253">
        <w:rPr>
          <w:lang w:val="en-GB"/>
        </w:rPr>
        <w:t>Genetic</w:t>
      </w:r>
      <w:bookmarkEnd w:id="5"/>
    </w:p>
    <w:p w14:paraId="4A7E9460" w14:textId="77777777" w:rsidR="00AE577C" w:rsidRPr="009B4253" w:rsidRDefault="00AE577C" w:rsidP="00AE577C">
      <w:pPr>
        <w:rPr>
          <w:color w:val="000000" w:themeColor="text1"/>
          <w:lang w:val="en-GB"/>
        </w:rPr>
      </w:pPr>
      <w:r w:rsidRPr="009B4253">
        <w:rPr>
          <w:color w:val="000000" w:themeColor="text1"/>
          <w:lang w:val="en-GB"/>
        </w:rPr>
        <w:t>It has played a major role in the development of this chronic condition. Individuals having a family history of diabetes are at higher risk of developing T2DM as they may inherit genes which affect insulin secretion (</w:t>
      </w:r>
      <w:r w:rsidRPr="009B4253">
        <w:rPr>
          <w:rFonts w:cs="Arial"/>
          <w:color w:val="000000" w:themeColor="text1"/>
          <w:lang w:val="en-GB"/>
        </w:rPr>
        <w:t>Laakso and Silva, 2022)</w:t>
      </w:r>
      <w:r w:rsidRPr="009B4253">
        <w:rPr>
          <w:color w:val="000000" w:themeColor="text1"/>
          <w:lang w:val="en-GB"/>
        </w:rPr>
        <w:t xml:space="preserve">. The study by Jani et al. (2021) identified that 17.55% of participants with diabetes reported having one family member with diabetes. Therefore, if a person has a family history of T2DM, it is essential to identify early symptoms and detect the condition for further management. </w:t>
      </w:r>
    </w:p>
    <w:p w14:paraId="750F0954" w14:textId="77777777" w:rsidR="00AE577C" w:rsidRPr="009B4253" w:rsidRDefault="00AE577C" w:rsidP="00E84585">
      <w:pPr>
        <w:pStyle w:val="Heading2"/>
        <w:rPr>
          <w:lang w:val="en-GB"/>
        </w:rPr>
      </w:pPr>
      <w:bookmarkStart w:id="6" w:name="_Toc213963916"/>
      <w:r w:rsidRPr="009B4253">
        <w:rPr>
          <w:lang w:val="en-GB"/>
        </w:rPr>
        <w:t>Lifestyle Factors</w:t>
      </w:r>
      <w:bookmarkEnd w:id="6"/>
    </w:p>
    <w:p w14:paraId="5CE5CF47" w14:textId="77777777" w:rsidR="00AE577C" w:rsidRPr="009B4253" w:rsidRDefault="00AE577C" w:rsidP="00AE577C">
      <w:pPr>
        <w:rPr>
          <w:color w:val="000000" w:themeColor="text1"/>
          <w:lang w:val="en-GB"/>
        </w:rPr>
      </w:pPr>
      <w:r w:rsidRPr="009B4253">
        <w:rPr>
          <w:color w:val="000000" w:themeColor="text1"/>
          <w:lang w:val="en-GB"/>
        </w:rPr>
        <w:t>Modern lifestyles, including diet and physical activity, have contributed to this disease. Consuming foods which are high in sugar, refined carbohydrates, and saturated fats can lead to weight gain (</w:t>
      </w:r>
      <w:r w:rsidRPr="009B4253">
        <w:rPr>
          <w:rFonts w:cs="Arial"/>
          <w:color w:val="000000" w:themeColor="text1"/>
          <w:lang w:val="en-GB"/>
        </w:rPr>
        <w:t xml:space="preserve">Conrad </w:t>
      </w:r>
      <w:r w:rsidRPr="009B4253">
        <w:rPr>
          <w:rFonts w:cs="Arial"/>
          <w:i/>
          <w:iCs/>
          <w:color w:val="000000" w:themeColor="text1"/>
          <w:lang w:val="en-GB"/>
        </w:rPr>
        <w:t>et al.,</w:t>
      </w:r>
      <w:r w:rsidRPr="009B4253">
        <w:rPr>
          <w:rFonts w:cs="Arial"/>
          <w:color w:val="000000" w:themeColor="text1"/>
          <w:lang w:val="en-GB"/>
        </w:rPr>
        <w:t xml:space="preserve"> 2022)</w:t>
      </w:r>
      <w:r w:rsidRPr="009B4253">
        <w:rPr>
          <w:color w:val="000000" w:themeColor="text1"/>
          <w:lang w:val="en-GB"/>
        </w:rPr>
        <w:t>. Diet has played an important role in regulating the blood sugar level by consuming fibre-rich, protein-rich foods. Therefore, a diet lacking in fruits and vegetables can worsen the glucose control level. On the other hand, a sedentary lifestyle can also reduce the body's ability to utilise glucose for energy (</w:t>
      </w:r>
      <w:r w:rsidRPr="009B4253">
        <w:rPr>
          <w:rFonts w:cs="Arial"/>
          <w:color w:val="000000" w:themeColor="text1"/>
          <w:lang w:val="en-GB"/>
        </w:rPr>
        <w:t xml:space="preserve">Li </w:t>
      </w:r>
      <w:r w:rsidRPr="009B4253">
        <w:rPr>
          <w:rFonts w:cs="Arial"/>
          <w:i/>
          <w:iCs/>
          <w:color w:val="000000" w:themeColor="text1"/>
          <w:lang w:val="en-GB"/>
        </w:rPr>
        <w:t>et al.,</w:t>
      </w:r>
      <w:r w:rsidRPr="009B4253">
        <w:rPr>
          <w:rFonts w:cs="Arial"/>
          <w:color w:val="000000" w:themeColor="text1"/>
          <w:lang w:val="en-GB"/>
        </w:rPr>
        <w:t xml:space="preserve"> 2022)</w:t>
      </w:r>
      <w:r w:rsidRPr="009B4253">
        <w:rPr>
          <w:color w:val="000000" w:themeColor="text1"/>
          <w:lang w:val="en-GB"/>
        </w:rPr>
        <w:t xml:space="preserve">. At the same time, it promotes fat accumulation. It is evaluated that regular exercise can improve insulin sensitivity; however, less activity among older people leads to T2DM. An unhealthy diet and lack of physical exercise contribute to obesity, which is another risk factor for T2DM. Excess abdominal fat releases hormones, which can interfere with insulin functions. Therefore, proper diet and physical activity are essential to reduce the chances of developing diabetes. </w:t>
      </w:r>
    </w:p>
    <w:p w14:paraId="774DC90E" w14:textId="77777777" w:rsidR="00AE577C" w:rsidRPr="009B4253" w:rsidRDefault="00AE577C" w:rsidP="00E84585">
      <w:pPr>
        <w:pStyle w:val="Heading2"/>
        <w:rPr>
          <w:lang w:val="en-GB"/>
        </w:rPr>
      </w:pPr>
      <w:bookmarkStart w:id="7" w:name="_Toc213963917"/>
      <w:r w:rsidRPr="009B4253">
        <w:rPr>
          <w:lang w:val="en-GB"/>
        </w:rPr>
        <w:t>Environmental and Psychological factors</w:t>
      </w:r>
      <w:bookmarkEnd w:id="7"/>
    </w:p>
    <w:p w14:paraId="7E271E5C" w14:textId="77777777" w:rsidR="00AE577C" w:rsidRPr="009B4253" w:rsidRDefault="00AE577C" w:rsidP="00AE577C">
      <w:pPr>
        <w:rPr>
          <w:color w:val="000000" w:themeColor="text1"/>
          <w:lang w:val="en-GB"/>
        </w:rPr>
        <w:sectPr w:rsidR="00AE577C" w:rsidRPr="009B4253" w:rsidSect="00997780">
          <w:pgSz w:w="16838" w:h="11906" w:orient="landscape" w:code="9"/>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3DC4AE6D" w14:textId="649CCC8F" w:rsidR="00AE577C" w:rsidRPr="009B4253" w:rsidRDefault="00AE577C" w:rsidP="00AE577C">
      <w:pPr>
        <w:rPr>
          <w:color w:val="000000" w:themeColor="text1"/>
          <w:lang w:val="en-GB"/>
        </w:rPr>
      </w:pPr>
      <w:r w:rsidRPr="009B4253">
        <w:rPr>
          <w:color w:val="000000" w:themeColor="text1"/>
          <w:lang w:val="en-GB"/>
        </w:rPr>
        <w:t>Poor sleep and chronic stress are recognised as contributing factors to T2DM. On the other hand, stress hormones such as cortisol can elevate blood glucose levels. It is identified that exposure to pollutants like nitrogen dioxide and fine particulate matter can develop inflammation and oxidative stress (</w:t>
      </w:r>
      <w:r w:rsidRPr="009B4253">
        <w:rPr>
          <w:rFonts w:cs="Arial"/>
          <w:color w:val="000000" w:themeColor="text1"/>
          <w:lang w:val="en-GB"/>
        </w:rPr>
        <w:t xml:space="preserve">Hussein </w:t>
      </w:r>
      <w:r w:rsidRPr="009B4253">
        <w:rPr>
          <w:rFonts w:cs="Arial"/>
          <w:i/>
          <w:iCs/>
          <w:color w:val="000000" w:themeColor="text1"/>
          <w:lang w:val="en-GB"/>
        </w:rPr>
        <w:t>et al.,</w:t>
      </w:r>
      <w:r w:rsidRPr="009B4253">
        <w:rPr>
          <w:rFonts w:cs="Arial"/>
          <w:color w:val="000000" w:themeColor="text1"/>
          <w:lang w:val="en-GB"/>
        </w:rPr>
        <w:t xml:space="preserve"> 2022)</w:t>
      </w:r>
      <w:r w:rsidRPr="009B4253">
        <w:rPr>
          <w:color w:val="000000" w:themeColor="text1"/>
          <w:lang w:val="en-GB"/>
        </w:rPr>
        <w:t xml:space="preserve">. It can also lead to insulin resistance. </w:t>
      </w:r>
    </w:p>
    <w:p w14:paraId="4EE7D31E" w14:textId="03A5CF50" w:rsidR="00AE577C" w:rsidRPr="009B4253" w:rsidRDefault="00AE577C" w:rsidP="00E84585">
      <w:pPr>
        <w:rPr>
          <w:color w:val="000000" w:themeColor="text1"/>
          <w:lang w:val="en-GB"/>
        </w:rPr>
      </w:pPr>
      <w:r w:rsidRPr="009B4253">
        <w:rPr>
          <w:color w:val="000000" w:themeColor="text1"/>
          <w:lang w:val="en-GB"/>
        </w:rPr>
        <w:t>T2DM can be developed from the interaction between lifestyle factors, genetic predisposition, and even ageing. For the older adults, management of this condition is essential, which can depend on adopting healthier habits, staying physically active and maintaining a balanced diet. Thus, early awareness can empower individuals to take necessary steps to control diabetes.</w:t>
      </w:r>
    </w:p>
    <w:p w14:paraId="2E9B105F" w14:textId="77777777" w:rsidR="00AE577C" w:rsidRPr="009B4253" w:rsidRDefault="00AE577C" w:rsidP="00AE577C">
      <w:pPr>
        <w:jc w:val="center"/>
        <w:rPr>
          <w:color w:val="000000" w:themeColor="text1"/>
          <w:lang w:val="en-GB"/>
        </w:rPr>
      </w:pPr>
      <w:r w:rsidRPr="009B4253">
        <w:rPr>
          <w:noProof/>
          <w:color w:val="000000" w:themeColor="text1"/>
          <w:lang w:val="en-GB"/>
        </w:rPr>
        <w:drawing>
          <wp:inline distT="0" distB="0" distL="0" distR="0" wp14:anchorId="69534622" wp14:editId="4CDD8093">
            <wp:extent cx="4814454" cy="2757055"/>
            <wp:effectExtent l="0" t="0" r="24765" b="5715"/>
            <wp:docPr id="91083223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DCFEAA0" w14:textId="77777777" w:rsidR="00AE577C" w:rsidRPr="009B4253" w:rsidRDefault="00AE577C" w:rsidP="00AE577C">
      <w:pPr>
        <w:jc w:val="center"/>
        <w:rPr>
          <w:b/>
          <w:bCs/>
          <w:color w:val="000000" w:themeColor="text1"/>
          <w:lang w:val="en-GB"/>
        </w:rPr>
      </w:pPr>
      <w:r w:rsidRPr="009B4253">
        <w:rPr>
          <w:b/>
          <w:bCs/>
          <w:color w:val="000000" w:themeColor="text1"/>
          <w:lang w:val="en-GB"/>
        </w:rPr>
        <w:t>Figure 2: Risk Factors of T2DM</w:t>
      </w:r>
    </w:p>
    <w:p w14:paraId="7C68B4FE" w14:textId="77777777" w:rsidR="00AE577C" w:rsidRPr="009B4253" w:rsidRDefault="00AE577C" w:rsidP="00AE577C">
      <w:pPr>
        <w:jc w:val="center"/>
        <w:rPr>
          <w:color w:val="000000" w:themeColor="text1"/>
          <w:lang w:val="en-GB"/>
        </w:rPr>
        <w:sectPr w:rsidR="00AE577C" w:rsidRPr="009B4253" w:rsidSect="00997780">
          <w:pgSz w:w="16838" w:h="11906" w:orient="landscape" w:code="9"/>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r w:rsidRPr="009B4253">
        <w:rPr>
          <w:color w:val="000000" w:themeColor="text1"/>
          <w:lang w:val="en-GB"/>
        </w:rPr>
        <w:t>Source: (Self-developed)</w:t>
      </w:r>
    </w:p>
    <w:p w14:paraId="575EE710" w14:textId="77777777" w:rsidR="00AE577C" w:rsidRPr="009B4253" w:rsidRDefault="00AE577C" w:rsidP="00AE577C">
      <w:pPr>
        <w:pStyle w:val="Heading1"/>
        <w:rPr>
          <w:lang w:val="en-GB"/>
        </w:rPr>
      </w:pPr>
      <w:bookmarkStart w:id="8" w:name="_Toc213963918"/>
      <w:r w:rsidRPr="009B4253">
        <w:rPr>
          <w:lang w:val="en-GB"/>
        </w:rPr>
        <w:t>Complications associated with T2DM</w:t>
      </w:r>
      <w:bookmarkEnd w:id="8"/>
    </w:p>
    <w:p w14:paraId="6ED347F2" w14:textId="77777777" w:rsidR="00AE577C" w:rsidRPr="009B4253" w:rsidRDefault="00AE577C" w:rsidP="00AE577C">
      <w:pPr>
        <w:rPr>
          <w:color w:val="000000" w:themeColor="text1"/>
          <w:lang w:val="en-GB"/>
        </w:rPr>
      </w:pPr>
      <w:r w:rsidRPr="009B4253">
        <w:rPr>
          <w:color w:val="000000" w:themeColor="text1"/>
          <w:lang w:val="en-GB"/>
        </w:rPr>
        <w:t>T2DM can lead to several health conditions if the blood sugar level is not controlled properly. In older adults, the complication is higher due to their age-related factors. Hence, it is essential to understand the complications and take preventive actions for managing them. Some complications of T2DM include</w:t>
      </w:r>
    </w:p>
    <w:p w14:paraId="3A7C07C6" w14:textId="77777777" w:rsidR="00AE577C" w:rsidRPr="009B4253" w:rsidRDefault="00AE577C" w:rsidP="00AE577C">
      <w:pPr>
        <w:pStyle w:val="ListParagraph"/>
        <w:numPr>
          <w:ilvl w:val="0"/>
          <w:numId w:val="4"/>
        </w:numPr>
        <w:rPr>
          <w:color w:val="000000" w:themeColor="text1"/>
          <w:lang w:val="en-GB"/>
        </w:rPr>
      </w:pPr>
      <w:r w:rsidRPr="009B4253">
        <w:rPr>
          <w:color w:val="000000" w:themeColor="text1"/>
          <w:lang w:val="en-GB"/>
        </w:rPr>
        <w:t>Cardiovascular risks are one of the severe consequences of T2DM, as high blood sugar levels can damage the blood vessels. As a result, it increased the risks of heart attack, stroke and other cardiovascular diseases (</w:t>
      </w:r>
      <w:r w:rsidRPr="009B4253">
        <w:rPr>
          <w:rFonts w:cs="Arial"/>
          <w:color w:val="000000" w:themeColor="text1"/>
          <w:lang w:val="en-GB"/>
        </w:rPr>
        <w:t>Rosengren and Dikaiou, 2023)</w:t>
      </w:r>
      <w:r w:rsidRPr="009B4253">
        <w:rPr>
          <w:color w:val="000000" w:themeColor="text1"/>
          <w:lang w:val="en-GB"/>
        </w:rPr>
        <w:t xml:space="preserve">. Individuals having diabetes increased risks of CVD by 2-4 times (Dal Canto </w:t>
      </w:r>
      <w:r w:rsidRPr="009B4253">
        <w:rPr>
          <w:i/>
          <w:iCs/>
          <w:color w:val="000000" w:themeColor="text1"/>
          <w:lang w:val="en-GB"/>
        </w:rPr>
        <w:t>et al.,</w:t>
      </w:r>
      <w:r w:rsidRPr="009B4253">
        <w:rPr>
          <w:color w:val="000000" w:themeColor="text1"/>
          <w:lang w:val="en-GB"/>
        </w:rPr>
        <w:t xml:space="preserve"> 2020). Maintaining the cholesterol level and controlling blood pressure can reduce the chances of developing heart disease.</w:t>
      </w:r>
    </w:p>
    <w:p w14:paraId="43431052" w14:textId="77777777" w:rsidR="00AE577C" w:rsidRPr="009B4253" w:rsidRDefault="00AE577C" w:rsidP="00AE577C">
      <w:pPr>
        <w:pStyle w:val="ListParagraph"/>
        <w:numPr>
          <w:ilvl w:val="0"/>
          <w:numId w:val="4"/>
        </w:numPr>
        <w:rPr>
          <w:color w:val="000000" w:themeColor="text1"/>
          <w:lang w:val="en-GB"/>
        </w:rPr>
      </w:pPr>
      <w:r w:rsidRPr="009B4253">
        <w:rPr>
          <w:color w:val="000000" w:themeColor="text1"/>
          <w:lang w:val="en-GB"/>
        </w:rPr>
        <w:t>Diabetic nephropathy is a common event among individuals with T2DM. It can lead to CKD (“Chronic Kidney Disease”) and reduce kidney function (</w:t>
      </w:r>
      <w:r w:rsidRPr="009B4253">
        <w:rPr>
          <w:rFonts w:cs="Arial"/>
          <w:color w:val="000000" w:themeColor="text1"/>
          <w:lang w:val="en-GB"/>
        </w:rPr>
        <w:t xml:space="preserve">Mullins </w:t>
      </w:r>
      <w:r w:rsidRPr="009B4253">
        <w:rPr>
          <w:rFonts w:cs="Arial"/>
          <w:i/>
          <w:iCs/>
          <w:color w:val="000000" w:themeColor="text1"/>
          <w:lang w:val="en-GB"/>
        </w:rPr>
        <w:t>et al.,</w:t>
      </w:r>
      <w:r w:rsidRPr="009B4253">
        <w:rPr>
          <w:rFonts w:cs="Arial"/>
          <w:color w:val="000000" w:themeColor="text1"/>
          <w:lang w:val="en-GB"/>
        </w:rPr>
        <w:t xml:space="preserve"> 2022)</w:t>
      </w:r>
      <w:r w:rsidRPr="009B4253">
        <w:rPr>
          <w:color w:val="000000" w:themeColor="text1"/>
          <w:lang w:val="en-GB"/>
        </w:rPr>
        <w:t>. Early detection by testing urine and blood can identify kidney damage and help take necessary actions to protect kidney function.</w:t>
      </w:r>
    </w:p>
    <w:p w14:paraId="7ED5E803" w14:textId="77777777" w:rsidR="00AE577C" w:rsidRPr="009B4253" w:rsidRDefault="00AE577C" w:rsidP="00AE577C">
      <w:pPr>
        <w:pStyle w:val="ListParagraph"/>
        <w:numPr>
          <w:ilvl w:val="0"/>
          <w:numId w:val="4"/>
        </w:numPr>
        <w:rPr>
          <w:color w:val="000000" w:themeColor="text1"/>
          <w:lang w:val="en-GB"/>
        </w:rPr>
      </w:pPr>
      <w:r w:rsidRPr="009B4253">
        <w:rPr>
          <w:color w:val="000000" w:themeColor="text1"/>
          <w:lang w:val="en-GB"/>
        </w:rPr>
        <w:t>High glucose levels also damage nerves, which is known as diabetic neuropathy. The symptoms of this condition include numbness, tingling, a blurring sensation and others (</w:t>
      </w:r>
      <w:r w:rsidRPr="009B4253">
        <w:rPr>
          <w:rFonts w:cs="Arial"/>
          <w:color w:val="000000" w:themeColor="text1"/>
          <w:lang w:val="en-GB"/>
        </w:rPr>
        <w:t xml:space="preserve">Eid </w:t>
      </w:r>
      <w:r w:rsidRPr="009B4253">
        <w:rPr>
          <w:rFonts w:cs="Arial"/>
          <w:i/>
          <w:iCs/>
          <w:color w:val="000000" w:themeColor="text1"/>
          <w:lang w:val="en-GB"/>
        </w:rPr>
        <w:t>et al.,</w:t>
      </w:r>
      <w:r w:rsidRPr="009B4253">
        <w:rPr>
          <w:rFonts w:cs="Arial"/>
          <w:color w:val="000000" w:themeColor="text1"/>
          <w:lang w:val="en-GB"/>
        </w:rPr>
        <w:t xml:space="preserve"> 2023)</w:t>
      </w:r>
      <w:r w:rsidRPr="009B4253">
        <w:rPr>
          <w:color w:val="000000" w:themeColor="text1"/>
          <w:lang w:val="en-GB"/>
        </w:rPr>
        <w:t xml:space="preserve">. The patient can also lose sensation and increase the risk of ulcers. </w:t>
      </w:r>
    </w:p>
    <w:p w14:paraId="6F32AD34" w14:textId="77777777" w:rsidR="00AE577C" w:rsidRPr="009B4253" w:rsidRDefault="00AE577C" w:rsidP="00AE577C">
      <w:pPr>
        <w:pStyle w:val="ListParagraph"/>
        <w:numPr>
          <w:ilvl w:val="0"/>
          <w:numId w:val="4"/>
        </w:numPr>
        <w:rPr>
          <w:color w:val="000000" w:themeColor="text1"/>
          <w:lang w:val="en-GB"/>
        </w:rPr>
      </w:pPr>
      <w:r w:rsidRPr="009B4253">
        <w:rPr>
          <w:color w:val="000000" w:themeColor="text1"/>
          <w:lang w:val="en-GB"/>
        </w:rPr>
        <w:t>Diabetes can harm the small blood vessels in the retina, which can cause diabetic retinopathy. It can lead to blurred vision, and older adults are vulnerable due to existing conditions like cataracts (</w:t>
      </w:r>
      <w:r w:rsidRPr="009B4253">
        <w:rPr>
          <w:rFonts w:cs="Arial"/>
          <w:color w:val="000000" w:themeColor="text1"/>
          <w:lang w:val="en-GB"/>
        </w:rPr>
        <w:t xml:space="preserve">Fung </w:t>
      </w:r>
      <w:r w:rsidRPr="009B4253">
        <w:rPr>
          <w:rFonts w:cs="Arial"/>
          <w:i/>
          <w:iCs/>
          <w:color w:val="000000" w:themeColor="text1"/>
          <w:lang w:val="en-GB"/>
        </w:rPr>
        <w:t>et al.,</w:t>
      </w:r>
      <w:r w:rsidRPr="009B4253">
        <w:rPr>
          <w:rFonts w:cs="Arial"/>
          <w:color w:val="000000" w:themeColor="text1"/>
          <w:lang w:val="en-GB"/>
        </w:rPr>
        <w:t xml:space="preserve"> 2022)</w:t>
      </w:r>
      <w:r w:rsidRPr="009B4253">
        <w:rPr>
          <w:color w:val="000000" w:themeColor="text1"/>
          <w:lang w:val="en-GB"/>
        </w:rPr>
        <w:t>. The Diabetic Eye screening programme is recommended for early detection of this condition and for treating it.</w:t>
      </w:r>
    </w:p>
    <w:p w14:paraId="062B964F" w14:textId="77777777" w:rsidR="00AE577C" w:rsidRPr="009B4253" w:rsidRDefault="00AE577C" w:rsidP="00AE577C">
      <w:pPr>
        <w:rPr>
          <w:color w:val="000000" w:themeColor="text1"/>
          <w:lang w:val="en-GB"/>
        </w:rPr>
      </w:pPr>
      <w:r w:rsidRPr="009B4253">
        <w:rPr>
          <w:color w:val="000000" w:themeColor="text1"/>
          <w:lang w:val="en-GB"/>
        </w:rPr>
        <w:t xml:space="preserve">Complications of T2DM can affect various organ systems, and it is the responsibility of the healthcare professional to prevent the disease. Regular monitoring, proper management, early detection and multidisciplinary support can reduce the burden of these complications. </w:t>
      </w:r>
    </w:p>
    <w:p w14:paraId="51321643" w14:textId="77777777" w:rsidR="00AE577C" w:rsidRPr="009B4253" w:rsidRDefault="00AE577C" w:rsidP="00AE577C">
      <w:pPr>
        <w:pStyle w:val="Heading1"/>
        <w:rPr>
          <w:lang w:val="en-GB"/>
        </w:rPr>
        <w:sectPr w:rsidR="00AE577C" w:rsidRPr="009B4253" w:rsidSect="00997780">
          <w:pgSz w:w="16838" w:h="11906" w:orient="landscape" w:code="9"/>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098CDFB6" w14:textId="77777777" w:rsidR="00AE577C" w:rsidRPr="009B4253" w:rsidRDefault="00AE577C" w:rsidP="00AE577C">
      <w:pPr>
        <w:pStyle w:val="Heading1"/>
        <w:rPr>
          <w:lang w:val="en-GB"/>
        </w:rPr>
      </w:pPr>
      <w:bookmarkStart w:id="9" w:name="_Toc213963919"/>
      <w:r w:rsidRPr="009B4253">
        <w:rPr>
          <w:lang w:val="en-GB"/>
        </w:rPr>
        <w:t>Diagnosis and Monitoring</w:t>
      </w:r>
      <w:bookmarkEnd w:id="9"/>
      <w:r w:rsidRPr="009B4253">
        <w:rPr>
          <w:lang w:val="en-GB"/>
        </w:rPr>
        <w:t xml:space="preserve"> </w:t>
      </w:r>
    </w:p>
    <w:p w14:paraId="7C6EF4A6" w14:textId="77777777" w:rsidR="00AE577C" w:rsidRPr="009B4253" w:rsidRDefault="00AE577C" w:rsidP="00AE577C">
      <w:pPr>
        <w:rPr>
          <w:color w:val="000000" w:themeColor="text1"/>
          <w:lang w:val="en-GB"/>
        </w:rPr>
      </w:pPr>
      <w:r w:rsidRPr="009B4253">
        <w:rPr>
          <w:color w:val="000000" w:themeColor="text1"/>
          <w:lang w:val="en-GB"/>
        </w:rPr>
        <w:t>Early diagnosis of diabetes is essential for preventing complications and ensuring effective management. Timely detection among the older population could be challenging due to the gradual development of signs. However, regular screening and monitoring of diabetes care are essential to manage this condition. The necessary procedures, which should be followed for early diagnosis of T2DM, are described below.</w:t>
      </w:r>
    </w:p>
    <w:p w14:paraId="47AC7299" w14:textId="77777777" w:rsidR="00AE577C" w:rsidRPr="009B4253" w:rsidRDefault="00AE577C" w:rsidP="00AE577C">
      <w:pPr>
        <w:rPr>
          <w:color w:val="000000" w:themeColor="text1"/>
          <w:lang w:val="en-GB"/>
        </w:rPr>
      </w:pPr>
      <w:r w:rsidRPr="009B4253">
        <w:rPr>
          <w:color w:val="000000" w:themeColor="text1"/>
          <w:lang w:val="en-GB"/>
        </w:rPr>
        <w:t>In the UK, the healthcare professionals follow NICE (“National Institute for Health and Care Excellence”) guidelines to diagnose diabetes (NICE, 2022) The major diagnostic tests, including</w:t>
      </w:r>
    </w:p>
    <w:p w14:paraId="3DB53FCF" w14:textId="77777777" w:rsidR="00AE577C" w:rsidRPr="009B4253" w:rsidRDefault="00AE577C" w:rsidP="00AE577C">
      <w:pPr>
        <w:pStyle w:val="ListParagraph"/>
        <w:numPr>
          <w:ilvl w:val="0"/>
          <w:numId w:val="2"/>
        </w:numPr>
        <w:rPr>
          <w:color w:val="000000" w:themeColor="text1"/>
          <w:lang w:val="en-GB"/>
        </w:rPr>
      </w:pPr>
      <w:r w:rsidRPr="009B4253">
        <w:rPr>
          <w:color w:val="000000" w:themeColor="text1"/>
          <w:lang w:val="en-GB"/>
        </w:rPr>
        <w:t>“Fasting Plasma Glucose” test to measure blood sugar after an overnight fast, where a result of 5.6 mmol/L or higher indicates having diabetes (Diabetes UK, 2025b)</w:t>
      </w:r>
    </w:p>
    <w:p w14:paraId="6D5DB513" w14:textId="77777777" w:rsidR="00AE577C" w:rsidRPr="009B4253" w:rsidRDefault="00AE577C" w:rsidP="00AE577C">
      <w:pPr>
        <w:pStyle w:val="ListParagraph"/>
        <w:numPr>
          <w:ilvl w:val="0"/>
          <w:numId w:val="2"/>
        </w:numPr>
        <w:rPr>
          <w:color w:val="000000" w:themeColor="text1"/>
          <w:lang w:val="en-GB"/>
        </w:rPr>
      </w:pPr>
      <w:r w:rsidRPr="009B4253">
        <w:rPr>
          <w:color w:val="000000" w:themeColor="text1"/>
          <w:lang w:val="en-GB"/>
        </w:rPr>
        <w:t xml:space="preserve">The HbA1c (Glycated Haemoglobin) test is done to reflect the average blood sugar level over the last 2-3 months. It is identified that the HbA1c level of 48 mmol/L or above indicates diabetes (Mayo Clinic, 2024). This test is used widely as it does not require fasting and even delivers long-term insight into glucose control. </w:t>
      </w:r>
    </w:p>
    <w:p w14:paraId="3EF881AE" w14:textId="77777777" w:rsidR="00AE577C" w:rsidRPr="009B4253" w:rsidRDefault="00AE577C" w:rsidP="00AE577C">
      <w:pPr>
        <w:pStyle w:val="ListParagraph"/>
        <w:numPr>
          <w:ilvl w:val="0"/>
          <w:numId w:val="2"/>
        </w:numPr>
        <w:rPr>
          <w:color w:val="000000" w:themeColor="text1"/>
          <w:lang w:val="en-GB"/>
        </w:rPr>
      </w:pPr>
      <w:r w:rsidRPr="009B4253">
        <w:rPr>
          <w:color w:val="000000" w:themeColor="text1"/>
          <w:lang w:val="en-GB"/>
        </w:rPr>
        <w:t>"Random Plasma Glucose Test", where a result of more than 11.1 mmol/L indicates symptoms like increased thirst and confirms diabetes (Diabetes UK, 2025b).</w:t>
      </w:r>
    </w:p>
    <w:p w14:paraId="5E93B9B7" w14:textId="77777777" w:rsidR="00AE577C" w:rsidRPr="009B4253" w:rsidRDefault="00AE577C" w:rsidP="00AE577C">
      <w:pPr>
        <w:pStyle w:val="ListParagraph"/>
        <w:numPr>
          <w:ilvl w:val="0"/>
          <w:numId w:val="2"/>
        </w:numPr>
        <w:rPr>
          <w:color w:val="000000" w:themeColor="text1"/>
          <w:lang w:val="en-GB"/>
        </w:rPr>
      </w:pPr>
      <w:r w:rsidRPr="009B4253">
        <w:rPr>
          <w:color w:val="000000" w:themeColor="text1"/>
          <w:lang w:val="en-GB"/>
        </w:rPr>
        <w:t xml:space="preserve">“Oral Glucose Tolerance Test” involves measuring blood glucose before and two hours after taking the glucose solution. A level of 11.1 mmol/L or higher confirms that the individual (Mayo Clinic, 2024). </w:t>
      </w:r>
    </w:p>
    <w:p w14:paraId="64488296" w14:textId="77777777" w:rsidR="00AE577C" w:rsidRPr="009B4253" w:rsidRDefault="00AE577C" w:rsidP="00AE577C">
      <w:pPr>
        <w:rPr>
          <w:color w:val="000000" w:themeColor="text1"/>
          <w:lang w:val="en-GB"/>
        </w:rPr>
      </w:pPr>
      <w:r w:rsidRPr="009B4253">
        <w:rPr>
          <w:color w:val="000000" w:themeColor="text1"/>
          <w:lang w:val="en-GB"/>
        </w:rPr>
        <w:t>Older adults are considered to be at a higher risk of developing complications due to undiagnosed diabetes. Early detection not only allows individuals to make lifestyle modifications but also reduces the likelihood of cardiovascular diseases, kidney issues and others. As per the recommendations of the NHS, adults over the age of 40 or having risk factors like obesity, family history and others should undergo diabetes screening (NHS UK, 2023). It can help to improve their conditions and support long-term health.</w:t>
      </w:r>
    </w:p>
    <w:p w14:paraId="4CC69DEA" w14:textId="77777777" w:rsidR="00AE577C" w:rsidRPr="009B4253" w:rsidRDefault="00AE577C" w:rsidP="00E84585">
      <w:pPr>
        <w:pStyle w:val="Heading2"/>
        <w:rPr>
          <w:lang w:val="en-GB"/>
        </w:rPr>
      </w:pPr>
      <w:bookmarkStart w:id="10" w:name="_Toc213963920"/>
      <w:r w:rsidRPr="009B4253">
        <w:rPr>
          <w:lang w:val="en-GB"/>
        </w:rPr>
        <w:t>Ongoing Monitoring</w:t>
      </w:r>
      <w:bookmarkEnd w:id="10"/>
    </w:p>
    <w:p w14:paraId="7AA509A6" w14:textId="77777777" w:rsidR="00AE577C" w:rsidRPr="009B4253" w:rsidRDefault="00AE577C" w:rsidP="00AE577C">
      <w:pPr>
        <w:rPr>
          <w:color w:val="000000" w:themeColor="text1"/>
          <w:lang w:val="en-GB"/>
        </w:rPr>
      </w:pPr>
      <w:r w:rsidRPr="009B4253">
        <w:rPr>
          <w:color w:val="000000" w:themeColor="text1"/>
          <w:lang w:val="en-GB"/>
        </w:rPr>
        <w:t xml:space="preserve">After diagnosis of T2DM, regular monitoring of blood glucose levels is essential for preventing complications. Conducting HbA1C monitoring every 3-6 months is essential to evaluate blood glucose levels (Mayo Clinic, 2024). At the same time, self-monitoring is important by using a blood glucose meter to check the levels at home. This can help the patients to identify self-management practices through diet, medication and exercise and also consult with the healthcare professionals (Lu </w:t>
      </w:r>
      <w:r w:rsidRPr="009B4253">
        <w:rPr>
          <w:i/>
          <w:iCs/>
          <w:color w:val="000000" w:themeColor="text1"/>
          <w:lang w:val="en-GB"/>
        </w:rPr>
        <w:t>et al.,</w:t>
      </w:r>
      <w:r w:rsidRPr="009B4253">
        <w:rPr>
          <w:color w:val="000000" w:themeColor="text1"/>
          <w:lang w:val="en-GB"/>
        </w:rPr>
        <w:t xml:space="preserve"> 2021). The management of T2DM often requires a multidisciplinary team such as doctors, nurses, dietitians, pharmacists and others. Their professional engagement can help to develop a care plan based on the individual's needs and improve their well-being.</w:t>
      </w:r>
    </w:p>
    <w:p w14:paraId="287017DF" w14:textId="77777777" w:rsidR="00AE577C" w:rsidRPr="009B4253" w:rsidRDefault="00AE577C" w:rsidP="00AE577C">
      <w:pPr>
        <w:pStyle w:val="Heading1"/>
        <w:rPr>
          <w:lang w:val="en-GB"/>
        </w:rPr>
      </w:pPr>
      <w:bookmarkStart w:id="11" w:name="_Toc213963921"/>
      <w:r w:rsidRPr="009B4253">
        <w:rPr>
          <w:lang w:val="en-GB"/>
        </w:rPr>
        <w:t>Treating T2DM</w:t>
      </w:r>
      <w:bookmarkEnd w:id="11"/>
      <w:r w:rsidRPr="009B4253">
        <w:rPr>
          <w:lang w:val="en-GB"/>
        </w:rPr>
        <w:t xml:space="preserve"> </w:t>
      </w:r>
    </w:p>
    <w:p w14:paraId="6F509582" w14:textId="77777777" w:rsidR="00AE577C" w:rsidRPr="009B4253" w:rsidRDefault="00AE577C" w:rsidP="00AE577C">
      <w:pPr>
        <w:rPr>
          <w:color w:val="000000" w:themeColor="text1"/>
          <w:lang w:val="en-GB"/>
        </w:rPr>
      </w:pPr>
      <w:r w:rsidRPr="009B4253">
        <w:rPr>
          <w:color w:val="000000" w:themeColor="text1"/>
          <w:lang w:val="en-GB"/>
        </w:rPr>
        <w:t>A long-term and person-centred approach is essential to manage diabetes by particularly focusing on maintaining blood glucose levels. The NHS Chronic Care model focuses on creating a patient-centred system, which integrates self-management support and community resources. It has encouraged collaboration between patients and health professionals (Newbound, 2019). The key elements of this model include regular monitoring, education and coordinated multidisciplinary support. As a result, it has improved patient outcomes and enhanced self-care. The management of T2DM is discussed below.</w:t>
      </w:r>
    </w:p>
    <w:p w14:paraId="018491B8" w14:textId="77777777" w:rsidR="00AE577C" w:rsidRPr="009B4253" w:rsidRDefault="00AE577C" w:rsidP="00AE577C">
      <w:pPr>
        <w:rPr>
          <w:color w:val="000000" w:themeColor="text1"/>
          <w:lang w:val="en-GB"/>
        </w:rPr>
      </w:pPr>
      <w:r w:rsidRPr="009B4253">
        <w:rPr>
          <w:b/>
          <w:bCs/>
          <w:i/>
          <w:iCs/>
          <w:color w:val="000000" w:themeColor="text1"/>
          <w:lang w:val="en-GB"/>
        </w:rPr>
        <w:t>Healthy Diet</w:t>
      </w:r>
      <w:r w:rsidRPr="009B4253">
        <w:rPr>
          <w:color w:val="000000" w:themeColor="text1"/>
          <w:lang w:val="en-GB"/>
        </w:rPr>
        <w:t>- It is one of the crucial factors to manage diabetes and reduce complications like obesity, heart disease and others. Consuming a balanced diet is important to control blood sugar levels (</w:t>
      </w:r>
      <w:r w:rsidRPr="009B4253">
        <w:rPr>
          <w:rFonts w:cs="Arial"/>
          <w:color w:val="000000" w:themeColor="text1"/>
          <w:lang w:val="en-GB"/>
        </w:rPr>
        <w:t xml:space="preserve">Bajrami </w:t>
      </w:r>
      <w:r w:rsidRPr="009B4253">
        <w:rPr>
          <w:rFonts w:cs="Arial"/>
          <w:i/>
          <w:iCs/>
          <w:color w:val="000000" w:themeColor="text1"/>
          <w:lang w:val="en-GB"/>
        </w:rPr>
        <w:t>et al.,</w:t>
      </w:r>
      <w:r w:rsidRPr="009B4253">
        <w:rPr>
          <w:rFonts w:cs="Arial"/>
          <w:color w:val="000000" w:themeColor="text1"/>
          <w:lang w:val="en-GB"/>
        </w:rPr>
        <w:t xml:space="preserve"> 2024)</w:t>
      </w:r>
      <w:r w:rsidRPr="009B4253">
        <w:rPr>
          <w:color w:val="000000" w:themeColor="text1"/>
          <w:lang w:val="en-GB"/>
        </w:rPr>
        <w:t>. For example, a balanced diet with whole grains, vegetables and fruits could be beneficial to consume enough fibre. It can help to improve digestion and regulate blood sugar. Additionally, meals should include enough protein like chicken, lentils, fish and plenty of green leafy vegetables. However, controlling the portion is essential as frequent meals can stabilise the glucose levels (</w:t>
      </w:r>
      <w:r w:rsidRPr="009B4253">
        <w:rPr>
          <w:rFonts w:cs="Arial"/>
          <w:color w:val="000000" w:themeColor="text1"/>
          <w:lang w:val="en-GB"/>
        </w:rPr>
        <w:t xml:space="preserve">Papakonstantinou </w:t>
      </w:r>
      <w:r w:rsidRPr="009B4253">
        <w:rPr>
          <w:rFonts w:cs="Arial"/>
          <w:i/>
          <w:iCs/>
          <w:color w:val="000000" w:themeColor="text1"/>
          <w:lang w:val="en-GB"/>
        </w:rPr>
        <w:t>et al.,</w:t>
      </w:r>
      <w:r w:rsidRPr="009B4253">
        <w:rPr>
          <w:rFonts w:cs="Arial"/>
          <w:color w:val="000000" w:themeColor="text1"/>
          <w:lang w:val="en-GB"/>
        </w:rPr>
        <w:t xml:space="preserve"> 2022)</w:t>
      </w:r>
      <w:r w:rsidRPr="009B4253">
        <w:rPr>
          <w:color w:val="000000" w:themeColor="text1"/>
          <w:lang w:val="en-GB"/>
        </w:rPr>
        <w:t xml:space="preserve">. The person should focus on consuming foods with added sugar, high sodium and processed foods as they can spike the blood sugar levels. Consultation with Dietitians could be effective to get a personalised dietary plan for meeting the recommended dietary allowance and restricting food choices. </w:t>
      </w:r>
    </w:p>
    <w:p w14:paraId="55D6EC20" w14:textId="77777777" w:rsidR="00AE577C" w:rsidRPr="009B4253" w:rsidRDefault="00AE577C" w:rsidP="00AE577C">
      <w:pPr>
        <w:rPr>
          <w:color w:val="000000" w:themeColor="text1"/>
          <w:lang w:val="en-GB"/>
        </w:rPr>
      </w:pPr>
      <w:r w:rsidRPr="009B4253">
        <w:rPr>
          <w:b/>
          <w:bCs/>
          <w:i/>
          <w:iCs/>
          <w:color w:val="000000" w:themeColor="text1"/>
          <w:lang w:val="en-GB"/>
        </w:rPr>
        <w:t>Physical Activity</w:t>
      </w:r>
      <w:r w:rsidRPr="009B4253">
        <w:rPr>
          <w:color w:val="000000" w:themeColor="text1"/>
          <w:lang w:val="en-GB"/>
        </w:rPr>
        <w:t>- Regular exercise can help increase insulin sensitivity and help control body weight. Older people might have mobility issues, which can restrict physical activity. However, some recommended activities include brisk walking, yoga, swimming, light aerobics and others (</w:t>
      </w:r>
      <w:r w:rsidRPr="009B4253">
        <w:rPr>
          <w:rFonts w:cs="Arial"/>
          <w:color w:val="000000" w:themeColor="text1"/>
          <w:lang w:val="en-GB"/>
        </w:rPr>
        <w:t>Harrington and Henson, 2021)</w:t>
      </w:r>
      <w:r w:rsidRPr="009B4253">
        <w:rPr>
          <w:color w:val="000000" w:themeColor="text1"/>
          <w:lang w:val="en-GB"/>
        </w:rPr>
        <w:t xml:space="preserve">. However, consulting with a physiotherapist can help in the appropriate selection of activities based on the individual's needs. Besides that, the NHS advises that 150 minutes of moderate activity per week can improve health conditions (NHS, 2024). Therefore, following regular physical exercise can maintain blood sugar levels effectively. </w:t>
      </w:r>
    </w:p>
    <w:p w14:paraId="312D6EE1" w14:textId="77777777" w:rsidR="00AE577C" w:rsidRPr="009B4253" w:rsidRDefault="00AE577C" w:rsidP="00AE577C">
      <w:pPr>
        <w:rPr>
          <w:color w:val="000000" w:themeColor="text1"/>
          <w:lang w:val="en-GB"/>
        </w:rPr>
      </w:pPr>
      <w:r w:rsidRPr="009B4253">
        <w:rPr>
          <w:b/>
          <w:bCs/>
          <w:i/>
          <w:iCs/>
          <w:color w:val="000000" w:themeColor="text1"/>
          <w:lang w:val="en-GB"/>
        </w:rPr>
        <w:t>Medication Management</w:t>
      </w:r>
      <w:r w:rsidRPr="009B4253">
        <w:rPr>
          <w:color w:val="000000" w:themeColor="text1"/>
          <w:lang w:val="en-GB"/>
        </w:rPr>
        <w:t>- Medication is provided to the individuals when lifestyle changes cannot adequately control the blood glucose level. Metformin is one of the prescribed medications in T2DM management (</w:t>
      </w:r>
      <w:r w:rsidRPr="009B4253">
        <w:rPr>
          <w:rFonts w:cs="Arial"/>
          <w:color w:val="000000" w:themeColor="text1"/>
          <w:lang w:val="en-GB"/>
        </w:rPr>
        <w:t xml:space="preserve">Baker </w:t>
      </w:r>
      <w:r w:rsidRPr="009B4253">
        <w:rPr>
          <w:rFonts w:cs="Arial"/>
          <w:i/>
          <w:iCs/>
          <w:color w:val="000000" w:themeColor="text1"/>
          <w:lang w:val="en-GB"/>
        </w:rPr>
        <w:t xml:space="preserve">et al., </w:t>
      </w:r>
      <w:r w:rsidRPr="009B4253">
        <w:rPr>
          <w:rFonts w:cs="Arial"/>
          <w:color w:val="000000" w:themeColor="text1"/>
          <w:lang w:val="en-GB"/>
        </w:rPr>
        <w:t>2021)</w:t>
      </w:r>
      <w:r w:rsidRPr="009B4253">
        <w:rPr>
          <w:color w:val="000000" w:themeColor="text1"/>
          <w:lang w:val="en-GB"/>
        </w:rPr>
        <w:t>. It reduces glucose production in the liver and, at the same time, improves insulin sensitivity. Sulfonylureas are used to stimulate the pancreas to release more insulin, whereas DPP-4 inhibitors help increase insulin release after meals. Besides that, Thiazolidinediones, SGLT-2 inhibitors and others are also used as per the requirements of the adults (</w:t>
      </w:r>
      <w:r w:rsidRPr="009B4253">
        <w:rPr>
          <w:rFonts w:cs="Arial"/>
          <w:color w:val="000000" w:themeColor="text1"/>
          <w:lang w:val="en-GB"/>
        </w:rPr>
        <w:t xml:space="preserve">Lu </w:t>
      </w:r>
      <w:r w:rsidRPr="009B4253">
        <w:rPr>
          <w:rFonts w:cs="Arial"/>
          <w:i/>
          <w:iCs/>
          <w:color w:val="000000" w:themeColor="text1"/>
          <w:lang w:val="en-GB"/>
        </w:rPr>
        <w:t>et al.,</w:t>
      </w:r>
      <w:r w:rsidRPr="009B4253">
        <w:rPr>
          <w:rFonts w:cs="Arial"/>
          <w:color w:val="000000" w:themeColor="text1"/>
          <w:lang w:val="en-GB"/>
        </w:rPr>
        <w:t xml:space="preserve"> 2021)</w:t>
      </w:r>
      <w:r w:rsidRPr="009B4253">
        <w:rPr>
          <w:color w:val="000000" w:themeColor="text1"/>
          <w:lang w:val="en-GB"/>
        </w:rPr>
        <w:t xml:space="preserve">. On the other hand, insulin therapy is prescribed to control the blood sugar level. Insulin therapy helps the body to use glucose effectively, and insulin pens are designed for ease of use. The healthcare professionals prescribe medications based on the individual needs of the patients. </w:t>
      </w:r>
    </w:p>
    <w:p w14:paraId="37037838" w14:textId="77777777" w:rsidR="00AE577C" w:rsidRPr="009B4253" w:rsidRDefault="00AE577C" w:rsidP="00AE577C">
      <w:pPr>
        <w:rPr>
          <w:color w:val="000000" w:themeColor="text1"/>
          <w:lang w:val="en-GB"/>
        </w:rPr>
      </w:pPr>
      <w:r w:rsidRPr="009B4253">
        <w:rPr>
          <w:b/>
          <w:bCs/>
          <w:i/>
          <w:iCs/>
          <w:color w:val="000000" w:themeColor="text1"/>
          <w:lang w:val="en-GB"/>
        </w:rPr>
        <w:t>Regular Check-ups</w:t>
      </w:r>
      <w:r w:rsidRPr="009B4253">
        <w:rPr>
          <w:color w:val="000000" w:themeColor="text1"/>
          <w:lang w:val="en-GB"/>
        </w:rPr>
        <w:t xml:space="preserve">- To treat diabetes proactively, continuous monitoring is essential by using glucose meters, HbA1c testing and medication review. Following the structured care plans by the NHS can support the patients with their needs and also ensure to consult with nurses, doctors and others (NHS England, 2023). Continuous tracking of the blood glucose level provides the necessary awareness to individuals for improving their health conditions. </w:t>
      </w:r>
    </w:p>
    <w:p w14:paraId="1B27C4F4" w14:textId="77777777" w:rsidR="00AE577C" w:rsidRPr="009B4253" w:rsidRDefault="00AE577C" w:rsidP="00AE577C">
      <w:pPr>
        <w:rPr>
          <w:color w:val="000000" w:themeColor="text1"/>
          <w:lang w:val="en-GB"/>
        </w:rPr>
      </w:pPr>
      <w:r w:rsidRPr="009B4253">
        <w:rPr>
          <w:b/>
          <w:bCs/>
          <w:i/>
          <w:iCs/>
          <w:color w:val="000000" w:themeColor="text1"/>
          <w:lang w:val="en-GB"/>
        </w:rPr>
        <w:t>Weight Management</w:t>
      </w:r>
      <w:r w:rsidRPr="009B4253">
        <w:rPr>
          <w:color w:val="000000" w:themeColor="text1"/>
          <w:lang w:val="en-GB"/>
        </w:rPr>
        <w:t>- Losing weight is beneficial to manage blood sugar levels, high blood pressure and even cholesterol. Losing weight by 5% can also improve blood sugar control (CDC, 2024). It is also identified that the individuals adopted weight-loss surgery to improve their digestive systems, which can positively improve the treatment plan.</w:t>
      </w:r>
    </w:p>
    <w:p w14:paraId="5FBB787D" w14:textId="77777777" w:rsidR="00AE577C" w:rsidRPr="009B4253" w:rsidRDefault="00AE577C" w:rsidP="00AE577C">
      <w:pPr>
        <w:pStyle w:val="Heading1"/>
        <w:rPr>
          <w:lang w:val="en-GB"/>
        </w:rPr>
      </w:pPr>
      <w:bookmarkStart w:id="12" w:name="_Toc213963922"/>
      <w:r w:rsidRPr="009B4253">
        <w:rPr>
          <w:lang w:val="en-GB"/>
        </w:rPr>
        <w:t>Role of Families and Caregivers</w:t>
      </w:r>
      <w:bookmarkEnd w:id="12"/>
    </w:p>
    <w:p w14:paraId="360A47ED" w14:textId="77777777" w:rsidR="00AE577C" w:rsidRPr="009B4253" w:rsidRDefault="00AE577C" w:rsidP="00AE577C">
      <w:pPr>
        <w:rPr>
          <w:color w:val="000000" w:themeColor="text1"/>
          <w:lang w:val="en-GB"/>
        </w:rPr>
      </w:pPr>
      <w:r w:rsidRPr="009B4253">
        <w:rPr>
          <w:color w:val="000000" w:themeColor="text1"/>
          <w:lang w:val="en-GB"/>
        </w:rPr>
        <w:t>A vital role is played by families and caregivers to support the older adults who have T2DM. Effective diabetes management not only involves medical treatment but also ensures the provision of emotional and social support. Caregivers mainly assist in monitoring blood glucose levels, medication management and helping to follow recommended dietary plans (</w:t>
      </w:r>
      <w:r w:rsidRPr="009B4253">
        <w:rPr>
          <w:rFonts w:cs="Arial"/>
          <w:color w:val="000000" w:themeColor="text1"/>
          <w:lang w:val="en-GB"/>
        </w:rPr>
        <w:t xml:space="preserve">King </w:t>
      </w:r>
      <w:r w:rsidRPr="009B4253">
        <w:rPr>
          <w:rFonts w:cs="Arial"/>
          <w:i/>
          <w:iCs/>
          <w:color w:val="000000" w:themeColor="text1"/>
          <w:lang w:val="en-GB"/>
        </w:rPr>
        <w:t>et al.,</w:t>
      </w:r>
      <w:r w:rsidRPr="009B4253">
        <w:rPr>
          <w:rFonts w:cs="Arial"/>
          <w:color w:val="000000" w:themeColor="text1"/>
          <w:lang w:val="en-GB"/>
        </w:rPr>
        <w:t xml:space="preserve"> 2023)</w:t>
      </w:r>
      <w:r w:rsidRPr="009B4253">
        <w:rPr>
          <w:color w:val="000000" w:themeColor="text1"/>
          <w:lang w:val="en-GB"/>
        </w:rPr>
        <w:t>. They also encourage physical activity based on the ability of the individuals. At the same time, regular foot care is essential to reduce the chances of developing a diabetic foot ulcer. Besides that, they can also provide necessary emotional support to them by identifying their needs, open communication, making them feel supported and many more. Providing psychological and emotional support to the older population is essential to help them cope with their health conditions. It has played a crucial role in diabetes management and enhances the quality of life. Diagnosis of diabetes can trigger various emotions like fear, frustration, anxiety and many more (</w:t>
      </w:r>
      <w:r w:rsidRPr="009B4253">
        <w:rPr>
          <w:rFonts w:cs="Arial"/>
          <w:color w:val="000000" w:themeColor="text1"/>
          <w:lang w:val="en-GB"/>
        </w:rPr>
        <w:t xml:space="preserve">Mangoulia </w:t>
      </w:r>
      <w:r w:rsidRPr="009B4253">
        <w:rPr>
          <w:rFonts w:cs="Arial"/>
          <w:i/>
          <w:iCs/>
          <w:color w:val="000000" w:themeColor="text1"/>
          <w:lang w:val="en-GB"/>
        </w:rPr>
        <w:t>et al.,</w:t>
      </w:r>
      <w:r w:rsidRPr="009B4253">
        <w:rPr>
          <w:rFonts w:cs="Arial"/>
          <w:color w:val="000000" w:themeColor="text1"/>
          <w:lang w:val="en-GB"/>
        </w:rPr>
        <w:t xml:space="preserve"> 2024)</w:t>
      </w:r>
      <w:r w:rsidRPr="009B4253">
        <w:rPr>
          <w:color w:val="000000" w:themeColor="text1"/>
          <w:lang w:val="en-GB"/>
        </w:rPr>
        <w:t>. Therefore, promoting psychological resilience is essential to support them with their needs. Joining the local support groups can help them connect with others who are facing similar issues.</w:t>
      </w:r>
    </w:p>
    <w:p w14:paraId="437613E2" w14:textId="77777777" w:rsidR="00AE577C" w:rsidRPr="009B4253" w:rsidRDefault="00AE577C" w:rsidP="00AE577C">
      <w:pPr>
        <w:rPr>
          <w:color w:val="000000" w:themeColor="text1"/>
          <w:lang w:val="en-GB"/>
        </w:rPr>
      </w:pPr>
      <w:r w:rsidRPr="009B4253">
        <w:rPr>
          <w:color w:val="000000" w:themeColor="text1"/>
          <w:lang w:val="en-GB"/>
        </w:rPr>
        <w:t>Family members provide companionship and encouragement to the older adults to manage their health conditions. Positive communication with the family members has created potential opportunities to foster emotional support (</w:t>
      </w:r>
      <w:r w:rsidRPr="009B4253">
        <w:rPr>
          <w:rFonts w:cs="Arial"/>
          <w:color w:val="000000" w:themeColor="text1"/>
          <w:lang w:val="en-GB"/>
        </w:rPr>
        <w:t xml:space="preserve">Kristianingrum </w:t>
      </w:r>
      <w:r w:rsidRPr="009B4253">
        <w:rPr>
          <w:rFonts w:cs="Arial"/>
          <w:i/>
          <w:iCs/>
          <w:color w:val="000000" w:themeColor="text1"/>
          <w:lang w:val="en-GB"/>
        </w:rPr>
        <w:t>et al.,</w:t>
      </w:r>
      <w:r w:rsidRPr="009B4253">
        <w:rPr>
          <w:rFonts w:cs="Arial"/>
          <w:color w:val="000000" w:themeColor="text1"/>
          <w:lang w:val="en-GB"/>
        </w:rPr>
        <w:t xml:space="preserve"> 2021)</w:t>
      </w:r>
      <w:r w:rsidRPr="009B4253">
        <w:rPr>
          <w:color w:val="000000" w:themeColor="text1"/>
          <w:lang w:val="en-GB"/>
        </w:rPr>
        <w:t xml:space="preserve">. In this way, they encourage self-care and reduce feelings of isolation. Apart from that, showing empathy is essential to understand their needs and try to fulfil them, which can improve their health conditions. The World Health Organisation (WHO) developed the “Integrated Care for Older people” model, which provides a holistic approach to managing chronic diseases such as diabetes (WHO, 2025). This has emphasised the need to maintain autonomy, quality of life and functional ability. Nutrition, cognition, mobility, vision, hearing and psychological well-being are the six key areas of this model. Following these areas provides person-centred care and supports healthy ageing. </w:t>
      </w:r>
    </w:p>
    <w:p w14:paraId="23E59534" w14:textId="77777777" w:rsidR="00AE577C" w:rsidRPr="009B4253" w:rsidRDefault="00AE577C" w:rsidP="00AE577C">
      <w:pPr>
        <w:pStyle w:val="Heading1"/>
        <w:rPr>
          <w:lang w:val="en-GB"/>
        </w:rPr>
      </w:pPr>
      <w:bookmarkStart w:id="13" w:name="_Toc213963923"/>
      <w:r w:rsidRPr="009B4253">
        <w:rPr>
          <w:lang w:val="en-GB"/>
        </w:rPr>
        <w:t>Local and national political health and social care agendas</w:t>
      </w:r>
      <w:bookmarkEnd w:id="13"/>
    </w:p>
    <w:p w14:paraId="3999A609" w14:textId="77777777" w:rsidR="00AE577C" w:rsidRPr="009B4253" w:rsidRDefault="00AE577C" w:rsidP="00AE577C">
      <w:pPr>
        <w:rPr>
          <w:color w:val="000000" w:themeColor="text1"/>
          <w:lang w:val="en-GB"/>
        </w:rPr>
      </w:pPr>
      <w:r w:rsidRPr="009B4253">
        <w:rPr>
          <w:color w:val="000000" w:themeColor="text1"/>
          <w:lang w:val="en-GB"/>
        </w:rPr>
        <w:t xml:space="preserve">Continuous education, support and monitoring are required to manage T2DM. In the UK, a wide range of political health and social care agendas are available to help older adults manage diabetes and prevent complications. </w:t>
      </w:r>
    </w:p>
    <w:p w14:paraId="56837F4F" w14:textId="77777777" w:rsidR="00AE577C" w:rsidRPr="009B4253" w:rsidRDefault="00AE577C" w:rsidP="00E84585">
      <w:pPr>
        <w:pStyle w:val="Heading2"/>
        <w:rPr>
          <w:lang w:val="en-GB"/>
        </w:rPr>
      </w:pPr>
      <w:bookmarkStart w:id="14" w:name="_Toc213963924"/>
      <w:r w:rsidRPr="009B4253">
        <w:rPr>
          <w:lang w:val="en-GB"/>
        </w:rPr>
        <w:t>National Agendas</w:t>
      </w:r>
      <w:bookmarkEnd w:id="14"/>
    </w:p>
    <w:p w14:paraId="0DB7E3F3" w14:textId="77777777" w:rsidR="00AE577C" w:rsidRPr="009B4253" w:rsidRDefault="00AE577C" w:rsidP="00AE577C">
      <w:pPr>
        <w:rPr>
          <w:color w:val="000000" w:themeColor="text1"/>
          <w:lang w:val="en-GB"/>
        </w:rPr>
      </w:pPr>
      <w:r w:rsidRPr="009B4253">
        <w:rPr>
          <w:i/>
          <w:iCs/>
          <w:color w:val="000000" w:themeColor="text1"/>
          <w:u w:val="single"/>
          <w:lang w:val="en-GB"/>
        </w:rPr>
        <w:t>NHS Diabetes Service Programme</w:t>
      </w:r>
      <w:r w:rsidRPr="009B4253">
        <w:rPr>
          <w:color w:val="000000" w:themeColor="text1"/>
          <w:lang w:val="en-GB"/>
        </w:rPr>
        <w:t xml:space="preserve">- This programme has offered structured lifestyle support and education for individuals who are at risk of developing T2DM. It mainly focuses on weight management, healthy eating and physical activity for preventing the onset of the condition (NHS, 2025). Additionally, the “NHS Diabetes Prevention Program” aims to prevent diabetes through lifestyle changes. This program has covered more than 26 million people across 20,000 places in England by promoting lifestyle modifications (Public Health England, 2018). The individuals who are already diagnosed, NHS diabetes clinics provide access to doctors, nurses, pharmacists and dietitians. The multidisciplinary collaboration helps monitor blood glucose and address the associated complications. Additionally, regular check-ups through the “Diabetic Eye Screening Programme” can also help prevent long-term complications like vision loss (NHS.UK, 2024). </w:t>
      </w:r>
    </w:p>
    <w:p w14:paraId="62B0AA7B" w14:textId="77777777" w:rsidR="00AE577C" w:rsidRPr="009B4253" w:rsidRDefault="00AE577C" w:rsidP="00AE577C">
      <w:pPr>
        <w:rPr>
          <w:color w:val="000000" w:themeColor="text1"/>
          <w:lang w:val="en-GB"/>
        </w:rPr>
      </w:pPr>
      <w:r w:rsidRPr="009B4253">
        <w:rPr>
          <w:i/>
          <w:iCs/>
          <w:color w:val="000000" w:themeColor="text1"/>
          <w:u w:val="single"/>
          <w:lang w:val="en-GB"/>
        </w:rPr>
        <w:t>Online Resources of NHS</w:t>
      </w:r>
      <w:r w:rsidRPr="009B4253">
        <w:rPr>
          <w:color w:val="000000" w:themeColor="text1"/>
          <w:lang w:val="en-GB"/>
        </w:rPr>
        <w:t xml:space="preserve">- Healthy Living is a free NHS service providing knowledge related to managing T2DM. On the other hand, MyDESMOND is an interactive digital platform, which is approved by the NHS app library, that assists people in preventing diabetes (NHS, 2025). Apart from that, individuals can also find generation information at the NHS site. The link is provided below: </w:t>
      </w:r>
    </w:p>
    <w:p w14:paraId="2E891C48" w14:textId="02F2A0B7" w:rsidR="00AE577C" w:rsidRPr="009B4253" w:rsidRDefault="00AE577C" w:rsidP="00AE577C">
      <w:pPr>
        <w:rPr>
          <w:color w:val="000000" w:themeColor="text1"/>
          <w:lang w:val="en-GB"/>
        </w:rPr>
      </w:pPr>
      <w:hyperlink r:id="rId17" w:history="1">
        <w:r w:rsidRPr="009B4253">
          <w:rPr>
            <w:rStyle w:val="Hyperlink"/>
            <w:color w:val="000000" w:themeColor="text1"/>
            <w:lang w:val="en-GB"/>
          </w:rPr>
          <w:t>https://www.nhs.uk/conditions/diabetes/</w:t>
        </w:r>
      </w:hyperlink>
    </w:p>
    <w:p w14:paraId="5D0EC9B3" w14:textId="77777777" w:rsidR="00AE577C" w:rsidRPr="009B4253" w:rsidRDefault="00AE577C" w:rsidP="00E84585">
      <w:pPr>
        <w:pStyle w:val="Heading2"/>
        <w:rPr>
          <w:lang w:val="en-GB"/>
        </w:rPr>
      </w:pPr>
      <w:bookmarkStart w:id="15" w:name="_Toc213963925"/>
      <w:r w:rsidRPr="009B4253">
        <w:rPr>
          <w:lang w:val="en-GB"/>
        </w:rPr>
        <w:t>Local Implementation</w:t>
      </w:r>
      <w:bookmarkEnd w:id="15"/>
    </w:p>
    <w:p w14:paraId="1B5CC62D" w14:textId="77777777" w:rsidR="00AE577C" w:rsidRPr="009B4253" w:rsidRDefault="00AE577C" w:rsidP="00AE577C">
      <w:pPr>
        <w:rPr>
          <w:color w:val="000000" w:themeColor="text1"/>
          <w:lang w:val="en-GB"/>
        </w:rPr>
      </w:pPr>
      <w:r w:rsidRPr="009B4253">
        <w:rPr>
          <w:color w:val="000000" w:themeColor="text1"/>
          <w:lang w:val="en-GB"/>
        </w:rPr>
        <w:t xml:space="preserve">Community Support: Community organisations also play an important role in supporting patients with diabetes. Healthy Living Centres, Diabetes UK and Age UK offer peer-support groups and workshops where older adults can get opportunities to share their experiences and even receive mental support. </w:t>
      </w:r>
    </w:p>
    <w:p w14:paraId="512B6046" w14:textId="77777777" w:rsidR="00AE577C" w:rsidRPr="009B4253" w:rsidRDefault="00AE577C" w:rsidP="00AE577C">
      <w:pPr>
        <w:pStyle w:val="Heading1"/>
        <w:rPr>
          <w:lang w:val="en-GB"/>
        </w:rPr>
      </w:pPr>
      <w:bookmarkStart w:id="16" w:name="_Toc213963926"/>
      <w:r w:rsidRPr="009B4253">
        <w:rPr>
          <w:lang w:val="en-GB"/>
        </w:rPr>
        <w:t>Self-Management Tips</w:t>
      </w:r>
      <w:bookmarkEnd w:id="16"/>
    </w:p>
    <w:p w14:paraId="0819328D" w14:textId="77777777" w:rsidR="00AE577C" w:rsidRPr="009B4253" w:rsidRDefault="00AE577C" w:rsidP="00AE577C">
      <w:pPr>
        <w:rPr>
          <w:color w:val="000000" w:themeColor="text1"/>
          <w:lang w:val="en-GB"/>
        </w:rPr>
      </w:pPr>
      <w:r w:rsidRPr="009B4253">
        <w:rPr>
          <w:color w:val="000000" w:themeColor="text1"/>
          <w:lang w:val="en-GB"/>
        </w:rPr>
        <w:t>If you have diabetes, self-management is one of the crucial ways to improve your health conditions. Some self-management tips are discussed below, which can be adopted to promote overall well-being.</w:t>
      </w:r>
    </w:p>
    <w:p w14:paraId="49B50BE3" w14:textId="77777777" w:rsidR="00AE577C" w:rsidRPr="009B4253" w:rsidRDefault="00AE577C" w:rsidP="00AE577C">
      <w:pPr>
        <w:pStyle w:val="ListParagraph"/>
        <w:numPr>
          <w:ilvl w:val="0"/>
          <w:numId w:val="7"/>
        </w:numPr>
        <w:rPr>
          <w:color w:val="000000" w:themeColor="text1"/>
          <w:lang w:val="en-GB"/>
        </w:rPr>
      </w:pPr>
      <w:r w:rsidRPr="009B4253">
        <w:rPr>
          <w:color w:val="000000" w:themeColor="text1"/>
          <w:lang w:val="en-GB"/>
        </w:rPr>
        <w:t>A balanced diet high in fibre, such as vegetables, whole grains, fruits and pulses, could be beneficial to control blood sugar levels. Reduce intake of sugary snacks, saturated fats and refined carbohydrates (</w:t>
      </w:r>
      <w:r w:rsidRPr="009B4253">
        <w:rPr>
          <w:rFonts w:cs="Arial"/>
          <w:color w:val="000000" w:themeColor="text1"/>
          <w:lang w:val="en-GB"/>
        </w:rPr>
        <w:t xml:space="preserve">Yang </w:t>
      </w:r>
      <w:r w:rsidRPr="009B4253">
        <w:rPr>
          <w:rFonts w:cs="Arial"/>
          <w:i/>
          <w:iCs/>
          <w:color w:val="000000" w:themeColor="text1"/>
          <w:lang w:val="en-GB"/>
        </w:rPr>
        <w:t>et al.,</w:t>
      </w:r>
      <w:r w:rsidRPr="009B4253">
        <w:rPr>
          <w:rFonts w:cs="Arial"/>
          <w:color w:val="000000" w:themeColor="text1"/>
          <w:lang w:val="en-GB"/>
        </w:rPr>
        <w:t xml:space="preserve"> 2021)</w:t>
      </w:r>
      <w:r w:rsidRPr="009B4253">
        <w:rPr>
          <w:color w:val="000000" w:themeColor="text1"/>
          <w:lang w:val="en-GB"/>
        </w:rPr>
        <w:t>. It is also required to eat smaller meals throughout the day.</w:t>
      </w:r>
    </w:p>
    <w:p w14:paraId="4195D3F0" w14:textId="77777777" w:rsidR="00AE577C" w:rsidRPr="009B4253" w:rsidRDefault="00AE577C" w:rsidP="00AE577C">
      <w:pPr>
        <w:pStyle w:val="ListParagraph"/>
        <w:numPr>
          <w:ilvl w:val="0"/>
          <w:numId w:val="7"/>
        </w:numPr>
        <w:rPr>
          <w:color w:val="000000" w:themeColor="text1"/>
          <w:lang w:val="en-GB"/>
        </w:rPr>
      </w:pPr>
      <w:r w:rsidRPr="009B4253">
        <w:rPr>
          <w:color w:val="000000" w:themeColor="text1"/>
          <w:lang w:val="en-GB"/>
        </w:rPr>
        <w:t>Regular physical activity is essential to improve insulin sensitivity and support weight management. Various activities can be done like swimming, light stretching, aerobic and others. However, consult with physicians before choosing the physical activity.</w:t>
      </w:r>
    </w:p>
    <w:p w14:paraId="2BF07B2D" w14:textId="77777777" w:rsidR="00AE577C" w:rsidRPr="009B4253" w:rsidRDefault="00AE577C" w:rsidP="00AE577C">
      <w:pPr>
        <w:pStyle w:val="ListParagraph"/>
        <w:numPr>
          <w:ilvl w:val="0"/>
          <w:numId w:val="7"/>
        </w:numPr>
        <w:rPr>
          <w:color w:val="000000" w:themeColor="text1"/>
          <w:lang w:val="en-GB"/>
        </w:rPr>
      </w:pPr>
      <w:r w:rsidRPr="009B4253">
        <w:rPr>
          <w:color w:val="000000" w:themeColor="text1"/>
          <w:lang w:val="en-GB"/>
        </w:rPr>
        <w:t xml:space="preserve">Checking regular blood pressure can help monitor the blood glucose level (Yang </w:t>
      </w:r>
      <w:r w:rsidRPr="009B4253">
        <w:rPr>
          <w:i/>
          <w:iCs/>
          <w:color w:val="000000" w:themeColor="text1"/>
          <w:lang w:val="en-GB"/>
        </w:rPr>
        <w:t>et al.,</w:t>
      </w:r>
      <w:r w:rsidRPr="009B4253">
        <w:rPr>
          <w:color w:val="000000" w:themeColor="text1"/>
          <w:lang w:val="en-GB"/>
        </w:rPr>
        <w:t xml:space="preserve"> 2021). Regular HbA1c tests every 3-6 months can provide a long-term overview of glucose control.</w:t>
      </w:r>
    </w:p>
    <w:p w14:paraId="43B230C9" w14:textId="77777777" w:rsidR="00AE577C" w:rsidRPr="009B4253" w:rsidRDefault="00AE577C" w:rsidP="00AE577C">
      <w:pPr>
        <w:pStyle w:val="ListParagraph"/>
        <w:numPr>
          <w:ilvl w:val="0"/>
          <w:numId w:val="7"/>
        </w:numPr>
        <w:rPr>
          <w:color w:val="000000" w:themeColor="text1"/>
          <w:lang w:val="en-GB"/>
        </w:rPr>
      </w:pPr>
      <w:r w:rsidRPr="009B4253">
        <w:rPr>
          <w:color w:val="000000" w:themeColor="text1"/>
          <w:lang w:val="en-GB"/>
        </w:rPr>
        <w:t>Taking prescribed medications and reviewing them with doctors can avoid interactions.</w:t>
      </w:r>
    </w:p>
    <w:p w14:paraId="260654C8" w14:textId="77777777" w:rsidR="00AE577C" w:rsidRPr="009B4253" w:rsidRDefault="00AE577C" w:rsidP="00AE577C">
      <w:pPr>
        <w:pStyle w:val="ListParagraph"/>
        <w:numPr>
          <w:ilvl w:val="0"/>
          <w:numId w:val="7"/>
        </w:numPr>
        <w:rPr>
          <w:color w:val="000000" w:themeColor="text1"/>
          <w:lang w:val="en-GB"/>
        </w:rPr>
      </w:pPr>
      <w:r w:rsidRPr="009B4253">
        <w:rPr>
          <w:color w:val="000000" w:themeColor="text1"/>
          <w:lang w:val="en-GB"/>
        </w:rPr>
        <w:t>Stress management through enjoyable hobbies, mindfulness and relaxation can reduce depression and anxiety.</w:t>
      </w:r>
    </w:p>
    <w:p w14:paraId="5BEF3440" w14:textId="77777777" w:rsidR="00AE577C" w:rsidRPr="009B4253" w:rsidRDefault="00AE577C" w:rsidP="00AE577C">
      <w:pPr>
        <w:pStyle w:val="Heading1"/>
        <w:rPr>
          <w:lang w:val="en-GB"/>
        </w:rPr>
      </w:pPr>
      <w:bookmarkStart w:id="17" w:name="_Toc213963927"/>
      <w:r w:rsidRPr="009B4253">
        <w:rPr>
          <w:lang w:val="en-GB"/>
        </w:rPr>
        <w:t>Contact and Support information</w:t>
      </w:r>
      <w:bookmarkEnd w:id="17"/>
      <w:r w:rsidRPr="009B4253">
        <w:rPr>
          <w:lang w:val="en-GB"/>
        </w:rPr>
        <w:t xml:space="preserve"> </w:t>
      </w:r>
    </w:p>
    <w:p w14:paraId="02B472EA" w14:textId="77777777" w:rsidR="00AE577C" w:rsidRPr="009B4253" w:rsidRDefault="00AE577C" w:rsidP="00AE577C">
      <w:pPr>
        <w:rPr>
          <w:color w:val="000000" w:themeColor="text1"/>
          <w:lang w:val="en-GB"/>
        </w:rPr>
      </w:pPr>
      <w:r w:rsidRPr="009B4253">
        <w:rPr>
          <w:color w:val="000000" w:themeColor="text1"/>
          <w:lang w:val="en-GB"/>
        </w:rPr>
        <w:t>Getting the right advice is essential to manage diabetes effectively. The following services in the UK offer necessary guidance and support for older adults and their families.</w:t>
      </w:r>
    </w:p>
    <w:p w14:paraId="5FA9318E" w14:textId="77777777" w:rsidR="00AE577C" w:rsidRPr="009B4253" w:rsidRDefault="00AE577C" w:rsidP="00AE577C">
      <w:pPr>
        <w:rPr>
          <w:b/>
          <w:bCs/>
          <w:color w:val="000000" w:themeColor="text1"/>
          <w:lang w:val="en-GB"/>
        </w:rPr>
      </w:pPr>
      <w:r w:rsidRPr="009B4253">
        <w:rPr>
          <w:b/>
          <w:bCs/>
          <w:color w:val="000000" w:themeColor="text1"/>
          <w:lang w:val="en-GB"/>
        </w:rPr>
        <w:t>NHS Services</w:t>
      </w:r>
    </w:p>
    <w:p w14:paraId="78DEF76A" w14:textId="77777777" w:rsidR="00AE577C" w:rsidRPr="009B4253" w:rsidRDefault="00AE577C" w:rsidP="00AE577C">
      <w:pPr>
        <w:pStyle w:val="ListParagraph"/>
        <w:numPr>
          <w:ilvl w:val="0"/>
          <w:numId w:val="8"/>
        </w:numPr>
        <w:rPr>
          <w:rFonts w:cs="Arial"/>
          <w:color w:val="000000" w:themeColor="text1"/>
          <w:lang w:val="en-GB"/>
        </w:rPr>
      </w:pPr>
      <w:r w:rsidRPr="009B4253">
        <w:rPr>
          <w:rFonts w:cs="Arial"/>
          <w:color w:val="000000" w:themeColor="text1"/>
          <w:lang w:val="en-GB"/>
        </w:rPr>
        <w:t xml:space="preserve">NHS Websites: </w:t>
      </w:r>
      <w:hyperlink r:id="rId18" w:history="1">
        <w:r w:rsidRPr="009B4253">
          <w:rPr>
            <w:rStyle w:val="Hyperlink"/>
            <w:rFonts w:cs="Arial"/>
            <w:color w:val="000000" w:themeColor="text1"/>
            <w:shd w:val="clear" w:color="auto" w:fill="FFFFFF"/>
            <w:lang w:val="en-GB"/>
          </w:rPr>
          <w:t>www.nhs.uk/conditions/diabetes/</w:t>
        </w:r>
      </w:hyperlink>
      <w:r w:rsidRPr="009B4253">
        <w:rPr>
          <w:rFonts w:cs="Arial"/>
          <w:color w:val="000000" w:themeColor="text1"/>
          <w:shd w:val="clear" w:color="auto" w:fill="FFFFFF"/>
          <w:lang w:val="en-GB"/>
        </w:rPr>
        <w:t xml:space="preserve"> </w:t>
      </w:r>
    </w:p>
    <w:p w14:paraId="1CC6A4C1" w14:textId="61EF0CD9" w:rsidR="00AE577C" w:rsidRPr="009B4253" w:rsidRDefault="00AE577C" w:rsidP="00AE577C">
      <w:pPr>
        <w:pStyle w:val="ListParagraph"/>
        <w:numPr>
          <w:ilvl w:val="0"/>
          <w:numId w:val="8"/>
        </w:numPr>
        <w:rPr>
          <w:color w:val="000000" w:themeColor="text1"/>
          <w:lang w:val="en-GB"/>
        </w:rPr>
      </w:pPr>
      <w:r w:rsidRPr="009B4253">
        <w:rPr>
          <w:color w:val="000000" w:themeColor="text1"/>
          <w:lang w:val="en-GB"/>
        </w:rPr>
        <w:t>NHS 111: Call 111</w:t>
      </w:r>
      <w:r w:rsidR="00C76B26" w:rsidRPr="009B4253">
        <w:rPr>
          <w:color w:val="000000" w:themeColor="text1"/>
          <w:lang w:val="en-GB"/>
        </w:rPr>
        <w:t xml:space="preserve"> </w:t>
      </w:r>
      <w:r w:rsidRPr="009B4253">
        <w:rPr>
          <w:color w:val="000000" w:themeColor="text1"/>
          <w:lang w:val="en-GB"/>
        </w:rPr>
        <w:t>for medical advice</w:t>
      </w:r>
    </w:p>
    <w:p w14:paraId="0BAB54B6" w14:textId="77777777" w:rsidR="00AE577C" w:rsidRPr="009B4253" w:rsidRDefault="00AE577C" w:rsidP="00AE577C">
      <w:pPr>
        <w:pStyle w:val="ListParagraph"/>
        <w:numPr>
          <w:ilvl w:val="0"/>
          <w:numId w:val="8"/>
        </w:numPr>
        <w:rPr>
          <w:color w:val="000000" w:themeColor="text1"/>
          <w:lang w:val="en-GB"/>
        </w:rPr>
      </w:pPr>
      <w:r w:rsidRPr="009B4253">
        <w:rPr>
          <w:color w:val="000000" w:themeColor="text1"/>
          <w:lang w:val="en-GB"/>
        </w:rPr>
        <w:t>"Health Living" online service: A free programme for people with T2DM, which provides knowledge to support self-management.</w:t>
      </w:r>
    </w:p>
    <w:p w14:paraId="46DD805D" w14:textId="77777777" w:rsidR="00AE577C" w:rsidRPr="009B4253" w:rsidRDefault="00AE577C" w:rsidP="00AE577C">
      <w:pPr>
        <w:rPr>
          <w:b/>
          <w:bCs/>
          <w:color w:val="000000" w:themeColor="text1"/>
          <w:lang w:val="en-GB"/>
        </w:rPr>
      </w:pPr>
      <w:r w:rsidRPr="009B4253">
        <w:rPr>
          <w:b/>
          <w:bCs/>
          <w:color w:val="000000" w:themeColor="text1"/>
          <w:lang w:val="en-GB"/>
        </w:rPr>
        <w:t>Diabetes UK</w:t>
      </w:r>
    </w:p>
    <w:p w14:paraId="3A925D1B" w14:textId="77777777" w:rsidR="00AE577C" w:rsidRPr="009B4253" w:rsidRDefault="00AE577C" w:rsidP="00AE577C">
      <w:pPr>
        <w:pStyle w:val="ListParagraph"/>
        <w:numPr>
          <w:ilvl w:val="0"/>
          <w:numId w:val="9"/>
        </w:numPr>
        <w:rPr>
          <w:color w:val="000000" w:themeColor="text1"/>
          <w:lang w:val="en-GB"/>
        </w:rPr>
      </w:pPr>
      <w:r w:rsidRPr="009B4253">
        <w:rPr>
          <w:color w:val="000000" w:themeColor="text1"/>
          <w:lang w:val="en-GB"/>
        </w:rPr>
        <w:t>Helpline: 0345 123 2399</w:t>
      </w:r>
    </w:p>
    <w:p w14:paraId="4CEF2072" w14:textId="04EB6601" w:rsidR="00AE577C" w:rsidRPr="009B4253" w:rsidRDefault="00AE577C" w:rsidP="008357F2">
      <w:pPr>
        <w:pStyle w:val="ListParagraph"/>
        <w:numPr>
          <w:ilvl w:val="0"/>
          <w:numId w:val="9"/>
        </w:numPr>
        <w:rPr>
          <w:rFonts w:ascii="Times New Roman" w:hAnsi="Times New Roman" w:cs="Times New Roman"/>
          <w:color w:val="000000" w:themeColor="text1"/>
          <w:lang w:val="en-GB"/>
        </w:rPr>
      </w:pPr>
      <w:r w:rsidRPr="009B4253">
        <w:rPr>
          <w:color w:val="000000" w:themeColor="text1"/>
          <w:lang w:val="en-GB"/>
        </w:rPr>
        <w:t xml:space="preserve">Website: </w:t>
      </w:r>
      <w:hyperlink r:id="rId19" w:history="1">
        <w:r w:rsidRPr="009B4253">
          <w:rPr>
            <w:rStyle w:val="Hyperlink"/>
            <w:rFonts w:cs="Arial"/>
            <w:color w:val="000000" w:themeColor="text1"/>
            <w:shd w:val="clear" w:color="auto" w:fill="FFFFFF"/>
            <w:lang w:val="en-GB"/>
          </w:rPr>
          <w:t>www.diabetes.org.uk</w:t>
        </w:r>
      </w:hyperlink>
    </w:p>
    <w:p w14:paraId="1931A924" w14:textId="77777777" w:rsidR="008357F2" w:rsidRPr="009B4253" w:rsidRDefault="008357F2">
      <w:pPr>
        <w:spacing w:after="160" w:line="259" w:lineRule="auto"/>
        <w:jc w:val="left"/>
        <w:rPr>
          <w:rFonts w:eastAsiaTheme="majorEastAsia" w:cstheme="majorBidi"/>
          <w:b/>
          <w:color w:val="000000" w:themeColor="text1"/>
          <w:szCs w:val="40"/>
          <w:lang w:val="en-GB"/>
        </w:rPr>
      </w:pPr>
      <w:r w:rsidRPr="009B4253">
        <w:rPr>
          <w:color w:val="000000" w:themeColor="text1"/>
          <w:lang w:val="en-GB"/>
        </w:rPr>
        <w:br w:type="page"/>
      </w:r>
    </w:p>
    <w:p w14:paraId="0CBC8644" w14:textId="55B4EE95" w:rsidR="00AE577C" w:rsidRPr="009B4253" w:rsidRDefault="00AE577C" w:rsidP="00AE577C">
      <w:pPr>
        <w:pStyle w:val="Heading1"/>
        <w:rPr>
          <w:lang w:val="en-GB"/>
        </w:rPr>
      </w:pPr>
      <w:bookmarkStart w:id="18" w:name="_Toc213963928"/>
      <w:r w:rsidRPr="009B4253">
        <w:rPr>
          <w:lang w:val="en-GB"/>
        </w:rPr>
        <w:t>Reference list</w:t>
      </w:r>
      <w:bookmarkEnd w:id="18"/>
    </w:p>
    <w:p w14:paraId="25898761"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Bajrami, B.K., Blazevska, T., Tahiri, A. and Cakaj, I.K. (2024). Balancing Blood Glucose Level by Using Effective Nutrition Strategies and Change of the Lifestyle. </w:t>
      </w:r>
      <w:r w:rsidRPr="009B4253">
        <w:rPr>
          <w:rFonts w:cs="Arial"/>
          <w:i/>
          <w:iCs/>
          <w:color w:val="000000" w:themeColor="text1"/>
          <w:lang w:val="en-GB"/>
        </w:rPr>
        <w:t>International Journal of Chemical and Biochemical Sciences</w:t>
      </w:r>
      <w:r w:rsidRPr="009B4253">
        <w:rPr>
          <w:rFonts w:cs="Arial"/>
          <w:color w:val="000000" w:themeColor="text1"/>
          <w:lang w:val="en-GB"/>
        </w:rPr>
        <w:t xml:space="preserve">, [online] 26(20). </w:t>
      </w:r>
      <w:hyperlink r:id="rId20" w:history="1">
        <w:r w:rsidRPr="009B4253">
          <w:rPr>
            <w:rStyle w:val="Hyperlink"/>
            <w:rFonts w:cs="Arial"/>
            <w:color w:val="000000" w:themeColor="text1"/>
            <w:lang w:val="en-GB"/>
          </w:rPr>
          <w:t>https://doi.org/10.62877/23-ijcbs-24-26-20-23</w:t>
        </w:r>
      </w:hyperlink>
      <w:r w:rsidRPr="009B4253">
        <w:rPr>
          <w:rFonts w:cs="Arial"/>
          <w:color w:val="000000" w:themeColor="text1"/>
          <w:lang w:val="en-GB"/>
        </w:rPr>
        <w:t xml:space="preserve"> </w:t>
      </w:r>
    </w:p>
    <w:p w14:paraId="281B5EA5"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Baker, C., Retzik-Stahr, C., Singh, V., Plomondon, R., Anderson, V. and Rasouli, N. (2021). Should metformin remain the first-line therapy for treatment of type 2 diabetes? </w:t>
      </w:r>
      <w:r w:rsidRPr="009B4253">
        <w:rPr>
          <w:rFonts w:cs="Arial"/>
          <w:i/>
          <w:iCs/>
          <w:color w:val="000000" w:themeColor="text1"/>
          <w:lang w:val="en-GB"/>
        </w:rPr>
        <w:t>Therapeutic Advances in Endocrinology and Metabolism</w:t>
      </w:r>
      <w:r w:rsidRPr="009B4253">
        <w:rPr>
          <w:rFonts w:cs="Arial"/>
          <w:color w:val="000000" w:themeColor="text1"/>
          <w:lang w:val="en-GB"/>
        </w:rPr>
        <w:t xml:space="preserve">, [online] 12(12), p.204201882098022. </w:t>
      </w:r>
      <w:hyperlink r:id="rId21" w:history="1">
        <w:r w:rsidRPr="009B4253">
          <w:rPr>
            <w:rStyle w:val="Hyperlink"/>
            <w:rFonts w:cs="Arial"/>
            <w:color w:val="000000" w:themeColor="text1"/>
            <w:lang w:val="en-GB"/>
          </w:rPr>
          <w:t>https://doi.org/10.1177/2042018820980225</w:t>
        </w:r>
      </w:hyperlink>
      <w:r w:rsidRPr="009B4253">
        <w:rPr>
          <w:rFonts w:cs="Arial"/>
          <w:color w:val="000000" w:themeColor="text1"/>
          <w:lang w:val="en-GB"/>
        </w:rPr>
        <w:t xml:space="preserve"> </w:t>
      </w:r>
    </w:p>
    <w:p w14:paraId="3D0AA194"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Bush, K.J., A Olia Papacosta, Lennon, L.T., Rankin, J., Whincup, P.H., S Goya Wannamethee and Ramsay, S.E. (2023). Influence of neighborhood-level socioeconomic deprivation and individual socioeconomic position on risk of developing type 2 diabetes in older men: a longitudinal analysis in the British Regional Heart Study cohort. </w:t>
      </w:r>
      <w:r w:rsidRPr="009B4253">
        <w:rPr>
          <w:rFonts w:cs="Arial"/>
          <w:i/>
          <w:iCs/>
          <w:color w:val="000000" w:themeColor="text1"/>
          <w:lang w:val="en-GB"/>
        </w:rPr>
        <w:t>BMJ Open Diabetes Research &amp; Care</w:t>
      </w:r>
      <w:r w:rsidRPr="009B4253">
        <w:rPr>
          <w:rFonts w:cs="Arial"/>
          <w:color w:val="000000" w:themeColor="text1"/>
          <w:lang w:val="en-GB"/>
        </w:rPr>
        <w:t xml:space="preserve">, [online] 11(5), pp.e003559–e003559. </w:t>
      </w:r>
      <w:hyperlink r:id="rId22" w:history="1">
        <w:r w:rsidRPr="009B4253">
          <w:rPr>
            <w:rStyle w:val="Hyperlink"/>
            <w:rFonts w:cs="Arial"/>
            <w:color w:val="000000" w:themeColor="text1"/>
            <w:lang w:val="en-GB"/>
          </w:rPr>
          <w:t>https://doi.org/10.1136/bmjdrc-2023-003559</w:t>
        </w:r>
      </w:hyperlink>
      <w:r w:rsidRPr="009B4253">
        <w:rPr>
          <w:rFonts w:cs="Arial"/>
          <w:color w:val="000000" w:themeColor="text1"/>
          <w:lang w:val="en-GB"/>
        </w:rPr>
        <w:t xml:space="preserve"> </w:t>
      </w:r>
    </w:p>
    <w:p w14:paraId="5BE58919"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CDC (2024). </w:t>
      </w:r>
      <w:r w:rsidRPr="009B4253">
        <w:rPr>
          <w:rFonts w:cs="Arial"/>
          <w:i/>
          <w:iCs/>
          <w:color w:val="000000" w:themeColor="text1"/>
          <w:lang w:val="en-GB"/>
        </w:rPr>
        <w:t>Healthy Weight</w:t>
      </w:r>
      <w:r w:rsidRPr="009B4253">
        <w:rPr>
          <w:rFonts w:cs="Arial"/>
          <w:color w:val="000000" w:themeColor="text1"/>
          <w:lang w:val="en-GB"/>
        </w:rPr>
        <w:t xml:space="preserve">. [online] Diabetes. Available at: </w:t>
      </w:r>
      <w:hyperlink r:id="rId23" w:history="1">
        <w:r w:rsidRPr="009B4253">
          <w:rPr>
            <w:rStyle w:val="Hyperlink"/>
            <w:rFonts w:cs="Arial"/>
            <w:color w:val="000000" w:themeColor="text1"/>
            <w:lang w:val="en-GB"/>
          </w:rPr>
          <w:t>https://www.cdc.gov/diabetes/living-with/healthy-weight.html</w:t>
        </w:r>
      </w:hyperlink>
      <w:r w:rsidRPr="009B4253">
        <w:rPr>
          <w:rFonts w:cs="Arial"/>
          <w:color w:val="000000" w:themeColor="text1"/>
          <w:lang w:val="en-GB"/>
        </w:rPr>
        <w:t xml:space="preserve"> </w:t>
      </w:r>
    </w:p>
    <w:p w14:paraId="0FC97839"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Cleveland Clinic (2023). </w:t>
      </w:r>
      <w:r w:rsidRPr="009B4253">
        <w:rPr>
          <w:rFonts w:cs="Arial"/>
          <w:i/>
          <w:iCs/>
          <w:color w:val="000000" w:themeColor="text1"/>
          <w:lang w:val="en-GB"/>
        </w:rPr>
        <w:t>Type 2 diabetes</w:t>
      </w:r>
      <w:r w:rsidRPr="009B4253">
        <w:rPr>
          <w:rFonts w:cs="Arial"/>
          <w:color w:val="000000" w:themeColor="text1"/>
          <w:lang w:val="en-GB"/>
        </w:rPr>
        <w:t xml:space="preserve">. [online] Cleveland Clinic. Available at: </w:t>
      </w:r>
      <w:hyperlink r:id="rId24" w:history="1">
        <w:r w:rsidRPr="009B4253">
          <w:rPr>
            <w:rStyle w:val="Hyperlink"/>
            <w:rFonts w:cs="Arial"/>
            <w:color w:val="000000" w:themeColor="text1"/>
            <w:lang w:val="en-GB"/>
          </w:rPr>
          <w:t>https://my.clevelandclinic.org/health/diseases/21501-type-2-diabetes</w:t>
        </w:r>
      </w:hyperlink>
      <w:r w:rsidRPr="009B4253">
        <w:rPr>
          <w:rFonts w:cs="Arial"/>
          <w:color w:val="000000" w:themeColor="text1"/>
          <w:lang w:val="en-GB"/>
        </w:rPr>
        <w:t xml:space="preserve"> </w:t>
      </w:r>
    </w:p>
    <w:p w14:paraId="3F15EB03"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Conrad, Z., Kowalski, C., Dustin, D., Johnson, L.K., McDowell, A., Salesses, M., Nance, J. and Belury, M.A. (2022). Quality of Popular Diet Patterns in the United States: Evaluating the Effect of Substitutions for Foods High in Added Sugar, Sodium, Saturated Fat, and Refined Grains. </w:t>
      </w:r>
      <w:r w:rsidRPr="009B4253">
        <w:rPr>
          <w:rFonts w:cs="Arial"/>
          <w:i/>
          <w:iCs/>
          <w:color w:val="000000" w:themeColor="text1"/>
          <w:lang w:val="en-GB"/>
        </w:rPr>
        <w:t>Current Developments in Nutrition</w:t>
      </w:r>
      <w:r w:rsidRPr="009B4253">
        <w:rPr>
          <w:rFonts w:cs="Arial"/>
          <w:color w:val="000000" w:themeColor="text1"/>
          <w:lang w:val="en-GB"/>
        </w:rPr>
        <w:t xml:space="preserve">, 6(9). </w:t>
      </w:r>
      <w:hyperlink r:id="rId25" w:history="1">
        <w:r w:rsidRPr="009B4253">
          <w:rPr>
            <w:rStyle w:val="Hyperlink"/>
            <w:rFonts w:cs="Arial"/>
            <w:color w:val="000000" w:themeColor="text1"/>
            <w:lang w:val="en-GB"/>
          </w:rPr>
          <w:t>https://doi.org/10.1093/cdn/nzac119</w:t>
        </w:r>
      </w:hyperlink>
    </w:p>
    <w:p w14:paraId="46E5B6CB" w14:textId="77777777" w:rsidR="00BD1C87" w:rsidRPr="009B4253" w:rsidRDefault="00BD1C87" w:rsidP="00AE577C">
      <w:pPr>
        <w:rPr>
          <w:rFonts w:eastAsia="Times New Roman" w:cs="Arial"/>
          <w:color w:val="000000" w:themeColor="text1"/>
          <w:lang w:val="en-GB" w:eastAsia="en-IN" w:bidi="bn-IN"/>
        </w:rPr>
      </w:pPr>
      <w:r w:rsidRPr="009B4253">
        <w:rPr>
          <w:rFonts w:eastAsia="Times New Roman" w:cs="Arial"/>
          <w:color w:val="000000" w:themeColor="text1"/>
          <w:lang w:val="en-GB" w:eastAsia="en-IN" w:bidi="bn-IN"/>
        </w:rPr>
        <w:t xml:space="preserve">Dal Canto, E., Ceriello, A., Rydén, L., Ferrini, M., Hansen, T.B., Schnell, O., Standl, E. and Beulens, J.W. (2020). Diabetes as a cardiovascular risk factor: An overview of global trends of macro and micro vascular complications. </w:t>
      </w:r>
      <w:r w:rsidRPr="009B4253">
        <w:rPr>
          <w:rFonts w:eastAsia="Times New Roman" w:cs="Arial"/>
          <w:i/>
          <w:iCs/>
          <w:color w:val="000000" w:themeColor="text1"/>
          <w:lang w:val="en-GB" w:eastAsia="en-IN" w:bidi="bn-IN"/>
        </w:rPr>
        <w:t>European Journal of Preventive Cardiology</w:t>
      </w:r>
      <w:r w:rsidRPr="009B4253">
        <w:rPr>
          <w:rFonts w:eastAsia="Times New Roman" w:cs="Arial"/>
          <w:color w:val="000000" w:themeColor="text1"/>
          <w:lang w:val="en-GB" w:eastAsia="en-IN" w:bidi="bn-IN"/>
        </w:rPr>
        <w:t xml:space="preserve">, [online] 26(2), pp.25–32. </w:t>
      </w:r>
      <w:hyperlink r:id="rId26" w:history="1">
        <w:r w:rsidRPr="009B4253">
          <w:rPr>
            <w:rStyle w:val="Hyperlink"/>
            <w:rFonts w:eastAsia="Times New Roman" w:cs="Arial"/>
            <w:color w:val="000000" w:themeColor="text1"/>
            <w:lang w:val="en-GB" w:eastAsia="en-IN" w:bidi="bn-IN"/>
          </w:rPr>
          <w:t>https://doi.org/10.1177/2047487319878371</w:t>
        </w:r>
      </w:hyperlink>
      <w:r w:rsidRPr="009B4253">
        <w:rPr>
          <w:rFonts w:eastAsia="Times New Roman" w:cs="Arial"/>
          <w:color w:val="000000" w:themeColor="text1"/>
          <w:lang w:val="en-GB" w:eastAsia="en-IN" w:bidi="bn-IN"/>
        </w:rPr>
        <w:t xml:space="preserve"> </w:t>
      </w:r>
    </w:p>
    <w:p w14:paraId="75A26861"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De Paoli, M., Zakharia, A. and Werstuck, G.H. (2021). The Role of Estrogen in Insulin Resistance: A Review of Clinical and Preclinical Data. </w:t>
      </w:r>
      <w:r w:rsidRPr="009B4253">
        <w:rPr>
          <w:rFonts w:cs="Arial"/>
          <w:i/>
          <w:iCs/>
          <w:color w:val="000000" w:themeColor="text1"/>
          <w:lang w:val="en-GB"/>
        </w:rPr>
        <w:t>The American Journal of Pathology</w:t>
      </w:r>
      <w:r w:rsidRPr="009B4253">
        <w:rPr>
          <w:rFonts w:cs="Arial"/>
          <w:color w:val="000000" w:themeColor="text1"/>
          <w:lang w:val="en-GB"/>
        </w:rPr>
        <w:t xml:space="preserve">, [online] 191(9), pp.1490–1498. </w:t>
      </w:r>
      <w:hyperlink r:id="rId27" w:history="1">
        <w:r w:rsidRPr="009B4253">
          <w:rPr>
            <w:rStyle w:val="Hyperlink"/>
            <w:rFonts w:cs="Arial"/>
            <w:color w:val="000000" w:themeColor="text1"/>
            <w:lang w:val="en-GB"/>
          </w:rPr>
          <w:t>https://doi.org/10.1016/j.ajpath.2021.05.011</w:t>
        </w:r>
      </w:hyperlink>
    </w:p>
    <w:p w14:paraId="728B3AE2"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Diabetes UK (2025a). </w:t>
      </w:r>
      <w:r w:rsidRPr="009B4253">
        <w:rPr>
          <w:rFonts w:cs="Arial"/>
          <w:i/>
          <w:iCs/>
          <w:color w:val="000000" w:themeColor="text1"/>
          <w:lang w:val="en-GB"/>
        </w:rPr>
        <w:t>How Many People in the UK Have diabetes?</w:t>
      </w:r>
      <w:r w:rsidRPr="009B4253">
        <w:rPr>
          <w:rFonts w:cs="Arial"/>
          <w:color w:val="000000" w:themeColor="text1"/>
          <w:lang w:val="en-GB"/>
        </w:rPr>
        <w:t xml:space="preserve"> [online] Diabetes UK. Available at: </w:t>
      </w:r>
      <w:hyperlink r:id="rId28" w:history="1">
        <w:r w:rsidRPr="009B4253">
          <w:rPr>
            <w:rStyle w:val="Hyperlink"/>
            <w:rFonts w:cs="Arial"/>
            <w:color w:val="000000" w:themeColor="text1"/>
            <w:lang w:val="en-GB"/>
          </w:rPr>
          <w:t>https://www.diabetes.org.uk/about-us/about-the-charity/our-strategy/statistics</w:t>
        </w:r>
      </w:hyperlink>
      <w:r w:rsidRPr="009B4253">
        <w:rPr>
          <w:rFonts w:cs="Arial"/>
          <w:color w:val="000000" w:themeColor="text1"/>
          <w:lang w:val="en-GB"/>
        </w:rPr>
        <w:t xml:space="preserve"> </w:t>
      </w:r>
    </w:p>
    <w:p w14:paraId="625EF4CC"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Diabetes UK (2025b). </w:t>
      </w:r>
      <w:r w:rsidRPr="009B4253">
        <w:rPr>
          <w:rFonts w:cs="Arial"/>
          <w:i/>
          <w:iCs/>
          <w:color w:val="000000" w:themeColor="text1"/>
          <w:lang w:val="en-GB"/>
        </w:rPr>
        <w:t>Diagnostic criteria for diabetes</w:t>
      </w:r>
      <w:r w:rsidRPr="009B4253">
        <w:rPr>
          <w:rFonts w:cs="Arial"/>
          <w:color w:val="000000" w:themeColor="text1"/>
          <w:lang w:val="en-GB"/>
        </w:rPr>
        <w:t xml:space="preserve">. [online] Diabetes UK. Available at: </w:t>
      </w:r>
      <w:hyperlink r:id="rId29" w:history="1">
        <w:r w:rsidRPr="009B4253">
          <w:rPr>
            <w:rStyle w:val="Hyperlink"/>
            <w:rFonts w:cs="Arial"/>
            <w:color w:val="000000" w:themeColor="text1"/>
            <w:lang w:val="en-GB"/>
          </w:rPr>
          <w:t>https://www.diabetes.org.uk/for-professionals/improving-care/clinical-recommendations-for-professionals/diagnosis-ongoing-management-monitoring/new_diagnostic_criteria_for_diabetes</w:t>
        </w:r>
      </w:hyperlink>
      <w:r w:rsidRPr="009B4253">
        <w:rPr>
          <w:rFonts w:cs="Arial"/>
          <w:color w:val="000000" w:themeColor="text1"/>
          <w:lang w:val="en-GB"/>
        </w:rPr>
        <w:t xml:space="preserve"> </w:t>
      </w:r>
    </w:p>
    <w:p w14:paraId="6FE22A52"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Ding, G., Lu, M. and Li, J. (2024). BMI, weight change, appetite reduction and cognitive impairment of elderly patients with diabetes. </w:t>
      </w:r>
      <w:r w:rsidRPr="009B4253">
        <w:rPr>
          <w:rFonts w:cs="Arial"/>
          <w:i/>
          <w:iCs/>
          <w:color w:val="000000" w:themeColor="text1"/>
          <w:lang w:val="en-GB"/>
        </w:rPr>
        <w:t>Scientific Reports</w:t>
      </w:r>
      <w:r w:rsidRPr="009B4253">
        <w:rPr>
          <w:rFonts w:cs="Arial"/>
          <w:color w:val="000000" w:themeColor="text1"/>
          <w:lang w:val="en-GB"/>
        </w:rPr>
        <w:t xml:space="preserve">, [online] 14(1). </w:t>
      </w:r>
      <w:hyperlink r:id="rId30" w:history="1">
        <w:r w:rsidRPr="009B4253">
          <w:rPr>
            <w:rStyle w:val="Hyperlink"/>
            <w:rFonts w:cs="Arial"/>
            <w:color w:val="000000" w:themeColor="text1"/>
            <w:lang w:val="en-GB"/>
          </w:rPr>
          <w:t>https://doi.org/10.1038/s41598-024-65005-4</w:t>
        </w:r>
      </w:hyperlink>
      <w:r w:rsidRPr="009B4253">
        <w:rPr>
          <w:rFonts w:cs="Arial"/>
          <w:color w:val="000000" w:themeColor="text1"/>
          <w:lang w:val="en-GB"/>
        </w:rPr>
        <w:t xml:space="preserve"> </w:t>
      </w:r>
    </w:p>
    <w:p w14:paraId="527E816D" w14:textId="77777777" w:rsidR="00BD1C87" w:rsidRPr="009B4253" w:rsidRDefault="00BD1C87" w:rsidP="00AE577C">
      <w:pPr>
        <w:rPr>
          <w:rFonts w:eastAsia="Times New Roman" w:cs="Arial"/>
          <w:color w:val="000000" w:themeColor="text1"/>
          <w:lang w:val="en-GB" w:eastAsia="en-IN" w:bidi="bn-IN"/>
        </w:rPr>
      </w:pPr>
      <w:r w:rsidRPr="009B4253">
        <w:rPr>
          <w:rFonts w:eastAsia="Times New Roman" w:cs="Arial"/>
          <w:color w:val="000000" w:themeColor="text1"/>
          <w:lang w:val="en-GB" w:eastAsia="en-IN" w:bidi="bn-IN"/>
        </w:rPr>
        <w:t>Duinkerken, E., Moreno, A.B., Eto, F.N., Lotufo, P., Barreto, S.M., Giatti, L., Viana, M.C., Nunes, M.A., Chor, D. and Griep, R.H. (2020). Biopsychosocial factors associated with a current depressive episode in diabetes: the ELSA</w:t>
      </w:r>
      <w:r w:rsidRPr="009B4253">
        <w:rPr>
          <w:rFonts w:ascii="Cambria Math" w:eastAsia="Times New Roman" w:hAnsi="Cambria Math" w:cs="Cambria Math"/>
          <w:color w:val="000000" w:themeColor="text1"/>
          <w:lang w:val="en-GB" w:eastAsia="en-IN" w:bidi="bn-IN"/>
        </w:rPr>
        <w:t>‐</w:t>
      </w:r>
      <w:r w:rsidRPr="009B4253">
        <w:rPr>
          <w:rFonts w:eastAsia="Times New Roman" w:cs="Arial"/>
          <w:color w:val="000000" w:themeColor="text1"/>
          <w:lang w:val="en-GB" w:eastAsia="en-IN" w:bidi="bn-IN"/>
        </w:rPr>
        <w:t xml:space="preserve">Brasil study. </w:t>
      </w:r>
      <w:r w:rsidRPr="009B4253">
        <w:rPr>
          <w:rFonts w:eastAsia="Times New Roman" w:cs="Arial"/>
          <w:i/>
          <w:iCs/>
          <w:color w:val="000000" w:themeColor="text1"/>
          <w:lang w:val="en-GB" w:eastAsia="en-IN" w:bidi="bn-IN"/>
        </w:rPr>
        <w:t>Diabetic Medicine</w:t>
      </w:r>
      <w:r w:rsidRPr="009B4253">
        <w:rPr>
          <w:rFonts w:eastAsia="Times New Roman" w:cs="Arial"/>
          <w:color w:val="000000" w:themeColor="text1"/>
          <w:lang w:val="en-GB" w:eastAsia="en-IN" w:bidi="bn-IN"/>
        </w:rPr>
        <w:t xml:space="preserve">, 37(10). </w:t>
      </w:r>
      <w:hyperlink r:id="rId31" w:history="1">
        <w:r w:rsidRPr="009B4253">
          <w:rPr>
            <w:rStyle w:val="Hyperlink"/>
            <w:rFonts w:eastAsia="Times New Roman" w:cs="Arial"/>
            <w:color w:val="000000" w:themeColor="text1"/>
            <w:lang w:val="en-GB" w:eastAsia="en-IN" w:bidi="bn-IN"/>
          </w:rPr>
          <w:t>https://doi.org/10.1111/dme.14349</w:t>
        </w:r>
      </w:hyperlink>
      <w:r w:rsidRPr="009B4253">
        <w:rPr>
          <w:rFonts w:eastAsia="Times New Roman" w:cs="Arial"/>
          <w:color w:val="000000" w:themeColor="text1"/>
          <w:lang w:val="en-GB" w:eastAsia="en-IN" w:bidi="bn-IN"/>
        </w:rPr>
        <w:t xml:space="preserve"> </w:t>
      </w:r>
    </w:p>
    <w:p w14:paraId="5A381354"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Eid, S.A., Rumora, A.E., Beirowski, B., Bennett, D.L., Hur, J., Savelieff, M.G. and Feldman, E.L. (2023). New perspectives in diabetic neuropathy. </w:t>
      </w:r>
      <w:r w:rsidRPr="009B4253">
        <w:rPr>
          <w:rFonts w:cs="Arial"/>
          <w:i/>
          <w:iCs/>
          <w:color w:val="000000" w:themeColor="text1"/>
          <w:lang w:val="en-GB"/>
        </w:rPr>
        <w:t>Neuron</w:t>
      </w:r>
      <w:r w:rsidRPr="009B4253">
        <w:rPr>
          <w:rFonts w:cs="Arial"/>
          <w:color w:val="000000" w:themeColor="text1"/>
          <w:lang w:val="en-GB"/>
        </w:rPr>
        <w:t xml:space="preserve">, [online] 111(17). </w:t>
      </w:r>
      <w:hyperlink r:id="rId32" w:history="1">
        <w:r w:rsidRPr="009B4253">
          <w:rPr>
            <w:rStyle w:val="Hyperlink"/>
            <w:rFonts w:cs="Arial"/>
            <w:color w:val="000000" w:themeColor="text1"/>
            <w:lang w:val="en-GB"/>
          </w:rPr>
          <w:t>https://doi.org/10.1016/j.neuron.2023.05.003</w:t>
        </w:r>
      </w:hyperlink>
      <w:r w:rsidRPr="009B4253">
        <w:rPr>
          <w:rFonts w:cs="Arial"/>
          <w:color w:val="000000" w:themeColor="text1"/>
          <w:lang w:val="en-GB"/>
        </w:rPr>
        <w:t xml:space="preserve"> </w:t>
      </w:r>
    </w:p>
    <w:p w14:paraId="344A6A76"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Fung, T.H., Patel, B., Wilmot, E.G. and Amoaku, W.M. (2022). Diabetic retinopathy for the non-ophthalmologist. </w:t>
      </w:r>
      <w:r w:rsidRPr="009B4253">
        <w:rPr>
          <w:rFonts w:cs="Arial"/>
          <w:i/>
          <w:iCs/>
          <w:color w:val="000000" w:themeColor="text1"/>
          <w:lang w:val="en-GB"/>
        </w:rPr>
        <w:t>Clinical Medicine</w:t>
      </w:r>
      <w:r w:rsidRPr="009B4253">
        <w:rPr>
          <w:rFonts w:cs="Arial"/>
          <w:color w:val="000000" w:themeColor="text1"/>
          <w:lang w:val="en-GB"/>
        </w:rPr>
        <w:t xml:space="preserve">, 22(2), pp.112–116. </w:t>
      </w:r>
      <w:hyperlink r:id="rId33" w:history="1">
        <w:r w:rsidRPr="009B4253">
          <w:rPr>
            <w:rStyle w:val="Hyperlink"/>
            <w:rFonts w:cs="Arial"/>
            <w:color w:val="000000" w:themeColor="text1"/>
            <w:lang w:val="en-GB"/>
          </w:rPr>
          <w:t>https://doi.org/10.7861/clinmed.2021-0792</w:t>
        </w:r>
      </w:hyperlink>
      <w:r w:rsidRPr="009B4253">
        <w:rPr>
          <w:rFonts w:cs="Arial"/>
          <w:color w:val="000000" w:themeColor="text1"/>
          <w:lang w:val="en-GB"/>
        </w:rPr>
        <w:t xml:space="preserve"> </w:t>
      </w:r>
    </w:p>
    <w:p w14:paraId="25E30EC1"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Harrington, D. and Henson, J. (2021). Physical activity and exercise in the management of type 2 diabetes: where to start? </w:t>
      </w:r>
      <w:r w:rsidRPr="009B4253">
        <w:rPr>
          <w:rFonts w:cs="Arial"/>
          <w:i/>
          <w:iCs/>
          <w:color w:val="000000" w:themeColor="text1"/>
          <w:lang w:val="en-GB"/>
        </w:rPr>
        <w:t>Practical Diabetes</w:t>
      </w:r>
      <w:r w:rsidRPr="009B4253">
        <w:rPr>
          <w:rFonts w:cs="Arial"/>
          <w:color w:val="000000" w:themeColor="text1"/>
          <w:lang w:val="en-GB"/>
        </w:rPr>
        <w:t xml:space="preserve">, [online] 38(5), p.35. </w:t>
      </w:r>
      <w:hyperlink r:id="rId34" w:history="1">
        <w:r w:rsidRPr="009B4253">
          <w:rPr>
            <w:rStyle w:val="Hyperlink"/>
            <w:rFonts w:cs="Arial"/>
            <w:color w:val="000000" w:themeColor="text1"/>
            <w:lang w:val="en-GB"/>
          </w:rPr>
          <w:t>https://doi.org/10.1002/pdi.2361</w:t>
        </w:r>
      </w:hyperlink>
      <w:r w:rsidRPr="009B4253">
        <w:rPr>
          <w:rFonts w:cs="Arial"/>
          <w:color w:val="000000" w:themeColor="text1"/>
          <w:lang w:val="en-GB"/>
        </w:rPr>
        <w:t xml:space="preserve"> </w:t>
      </w:r>
    </w:p>
    <w:p w14:paraId="12B9CC72"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Huang, L.-Y., Liu, C.-H., Chen, F.-Y., Kuo, C.-H., Pitrone, P. and Liu, J.-S. (2023). Aging Affects Insulin Resistance, Insulin Secretion, and Glucose Effectiveness in Subjects with Normal Blood Glucose and Body Weight. </w:t>
      </w:r>
      <w:r w:rsidRPr="009B4253">
        <w:rPr>
          <w:rFonts w:cs="Arial"/>
          <w:i/>
          <w:iCs/>
          <w:color w:val="000000" w:themeColor="text1"/>
          <w:lang w:val="en-GB"/>
        </w:rPr>
        <w:t>Diagnostics</w:t>
      </w:r>
      <w:r w:rsidRPr="009B4253">
        <w:rPr>
          <w:rFonts w:cs="Arial"/>
          <w:color w:val="000000" w:themeColor="text1"/>
          <w:lang w:val="en-GB"/>
        </w:rPr>
        <w:t xml:space="preserve">, [online] 13(13), p.2158. </w:t>
      </w:r>
      <w:hyperlink r:id="rId35" w:history="1">
        <w:r w:rsidRPr="009B4253">
          <w:rPr>
            <w:rStyle w:val="Hyperlink"/>
            <w:rFonts w:cs="Arial"/>
            <w:color w:val="000000" w:themeColor="text1"/>
            <w:lang w:val="en-GB"/>
          </w:rPr>
          <w:t>https://doi.org/10.3390/diagnostics13132158</w:t>
        </w:r>
      </w:hyperlink>
      <w:r w:rsidRPr="009B4253">
        <w:rPr>
          <w:rFonts w:cs="Arial"/>
          <w:color w:val="000000" w:themeColor="text1"/>
          <w:lang w:val="en-GB"/>
        </w:rPr>
        <w:t xml:space="preserve"> </w:t>
      </w:r>
    </w:p>
    <w:p w14:paraId="7CE4EC14"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Hussein, M.A., Farman, K.S. and Ismail, M.M. (2022). effect of particulate pollution on patients with type 2 diabetes and insulin resistance. </w:t>
      </w:r>
      <w:r w:rsidRPr="009B4253">
        <w:rPr>
          <w:rFonts w:cs="Arial"/>
          <w:i/>
          <w:iCs/>
          <w:color w:val="000000" w:themeColor="text1"/>
          <w:lang w:val="en-GB"/>
        </w:rPr>
        <w:t>International journal of health sciences</w:t>
      </w:r>
      <w:r w:rsidRPr="009B4253">
        <w:rPr>
          <w:rFonts w:cs="Arial"/>
          <w:color w:val="000000" w:themeColor="text1"/>
          <w:lang w:val="en-GB"/>
        </w:rPr>
        <w:t xml:space="preserve">, pp.7853–7860. </w:t>
      </w:r>
      <w:hyperlink r:id="rId36" w:history="1">
        <w:r w:rsidRPr="009B4253">
          <w:rPr>
            <w:rStyle w:val="Hyperlink"/>
            <w:rFonts w:cs="Arial"/>
            <w:color w:val="000000" w:themeColor="text1"/>
            <w:lang w:val="en-GB"/>
          </w:rPr>
          <w:t>https://doi.org/10.53730/ijhs.v6ns4.10427</w:t>
        </w:r>
      </w:hyperlink>
      <w:r w:rsidRPr="009B4253">
        <w:rPr>
          <w:rFonts w:cs="Arial"/>
          <w:color w:val="000000" w:themeColor="text1"/>
          <w:lang w:val="en-GB"/>
        </w:rPr>
        <w:t xml:space="preserve"> </w:t>
      </w:r>
    </w:p>
    <w:p w14:paraId="7541C415" w14:textId="77777777" w:rsidR="00BD1C87" w:rsidRPr="009B4253" w:rsidRDefault="00BD1C87" w:rsidP="00AE577C">
      <w:pPr>
        <w:rPr>
          <w:rFonts w:eastAsia="Times New Roman" w:cs="Arial"/>
          <w:color w:val="000000" w:themeColor="text1"/>
          <w:lang w:val="en-GB" w:eastAsia="en-IN" w:bidi="bn-IN"/>
        </w:rPr>
      </w:pPr>
      <w:r w:rsidRPr="009B4253">
        <w:rPr>
          <w:rFonts w:eastAsia="Times New Roman" w:cs="Arial"/>
          <w:color w:val="000000" w:themeColor="text1"/>
          <w:lang w:val="en-GB" w:eastAsia="en-IN" w:bidi="bn-IN"/>
        </w:rPr>
        <w:t>Jani, B.D., Nicholl, B.I., Hanlon, P., Mair, F.S., Gill, J.MR., Gray, S.R., Celis</w:t>
      </w:r>
      <w:r w:rsidRPr="009B4253">
        <w:rPr>
          <w:rFonts w:ascii="Cambria Math" w:eastAsia="Times New Roman" w:hAnsi="Cambria Math" w:cs="Cambria Math"/>
          <w:color w:val="000000" w:themeColor="text1"/>
          <w:lang w:val="en-GB" w:eastAsia="en-IN" w:bidi="bn-IN"/>
        </w:rPr>
        <w:t>‐</w:t>
      </w:r>
      <w:r w:rsidRPr="009B4253">
        <w:rPr>
          <w:rFonts w:eastAsia="Times New Roman" w:cs="Arial"/>
          <w:color w:val="000000" w:themeColor="text1"/>
          <w:lang w:val="en-GB" w:eastAsia="en-IN" w:bidi="bn-IN"/>
        </w:rPr>
        <w:t>Morales, C.A., Ho, F.K., Lyall, D.M., Anderson, J.J., Hastie, C.E., Bailey, M.ES., Foster, H., Pell, J.P., Welsh, P. and Sattar, N. (2021). Family history of diabetes and risk of SARS</w:t>
      </w:r>
      <w:r w:rsidRPr="009B4253">
        <w:rPr>
          <w:rFonts w:ascii="Cambria Math" w:eastAsia="Times New Roman" w:hAnsi="Cambria Math" w:cs="Cambria Math"/>
          <w:color w:val="000000" w:themeColor="text1"/>
          <w:lang w:val="en-GB" w:eastAsia="en-IN" w:bidi="bn-IN"/>
        </w:rPr>
        <w:t>‐</w:t>
      </w:r>
      <w:r w:rsidRPr="009B4253">
        <w:rPr>
          <w:rFonts w:eastAsia="Times New Roman" w:cs="Arial"/>
          <w:color w:val="000000" w:themeColor="text1"/>
          <w:lang w:val="en-GB" w:eastAsia="en-IN" w:bidi="bn-IN"/>
        </w:rPr>
        <w:t>COV</w:t>
      </w:r>
      <w:r w:rsidRPr="009B4253">
        <w:rPr>
          <w:rFonts w:ascii="Cambria Math" w:eastAsia="Times New Roman" w:hAnsi="Cambria Math" w:cs="Cambria Math"/>
          <w:color w:val="000000" w:themeColor="text1"/>
          <w:lang w:val="en-GB" w:eastAsia="en-IN" w:bidi="bn-IN"/>
        </w:rPr>
        <w:t>‐</w:t>
      </w:r>
      <w:r w:rsidRPr="009B4253">
        <w:rPr>
          <w:rFonts w:eastAsia="Times New Roman" w:cs="Arial"/>
          <w:color w:val="000000" w:themeColor="text1"/>
          <w:lang w:val="en-GB" w:eastAsia="en-IN" w:bidi="bn-IN"/>
        </w:rPr>
        <w:t xml:space="preserve">2 in UK Biobank: A prospective cohort study. </w:t>
      </w:r>
      <w:r w:rsidRPr="009B4253">
        <w:rPr>
          <w:rFonts w:eastAsia="Times New Roman" w:cs="Arial"/>
          <w:i/>
          <w:iCs/>
          <w:color w:val="000000" w:themeColor="text1"/>
          <w:lang w:val="en-GB" w:eastAsia="en-IN" w:bidi="bn-IN"/>
        </w:rPr>
        <w:t>Endocrinology, Diabetes &amp; Metabolism</w:t>
      </w:r>
      <w:r w:rsidRPr="009B4253">
        <w:rPr>
          <w:rFonts w:eastAsia="Times New Roman" w:cs="Arial"/>
          <w:color w:val="000000" w:themeColor="text1"/>
          <w:lang w:val="en-GB" w:eastAsia="en-IN" w:bidi="bn-IN"/>
        </w:rPr>
        <w:t xml:space="preserve">, 4(4). </w:t>
      </w:r>
      <w:hyperlink r:id="rId37" w:history="1">
        <w:r w:rsidRPr="009B4253">
          <w:rPr>
            <w:rStyle w:val="Hyperlink"/>
            <w:rFonts w:eastAsia="Times New Roman" w:cs="Arial"/>
            <w:color w:val="000000" w:themeColor="text1"/>
            <w:lang w:val="en-GB" w:eastAsia="en-IN" w:bidi="bn-IN"/>
          </w:rPr>
          <w:t>https://doi.org/10.1002/edm2.283</w:t>
        </w:r>
      </w:hyperlink>
      <w:r w:rsidRPr="009B4253">
        <w:rPr>
          <w:rFonts w:eastAsia="Times New Roman" w:cs="Arial"/>
          <w:color w:val="000000" w:themeColor="text1"/>
          <w:lang w:val="en-GB" w:eastAsia="en-IN" w:bidi="bn-IN"/>
        </w:rPr>
        <w:t xml:space="preserve"> </w:t>
      </w:r>
    </w:p>
    <w:p w14:paraId="770C4D8A"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Khan, M.A., Hashim, M.J., King, J., Govender, R.D., Mustafa, H. and Al Kaabi, J. (2020). Epidemiology of Type 2 Diabetes – Global Burden of Disease and Forecasted Trends. </w:t>
      </w:r>
      <w:r w:rsidRPr="009B4253">
        <w:rPr>
          <w:rFonts w:cs="Arial"/>
          <w:i/>
          <w:iCs/>
          <w:color w:val="000000" w:themeColor="text1"/>
          <w:lang w:val="en-GB"/>
        </w:rPr>
        <w:t>Journal of Epidemiology and Global Health</w:t>
      </w:r>
      <w:r w:rsidRPr="009B4253">
        <w:rPr>
          <w:rFonts w:cs="Arial"/>
          <w:color w:val="000000" w:themeColor="text1"/>
          <w:lang w:val="en-GB"/>
        </w:rPr>
        <w:t xml:space="preserve">, 10(1), pp.107–111. </w:t>
      </w:r>
      <w:hyperlink r:id="rId38" w:history="1">
        <w:r w:rsidRPr="009B4253">
          <w:rPr>
            <w:rStyle w:val="Hyperlink"/>
            <w:rFonts w:cs="Arial"/>
            <w:color w:val="000000" w:themeColor="text1"/>
            <w:lang w:val="en-GB"/>
          </w:rPr>
          <w:t>https://doi.org/10.2991/jegh.k.191028.001</w:t>
        </w:r>
      </w:hyperlink>
      <w:r w:rsidRPr="009B4253">
        <w:rPr>
          <w:rFonts w:cs="Arial"/>
          <w:color w:val="000000" w:themeColor="text1"/>
          <w:lang w:val="en-GB"/>
        </w:rPr>
        <w:t xml:space="preserve"> </w:t>
      </w:r>
    </w:p>
    <w:p w14:paraId="2E07A756"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King, A., Ringel, J.B., Safford, M.M., Riffin, C., Adelman, R., Roth, D.L. and Sterling, M.R. (2021). Association Between Caregiver Strain and Self-Care Among Caregivers With Diabetes. </w:t>
      </w:r>
      <w:r w:rsidRPr="009B4253">
        <w:rPr>
          <w:rFonts w:cs="Arial"/>
          <w:i/>
          <w:iCs/>
          <w:color w:val="000000" w:themeColor="text1"/>
          <w:lang w:val="en-GB"/>
        </w:rPr>
        <w:t>JAMA Network Open</w:t>
      </w:r>
      <w:r w:rsidRPr="009B4253">
        <w:rPr>
          <w:rFonts w:cs="Arial"/>
          <w:color w:val="000000" w:themeColor="text1"/>
          <w:lang w:val="en-GB"/>
        </w:rPr>
        <w:t xml:space="preserve">, 4(2), p.e2036676. </w:t>
      </w:r>
      <w:hyperlink r:id="rId39" w:history="1">
        <w:r w:rsidRPr="009B4253">
          <w:rPr>
            <w:rStyle w:val="Hyperlink"/>
            <w:rFonts w:cs="Arial"/>
            <w:color w:val="000000" w:themeColor="text1"/>
            <w:lang w:val="en-GB"/>
          </w:rPr>
          <w:t>https://doi.org/10.1001/jamanetworkopen.2020.36676</w:t>
        </w:r>
      </w:hyperlink>
      <w:r w:rsidRPr="009B4253">
        <w:rPr>
          <w:rFonts w:cs="Arial"/>
          <w:color w:val="000000" w:themeColor="text1"/>
          <w:lang w:val="en-GB"/>
        </w:rPr>
        <w:t xml:space="preserve"> </w:t>
      </w:r>
    </w:p>
    <w:p w14:paraId="76AB5FFC"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Kristianingrum, N.D., Ramadhani, D.A., Hayati, Y.S. and Setyoadi, S. (2021). Correlation between the burden of family caregivers and health status of people with diabetes mellitus. </w:t>
      </w:r>
      <w:r w:rsidRPr="009B4253">
        <w:rPr>
          <w:rFonts w:cs="Arial"/>
          <w:i/>
          <w:iCs/>
          <w:color w:val="000000" w:themeColor="text1"/>
          <w:lang w:val="en-GB"/>
        </w:rPr>
        <w:t>Journal of Public Health Research</w:t>
      </w:r>
      <w:r w:rsidRPr="009B4253">
        <w:rPr>
          <w:rFonts w:cs="Arial"/>
          <w:color w:val="000000" w:themeColor="text1"/>
          <w:lang w:val="en-GB"/>
        </w:rPr>
        <w:t xml:space="preserve">, [online] 10(2). </w:t>
      </w:r>
      <w:hyperlink r:id="rId40" w:history="1">
        <w:r w:rsidRPr="009B4253">
          <w:rPr>
            <w:rStyle w:val="Hyperlink"/>
            <w:rFonts w:cs="Arial"/>
            <w:color w:val="000000" w:themeColor="text1"/>
            <w:lang w:val="en-GB"/>
          </w:rPr>
          <w:t>https://doi.org/10.4081/jphr.2021.2227</w:t>
        </w:r>
      </w:hyperlink>
      <w:r w:rsidRPr="009B4253">
        <w:rPr>
          <w:rFonts w:cs="Arial"/>
          <w:color w:val="000000" w:themeColor="text1"/>
          <w:lang w:val="en-GB"/>
        </w:rPr>
        <w:t xml:space="preserve"> </w:t>
      </w:r>
    </w:p>
    <w:p w14:paraId="278E4D45"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Laakso, M. and Silva, L.F. (2022). Genetics of type 2 diabetes: Past, present, and future. </w:t>
      </w:r>
      <w:r w:rsidRPr="009B4253">
        <w:rPr>
          <w:rFonts w:cs="Arial"/>
          <w:i/>
          <w:iCs/>
          <w:color w:val="000000" w:themeColor="text1"/>
          <w:lang w:val="en-GB"/>
        </w:rPr>
        <w:t>Nutrients</w:t>
      </w:r>
      <w:r w:rsidRPr="009B4253">
        <w:rPr>
          <w:rFonts w:cs="Arial"/>
          <w:color w:val="000000" w:themeColor="text1"/>
          <w:lang w:val="en-GB"/>
        </w:rPr>
        <w:t xml:space="preserve">, [online] 14(15), p.3201. </w:t>
      </w:r>
      <w:hyperlink r:id="rId41" w:history="1">
        <w:r w:rsidRPr="009B4253">
          <w:rPr>
            <w:rStyle w:val="Hyperlink"/>
            <w:rFonts w:cs="Arial"/>
            <w:color w:val="000000" w:themeColor="text1"/>
            <w:lang w:val="en-GB"/>
          </w:rPr>
          <w:t>https://doi.org/10.3390/nu14153201</w:t>
        </w:r>
      </w:hyperlink>
      <w:r w:rsidRPr="009B4253">
        <w:rPr>
          <w:rFonts w:cs="Arial"/>
          <w:color w:val="000000" w:themeColor="text1"/>
          <w:lang w:val="en-GB"/>
        </w:rPr>
        <w:t xml:space="preserve"> </w:t>
      </w:r>
    </w:p>
    <w:p w14:paraId="19371A53"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Li, D., Yang, Y., Gao, Z., Zhao, L., Yang, X., Xu, F., Yu, C., Zhang, X., Wang, X., Wang, L. and Su, J. (2022). Sedentary lifestyle and body composition in type 2 diabetes. </w:t>
      </w:r>
      <w:r w:rsidRPr="009B4253">
        <w:rPr>
          <w:rFonts w:cs="Arial"/>
          <w:i/>
          <w:iCs/>
          <w:color w:val="000000" w:themeColor="text1"/>
          <w:lang w:val="en-GB"/>
        </w:rPr>
        <w:t>Diabetology &amp; Metabolic Syndrome</w:t>
      </w:r>
      <w:r w:rsidRPr="009B4253">
        <w:rPr>
          <w:rFonts w:cs="Arial"/>
          <w:color w:val="000000" w:themeColor="text1"/>
          <w:lang w:val="en-GB"/>
        </w:rPr>
        <w:t xml:space="preserve">, [online] 14(1). </w:t>
      </w:r>
      <w:hyperlink r:id="rId42" w:history="1">
        <w:r w:rsidRPr="009B4253">
          <w:rPr>
            <w:rStyle w:val="Hyperlink"/>
            <w:rFonts w:cs="Arial"/>
            <w:color w:val="000000" w:themeColor="text1"/>
            <w:lang w:val="en-GB"/>
          </w:rPr>
          <w:t>https://doi.org/10.1186/s13098-021-00778-6</w:t>
        </w:r>
      </w:hyperlink>
      <w:r w:rsidRPr="009B4253">
        <w:rPr>
          <w:rFonts w:cs="Arial"/>
          <w:color w:val="000000" w:themeColor="text1"/>
          <w:lang w:val="en-GB"/>
        </w:rPr>
        <w:t xml:space="preserve"> </w:t>
      </w:r>
    </w:p>
    <w:p w14:paraId="71F995DA"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Lu, Z., Li, Y., He, Y., Zhai, Y., Wu, J., Wang, J. and Zhao, Z. (2021). Internet-Based Medication Management Services Improve Glycated Hemoglobin Levels in Patients with Type 2 Diabetes. </w:t>
      </w:r>
      <w:r w:rsidRPr="009B4253">
        <w:rPr>
          <w:rFonts w:cs="Arial"/>
          <w:i/>
          <w:iCs/>
          <w:color w:val="000000" w:themeColor="text1"/>
          <w:lang w:val="en-GB"/>
        </w:rPr>
        <w:t>Telemedicine and e-Health</w:t>
      </w:r>
      <w:r w:rsidRPr="009B4253">
        <w:rPr>
          <w:rFonts w:cs="Arial"/>
          <w:color w:val="000000" w:themeColor="text1"/>
          <w:lang w:val="en-GB"/>
        </w:rPr>
        <w:t xml:space="preserve">, 27(6), pp.686–693. </w:t>
      </w:r>
      <w:hyperlink r:id="rId43" w:history="1">
        <w:r w:rsidRPr="009B4253">
          <w:rPr>
            <w:rStyle w:val="Hyperlink"/>
            <w:rFonts w:cs="Arial"/>
            <w:color w:val="000000" w:themeColor="text1"/>
            <w:lang w:val="en-GB"/>
          </w:rPr>
          <w:t>https://doi.org/10.1089/tmj.2020.0123</w:t>
        </w:r>
      </w:hyperlink>
      <w:r w:rsidRPr="009B4253">
        <w:rPr>
          <w:rFonts w:cs="Arial"/>
          <w:color w:val="000000" w:themeColor="text1"/>
          <w:lang w:val="en-GB"/>
        </w:rPr>
        <w:t xml:space="preserve"> </w:t>
      </w:r>
    </w:p>
    <w:p w14:paraId="0EF6B2C7"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Mangoulia, P., Milionis, C., Vlachou, E. and Ilias, I. (2024). The Interrelationship between Diabetes Mellitus and Emotional Well-Being: Current Concepts and Future Prospects. </w:t>
      </w:r>
      <w:r w:rsidRPr="009B4253">
        <w:rPr>
          <w:rFonts w:cs="Arial"/>
          <w:i/>
          <w:iCs/>
          <w:color w:val="000000" w:themeColor="text1"/>
          <w:lang w:val="en-GB"/>
        </w:rPr>
        <w:t>Healthcare</w:t>
      </w:r>
      <w:r w:rsidRPr="009B4253">
        <w:rPr>
          <w:rFonts w:cs="Arial"/>
          <w:color w:val="000000" w:themeColor="text1"/>
          <w:lang w:val="en-GB"/>
        </w:rPr>
        <w:t xml:space="preserve">, 12(14), pp.1457–1457. </w:t>
      </w:r>
      <w:hyperlink r:id="rId44" w:history="1">
        <w:r w:rsidRPr="009B4253">
          <w:rPr>
            <w:rStyle w:val="Hyperlink"/>
            <w:rFonts w:cs="Arial"/>
            <w:color w:val="000000" w:themeColor="text1"/>
            <w:lang w:val="en-GB"/>
          </w:rPr>
          <w:t>https://doi.org/10.3390/healthcare12141457</w:t>
        </w:r>
      </w:hyperlink>
      <w:r w:rsidRPr="009B4253">
        <w:rPr>
          <w:rFonts w:cs="Arial"/>
          <w:color w:val="000000" w:themeColor="text1"/>
          <w:lang w:val="en-GB"/>
        </w:rPr>
        <w:t xml:space="preserve"> </w:t>
      </w:r>
    </w:p>
    <w:p w14:paraId="29352308"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Mayo Clinic (2024). </w:t>
      </w:r>
      <w:r w:rsidRPr="009B4253">
        <w:rPr>
          <w:rFonts w:cs="Arial"/>
          <w:i/>
          <w:iCs/>
          <w:color w:val="000000" w:themeColor="text1"/>
          <w:lang w:val="en-GB"/>
        </w:rPr>
        <w:t>Glucose Tolerance Test</w:t>
      </w:r>
      <w:r w:rsidRPr="009B4253">
        <w:rPr>
          <w:rFonts w:cs="Arial"/>
          <w:color w:val="000000" w:themeColor="text1"/>
          <w:lang w:val="en-GB"/>
        </w:rPr>
        <w:t xml:space="preserve">. [online] Mayo Clinic. Available at: </w:t>
      </w:r>
      <w:hyperlink r:id="rId45" w:history="1">
        <w:r w:rsidRPr="009B4253">
          <w:rPr>
            <w:rStyle w:val="Hyperlink"/>
            <w:rFonts w:cs="Arial"/>
            <w:color w:val="000000" w:themeColor="text1"/>
            <w:lang w:val="en-GB"/>
          </w:rPr>
          <w:t>https://www.mayoclinic.org/tests-procedures/glucose-tolerance-test/about/pac-20394296</w:t>
        </w:r>
      </w:hyperlink>
      <w:r w:rsidRPr="009B4253">
        <w:rPr>
          <w:rFonts w:cs="Arial"/>
          <w:color w:val="000000" w:themeColor="text1"/>
          <w:lang w:val="en-GB"/>
        </w:rPr>
        <w:t xml:space="preserve"> </w:t>
      </w:r>
    </w:p>
    <w:p w14:paraId="768DC038"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Mullins, C.D., Pantalone, K.M., Betts, K.A., Song, J., Wu, A., Chen, Y., Kong, S.X. and Singh, R. (2022). CKD Progression and Economic Burden in Individuals With CKD Associated With Type 2 Diabetes. </w:t>
      </w:r>
      <w:r w:rsidRPr="009B4253">
        <w:rPr>
          <w:rFonts w:cs="Arial"/>
          <w:i/>
          <w:iCs/>
          <w:color w:val="000000" w:themeColor="text1"/>
          <w:lang w:val="en-GB"/>
        </w:rPr>
        <w:t>Kidney Medicine</w:t>
      </w:r>
      <w:r w:rsidRPr="009B4253">
        <w:rPr>
          <w:rFonts w:cs="Arial"/>
          <w:color w:val="000000" w:themeColor="text1"/>
          <w:lang w:val="en-GB"/>
        </w:rPr>
        <w:t xml:space="preserve">, [online] 4(11). </w:t>
      </w:r>
      <w:hyperlink r:id="rId46" w:history="1">
        <w:r w:rsidRPr="009B4253">
          <w:rPr>
            <w:rStyle w:val="Hyperlink"/>
            <w:rFonts w:cs="Arial"/>
            <w:color w:val="000000" w:themeColor="text1"/>
            <w:lang w:val="en-GB"/>
          </w:rPr>
          <w:t>https://doi.org/10.1016/j.xkme.2022.100532</w:t>
        </w:r>
      </w:hyperlink>
      <w:r w:rsidRPr="009B4253">
        <w:rPr>
          <w:rFonts w:cs="Arial"/>
          <w:color w:val="000000" w:themeColor="text1"/>
          <w:lang w:val="en-GB"/>
        </w:rPr>
        <w:t xml:space="preserve"> </w:t>
      </w:r>
    </w:p>
    <w:p w14:paraId="37142E23" w14:textId="77777777" w:rsidR="00BD1C87" w:rsidRPr="009B4253" w:rsidRDefault="00BD1C87" w:rsidP="00AE577C">
      <w:pPr>
        <w:rPr>
          <w:rFonts w:eastAsia="Times New Roman" w:cs="Arial"/>
          <w:color w:val="000000" w:themeColor="text1"/>
          <w:lang w:val="en-GB" w:eastAsia="en-IN" w:bidi="bn-IN"/>
        </w:rPr>
      </w:pPr>
      <w:r w:rsidRPr="009B4253">
        <w:rPr>
          <w:rFonts w:eastAsia="Times New Roman" w:cs="Arial"/>
          <w:color w:val="000000" w:themeColor="text1"/>
          <w:lang w:val="en-GB" w:eastAsia="en-IN" w:bidi="bn-IN"/>
        </w:rPr>
        <w:t xml:space="preserve">National Health Service (2025). </w:t>
      </w:r>
      <w:r w:rsidRPr="009B4253">
        <w:rPr>
          <w:rFonts w:eastAsia="Times New Roman" w:cs="Arial"/>
          <w:i/>
          <w:iCs/>
          <w:color w:val="000000" w:themeColor="text1"/>
          <w:lang w:val="en-GB" w:eastAsia="en-IN" w:bidi="bn-IN"/>
        </w:rPr>
        <w:t>Symptoms - type 2 diabetes</w:t>
      </w:r>
      <w:r w:rsidRPr="009B4253">
        <w:rPr>
          <w:rFonts w:eastAsia="Times New Roman" w:cs="Arial"/>
          <w:color w:val="000000" w:themeColor="text1"/>
          <w:lang w:val="en-GB" w:eastAsia="en-IN" w:bidi="bn-IN"/>
        </w:rPr>
        <w:t xml:space="preserve">. [online] NHS. Available at: </w:t>
      </w:r>
      <w:hyperlink r:id="rId47" w:history="1">
        <w:r w:rsidRPr="009B4253">
          <w:rPr>
            <w:rStyle w:val="Hyperlink"/>
            <w:rFonts w:eastAsia="Times New Roman" w:cs="Arial"/>
            <w:color w:val="000000" w:themeColor="text1"/>
            <w:lang w:val="en-GB" w:eastAsia="en-IN" w:bidi="bn-IN"/>
          </w:rPr>
          <w:t>https://www.nhs.uk/conditions/type-2-diabetes/symptoms/</w:t>
        </w:r>
      </w:hyperlink>
      <w:r w:rsidRPr="009B4253">
        <w:rPr>
          <w:rFonts w:eastAsia="Times New Roman" w:cs="Arial"/>
          <w:color w:val="000000" w:themeColor="text1"/>
          <w:lang w:val="en-GB" w:eastAsia="en-IN" w:bidi="bn-IN"/>
        </w:rPr>
        <w:t xml:space="preserve"> </w:t>
      </w:r>
    </w:p>
    <w:p w14:paraId="1C3AD00E"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Newbound, T. (2019). </w:t>
      </w:r>
      <w:r w:rsidRPr="009B4253">
        <w:rPr>
          <w:rFonts w:cs="Arial"/>
          <w:i/>
          <w:iCs/>
          <w:color w:val="000000" w:themeColor="text1"/>
          <w:lang w:val="en-GB"/>
        </w:rPr>
        <w:t>NHS England» The Top 5 diabetes long term highlights</w:t>
      </w:r>
      <w:r w:rsidRPr="009B4253">
        <w:rPr>
          <w:rFonts w:cs="Arial"/>
          <w:color w:val="000000" w:themeColor="text1"/>
          <w:lang w:val="en-GB"/>
        </w:rPr>
        <w:t xml:space="preserve">. [online] </w:t>
      </w:r>
      <w:r w:rsidRPr="009B4253">
        <w:rPr>
          <w:rStyle w:val="cf01"/>
          <w:rFonts w:ascii="Arial" w:hAnsi="Arial" w:cs="Arial"/>
          <w:color w:val="000000" w:themeColor="text1"/>
          <w:sz w:val="22"/>
          <w:szCs w:val="22"/>
          <w:lang w:val="en-GB"/>
        </w:rPr>
        <w:t>NHS Englan</w:t>
      </w:r>
      <w:r w:rsidRPr="009B4253">
        <w:rPr>
          <w:rStyle w:val="cf01"/>
          <w:rFonts w:ascii="Arial" w:eastAsiaTheme="majorEastAsia" w:hAnsi="Arial" w:cs="Arial"/>
          <w:color w:val="000000" w:themeColor="text1"/>
          <w:sz w:val="22"/>
          <w:szCs w:val="22"/>
          <w:lang w:val="en-GB"/>
        </w:rPr>
        <w:t>d</w:t>
      </w:r>
      <w:r w:rsidRPr="009B4253">
        <w:rPr>
          <w:rFonts w:cs="Arial"/>
          <w:color w:val="000000" w:themeColor="text1"/>
          <w:lang w:val="en-GB"/>
        </w:rPr>
        <w:t xml:space="preserve">. Available at: </w:t>
      </w:r>
      <w:hyperlink r:id="rId48" w:history="1">
        <w:r w:rsidRPr="009B4253">
          <w:rPr>
            <w:rStyle w:val="Hyperlink"/>
            <w:rFonts w:cs="Arial"/>
            <w:color w:val="000000" w:themeColor="text1"/>
            <w:lang w:val="en-GB"/>
          </w:rPr>
          <w:t>https://www.england.nhs.uk/blog/the-top-5-diabetes-long-term-highlights/</w:t>
        </w:r>
      </w:hyperlink>
      <w:r w:rsidRPr="009B4253">
        <w:rPr>
          <w:rFonts w:cs="Arial"/>
          <w:color w:val="000000" w:themeColor="text1"/>
          <w:lang w:val="en-GB"/>
        </w:rPr>
        <w:t xml:space="preserve"> </w:t>
      </w:r>
    </w:p>
    <w:p w14:paraId="174C6CAD"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NHS (2024). </w:t>
      </w:r>
      <w:r w:rsidRPr="009B4253">
        <w:rPr>
          <w:rFonts w:cs="Arial"/>
          <w:i/>
          <w:iCs/>
          <w:color w:val="000000" w:themeColor="text1"/>
          <w:lang w:val="en-GB"/>
        </w:rPr>
        <w:t>Benefits of Exercise</w:t>
      </w:r>
      <w:r w:rsidRPr="009B4253">
        <w:rPr>
          <w:rFonts w:cs="Arial"/>
          <w:color w:val="000000" w:themeColor="text1"/>
          <w:lang w:val="en-GB"/>
        </w:rPr>
        <w:t xml:space="preserve">. [online] NHS. Available at: </w:t>
      </w:r>
      <w:hyperlink r:id="rId49" w:history="1">
        <w:r w:rsidRPr="009B4253">
          <w:rPr>
            <w:rStyle w:val="Hyperlink"/>
            <w:rFonts w:cs="Arial"/>
            <w:color w:val="000000" w:themeColor="text1"/>
            <w:lang w:val="en-GB"/>
          </w:rPr>
          <w:t>https://www.nhs.uk/live-well/exercise/exercise-health-benefits/</w:t>
        </w:r>
      </w:hyperlink>
      <w:r w:rsidRPr="009B4253">
        <w:rPr>
          <w:rFonts w:cs="Arial"/>
          <w:color w:val="000000" w:themeColor="text1"/>
          <w:lang w:val="en-GB"/>
        </w:rPr>
        <w:t xml:space="preserve"> </w:t>
      </w:r>
    </w:p>
    <w:p w14:paraId="69F1D62D"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NHS (2025). </w:t>
      </w:r>
      <w:r w:rsidRPr="009B4253">
        <w:rPr>
          <w:rFonts w:cs="Arial"/>
          <w:i/>
          <w:iCs/>
          <w:color w:val="000000" w:themeColor="text1"/>
          <w:lang w:val="en-GB"/>
        </w:rPr>
        <w:t>Type 2 Diabetes</w:t>
      </w:r>
      <w:r w:rsidRPr="009B4253">
        <w:rPr>
          <w:rFonts w:cs="Arial"/>
          <w:color w:val="000000" w:themeColor="text1"/>
          <w:lang w:val="en-GB"/>
        </w:rPr>
        <w:t xml:space="preserve"> [online] NHS. Available at: </w:t>
      </w:r>
      <w:hyperlink r:id="rId50" w:history="1">
        <w:r w:rsidRPr="009B4253">
          <w:rPr>
            <w:rStyle w:val="Hyperlink"/>
            <w:rFonts w:cs="Arial"/>
            <w:color w:val="000000" w:themeColor="text1"/>
            <w:lang w:val="en-GB"/>
          </w:rPr>
          <w:t>https://www.nhs.uk/conditions/type-2-diabetes/</w:t>
        </w:r>
      </w:hyperlink>
      <w:r w:rsidRPr="009B4253">
        <w:rPr>
          <w:rFonts w:cs="Arial"/>
          <w:color w:val="000000" w:themeColor="text1"/>
          <w:lang w:val="en-GB"/>
        </w:rPr>
        <w:t xml:space="preserve"> </w:t>
      </w:r>
    </w:p>
    <w:p w14:paraId="7DB2786D"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NHS England (n.d.). </w:t>
      </w:r>
      <w:r w:rsidRPr="009B4253">
        <w:rPr>
          <w:rFonts w:cs="Arial"/>
          <w:i/>
          <w:iCs/>
          <w:color w:val="000000" w:themeColor="text1"/>
          <w:lang w:val="en-GB"/>
        </w:rPr>
        <w:t>NHS Diabetes Prevention Programme (NHS DPP)</w:t>
      </w:r>
      <w:r w:rsidRPr="009B4253">
        <w:rPr>
          <w:rFonts w:cs="Arial"/>
          <w:color w:val="000000" w:themeColor="text1"/>
          <w:lang w:val="en-GB"/>
        </w:rPr>
        <w:t xml:space="preserve">. [online] NHS England. Available at: </w:t>
      </w:r>
      <w:hyperlink r:id="rId51" w:history="1">
        <w:r w:rsidRPr="009B4253">
          <w:rPr>
            <w:rStyle w:val="Hyperlink"/>
            <w:rFonts w:cs="Arial"/>
            <w:color w:val="000000" w:themeColor="text1"/>
            <w:lang w:val="en-GB"/>
          </w:rPr>
          <w:t>https://www.england.nhs.uk/diabetes/diabetes-prevention/</w:t>
        </w:r>
      </w:hyperlink>
      <w:r w:rsidRPr="009B4253">
        <w:rPr>
          <w:rFonts w:cs="Arial"/>
          <w:color w:val="000000" w:themeColor="text1"/>
          <w:lang w:val="en-GB"/>
        </w:rPr>
        <w:t xml:space="preserve"> </w:t>
      </w:r>
    </w:p>
    <w:p w14:paraId="42C2E602"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NHS.UK (2023). </w:t>
      </w:r>
      <w:r w:rsidRPr="009B4253">
        <w:rPr>
          <w:rFonts w:cs="Arial"/>
          <w:i/>
          <w:iCs/>
          <w:color w:val="000000" w:themeColor="text1"/>
          <w:lang w:val="en-GB"/>
        </w:rPr>
        <w:t>NHS Health Check</w:t>
      </w:r>
      <w:r w:rsidRPr="009B4253">
        <w:rPr>
          <w:rFonts w:cs="Arial"/>
          <w:color w:val="000000" w:themeColor="text1"/>
          <w:lang w:val="en-GB"/>
        </w:rPr>
        <w:t xml:space="preserve">. [online] nhs.uk. Available at: </w:t>
      </w:r>
      <w:hyperlink r:id="rId52" w:history="1">
        <w:r w:rsidRPr="009B4253">
          <w:rPr>
            <w:rStyle w:val="Hyperlink"/>
            <w:rFonts w:cs="Arial"/>
            <w:color w:val="000000" w:themeColor="text1"/>
            <w:lang w:val="en-GB"/>
          </w:rPr>
          <w:t>https://www.nhs.uk/tests-and-treatments/nhs-health-check/</w:t>
        </w:r>
      </w:hyperlink>
      <w:r w:rsidRPr="009B4253">
        <w:rPr>
          <w:rFonts w:cs="Arial"/>
          <w:color w:val="000000" w:themeColor="text1"/>
          <w:lang w:val="en-GB"/>
        </w:rPr>
        <w:t xml:space="preserve"> </w:t>
      </w:r>
    </w:p>
    <w:p w14:paraId="49FEB0AB"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NHS.UK (2024). </w:t>
      </w:r>
      <w:r w:rsidRPr="009B4253">
        <w:rPr>
          <w:rFonts w:cs="Arial"/>
          <w:i/>
          <w:iCs/>
          <w:color w:val="000000" w:themeColor="text1"/>
          <w:lang w:val="en-GB"/>
        </w:rPr>
        <w:t>Diabetic eye screening</w:t>
      </w:r>
      <w:r w:rsidRPr="009B4253">
        <w:rPr>
          <w:rFonts w:cs="Arial"/>
          <w:color w:val="000000" w:themeColor="text1"/>
          <w:lang w:val="en-GB"/>
        </w:rPr>
        <w:t xml:space="preserve">. [online] nhs.uk. Available at: </w:t>
      </w:r>
      <w:hyperlink r:id="rId53" w:history="1">
        <w:r w:rsidRPr="009B4253">
          <w:rPr>
            <w:rStyle w:val="Hyperlink"/>
            <w:rFonts w:cs="Arial"/>
            <w:color w:val="000000" w:themeColor="text1"/>
            <w:lang w:val="en-GB"/>
          </w:rPr>
          <w:t>https://www.nhs.uk/tests-and-treatments/diabetic-eye-screening/</w:t>
        </w:r>
      </w:hyperlink>
      <w:r w:rsidRPr="009B4253">
        <w:rPr>
          <w:rFonts w:cs="Arial"/>
          <w:color w:val="000000" w:themeColor="text1"/>
          <w:lang w:val="en-GB"/>
        </w:rPr>
        <w:t xml:space="preserve"> </w:t>
      </w:r>
    </w:p>
    <w:p w14:paraId="4ACC7712"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NICE (2022). </w:t>
      </w:r>
      <w:r w:rsidRPr="009B4253">
        <w:rPr>
          <w:rFonts w:cs="Arial"/>
          <w:i/>
          <w:iCs/>
          <w:color w:val="000000" w:themeColor="text1"/>
          <w:lang w:val="en-GB"/>
        </w:rPr>
        <w:t>Type 2 diabetes in adults: diagnosis and management [C] Evidence reviews for continuous glucose monitoring in adults with type 2 diabetes NICE guideline NG17</w:t>
      </w:r>
      <w:r w:rsidRPr="009B4253">
        <w:rPr>
          <w:rFonts w:cs="Arial"/>
          <w:color w:val="000000" w:themeColor="text1"/>
          <w:lang w:val="en-GB"/>
        </w:rPr>
        <w:t xml:space="preserve">. [online] Available at: </w:t>
      </w:r>
      <w:hyperlink r:id="rId54" w:history="1">
        <w:r w:rsidRPr="009B4253">
          <w:rPr>
            <w:rStyle w:val="Hyperlink"/>
            <w:rFonts w:cs="Arial"/>
            <w:color w:val="000000" w:themeColor="text1"/>
            <w:lang w:val="en-GB"/>
          </w:rPr>
          <w:t>https://www.nice.org.uk/guidance/ng28/evidence/c-continuous-glucose-monitoring-in-adults-with-type-2-diabetes-pdf-11013297805</w:t>
        </w:r>
      </w:hyperlink>
      <w:r w:rsidRPr="009B4253">
        <w:rPr>
          <w:rFonts w:cs="Arial"/>
          <w:color w:val="000000" w:themeColor="text1"/>
          <w:lang w:val="en-GB"/>
        </w:rPr>
        <w:t xml:space="preserve"> </w:t>
      </w:r>
    </w:p>
    <w:p w14:paraId="2100DD69"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Papakonstantinou, E., Oikonomou, C., Nychas, G. and Dimitriadis, G.D. (2022). Effects of Diet, Lifestyle, Chrononutrition and Alternative Dietary Interventions on Postprandial Glycemia and Insulin Resistance. </w:t>
      </w:r>
      <w:r w:rsidRPr="009B4253">
        <w:rPr>
          <w:rFonts w:cs="Arial"/>
          <w:i/>
          <w:iCs/>
          <w:color w:val="000000" w:themeColor="text1"/>
          <w:lang w:val="en-GB"/>
        </w:rPr>
        <w:t>Nutrients</w:t>
      </w:r>
      <w:r w:rsidRPr="009B4253">
        <w:rPr>
          <w:rFonts w:cs="Arial"/>
          <w:color w:val="000000" w:themeColor="text1"/>
          <w:lang w:val="en-GB"/>
        </w:rPr>
        <w:t xml:space="preserve">, [online] 14(4), p.823. </w:t>
      </w:r>
      <w:hyperlink r:id="rId55" w:history="1">
        <w:r w:rsidRPr="009B4253">
          <w:rPr>
            <w:rStyle w:val="Hyperlink"/>
            <w:rFonts w:cs="Arial"/>
            <w:color w:val="000000" w:themeColor="text1"/>
            <w:lang w:val="en-GB"/>
          </w:rPr>
          <w:t>https://doi.org/10.3390/nu14040823</w:t>
        </w:r>
      </w:hyperlink>
      <w:r w:rsidRPr="009B4253">
        <w:rPr>
          <w:rFonts w:cs="Arial"/>
          <w:color w:val="000000" w:themeColor="text1"/>
          <w:lang w:val="en-GB"/>
        </w:rPr>
        <w:t xml:space="preserve"> </w:t>
      </w:r>
    </w:p>
    <w:p w14:paraId="393ABFE4" w14:textId="77777777" w:rsidR="00BD1C87" w:rsidRPr="009B4253" w:rsidRDefault="00BD1C87" w:rsidP="00AE577C">
      <w:pPr>
        <w:rPr>
          <w:rFonts w:eastAsia="Times New Roman" w:cs="Arial"/>
          <w:color w:val="000000" w:themeColor="text1"/>
          <w:lang w:val="en-GB" w:eastAsia="en-IN" w:bidi="bn-IN"/>
        </w:rPr>
      </w:pPr>
      <w:r w:rsidRPr="009B4253">
        <w:rPr>
          <w:rFonts w:eastAsia="Times New Roman" w:cs="Arial"/>
          <w:color w:val="000000" w:themeColor="text1"/>
          <w:lang w:val="en-GB" w:eastAsia="en-IN" w:bidi="bn-IN"/>
        </w:rPr>
        <w:t xml:space="preserve">Public Health England (2018). </w:t>
      </w:r>
      <w:r w:rsidRPr="009B4253">
        <w:rPr>
          <w:rFonts w:eastAsia="Times New Roman" w:cs="Arial"/>
          <w:i/>
          <w:iCs/>
          <w:color w:val="000000" w:themeColor="text1"/>
          <w:lang w:val="en-GB" w:eastAsia="en-IN" w:bidi="bn-IN"/>
        </w:rPr>
        <w:t>Health matters: Preventing Type 2 Diabetes</w:t>
      </w:r>
      <w:r w:rsidRPr="009B4253">
        <w:rPr>
          <w:rFonts w:eastAsia="Times New Roman" w:cs="Arial"/>
          <w:color w:val="000000" w:themeColor="text1"/>
          <w:lang w:val="en-GB" w:eastAsia="en-IN" w:bidi="bn-IN"/>
        </w:rPr>
        <w:t xml:space="preserve">. [online] GOV.UK. Available at: </w:t>
      </w:r>
      <w:hyperlink r:id="rId56" w:history="1">
        <w:r w:rsidRPr="009B4253">
          <w:rPr>
            <w:rStyle w:val="Hyperlink"/>
            <w:rFonts w:eastAsia="Times New Roman" w:cs="Arial"/>
            <w:color w:val="000000" w:themeColor="text1"/>
            <w:lang w:val="en-GB" w:eastAsia="en-IN" w:bidi="bn-IN"/>
          </w:rPr>
          <w:t>https://www.gov.uk/government/publications/health-matters-preventing-type-2-diabetes/health-matters-preventing-type-2-diabetes</w:t>
        </w:r>
      </w:hyperlink>
      <w:r w:rsidRPr="009B4253">
        <w:rPr>
          <w:rFonts w:eastAsia="Times New Roman" w:cs="Arial"/>
          <w:color w:val="000000" w:themeColor="text1"/>
          <w:lang w:val="en-GB" w:eastAsia="en-IN" w:bidi="bn-IN"/>
        </w:rPr>
        <w:t xml:space="preserve"> </w:t>
      </w:r>
    </w:p>
    <w:p w14:paraId="1DE050E4"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Rahman, S. (2021). Role of Insulin in Health and Disease: an Update. </w:t>
      </w:r>
      <w:r w:rsidRPr="009B4253">
        <w:rPr>
          <w:rFonts w:cs="Arial"/>
          <w:i/>
          <w:iCs/>
          <w:color w:val="000000" w:themeColor="text1"/>
          <w:lang w:val="en-GB"/>
        </w:rPr>
        <w:t>International Journal of Molecular Sciences</w:t>
      </w:r>
      <w:r w:rsidRPr="009B4253">
        <w:rPr>
          <w:rFonts w:cs="Arial"/>
          <w:color w:val="000000" w:themeColor="text1"/>
          <w:lang w:val="en-GB"/>
        </w:rPr>
        <w:t xml:space="preserve">, [online] 22(12), p.6403. </w:t>
      </w:r>
      <w:hyperlink r:id="rId57" w:history="1">
        <w:r w:rsidRPr="009B4253">
          <w:rPr>
            <w:rStyle w:val="Hyperlink"/>
            <w:rFonts w:cs="Arial"/>
            <w:color w:val="000000" w:themeColor="text1"/>
            <w:lang w:val="en-GB"/>
          </w:rPr>
          <w:t>https://doi.org/10.3390/ijms22126403</w:t>
        </w:r>
      </w:hyperlink>
      <w:r w:rsidRPr="009B4253">
        <w:rPr>
          <w:rFonts w:cs="Arial"/>
          <w:color w:val="000000" w:themeColor="text1"/>
          <w:lang w:val="en-GB"/>
        </w:rPr>
        <w:t xml:space="preserve"> </w:t>
      </w:r>
    </w:p>
    <w:p w14:paraId="418C041C"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Rosengren, A. and Dikaiou, P. (2023). Cardiovascular outcomes in type 1 and type 2 diabetes. </w:t>
      </w:r>
      <w:r w:rsidRPr="009B4253">
        <w:rPr>
          <w:rFonts w:cs="Arial"/>
          <w:i/>
          <w:iCs/>
          <w:color w:val="000000" w:themeColor="text1"/>
          <w:lang w:val="en-GB"/>
        </w:rPr>
        <w:t>Diabetologia</w:t>
      </w:r>
      <w:r w:rsidRPr="009B4253">
        <w:rPr>
          <w:rFonts w:cs="Arial"/>
          <w:color w:val="000000" w:themeColor="text1"/>
          <w:lang w:val="en-GB"/>
        </w:rPr>
        <w:t xml:space="preserve">, 66(3), pp.425–437. </w:t>
      </w:r>
      <w:hyperlink r:id="rId58" w:history="1">
        <w:r w:rsidRPr="009B4253">
          <w:rPr>
            <w:rStyle w:val="Hyperlink"/>
            <w:rFonts w:cs="Arial"/>
            <w:color w:val="000000" w:themeColor="text1"/>
            <w:lang w:val="en-GB"/>
          </w:rPr>
          <w:t>https://doi.org/10.1007/s00125-022-05857-5</w:t>
        </w:r>
      </w:hyperlink>
      <w:r w:rsidRPr="009B4253">
        <w:rPr>
          <w:rFonts w:cs="Arial"/>
          <w:color w:val="000000" w:themeColor="text1"/>
          <w:lang w:val="en-GB"/>
        </w:rPr>
        <w:t xml:space="preserve"> </w:t>
      </w:r>
    </w:p>
    <w:p w14:paraId="33867260"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Scarpa, E.-S., Antonelli, A., Giancarlo Balercia, Sabatelli, S., Maggi, F., Caprioli, G., Giacchetti, G. and Micucci, M. (2024). Antioxidant, Anti-Inflammatory, Anti-Diabetic, and Pro-Osteogenic Activities of Polyphenols for the Treatment of Two Different Chronic Diseases: Type 2 Diabetes Mellitus and Osteoporosis. </w:t>
      </w:r>
      <w:r w:rsidRPr="009B4253">
        <w:rPr>
          <w:rFonts w:cs="Arial"/>
          <w:i/>
          <w:iCs/>
          <w:color w:val="000000" w:themeColor="text1"/>
          <w:lang w:val="en-GB"/>
        </w:rPr>
        <w:t>Biomolecules</w:t>
      </w:r>
      <w:r w:rsidRPr="009B4253">
        <w:rPr>
          <w:rFonts w:cs="Arial"/>
          <w:color w:val="000000" w:themeColor="text1"/>
          <w:lang w:val="en-GB"/>
        </w:rPr>
        <w:t xml:space="preserve">, 14(7), pp.836–836. </w:t>
      </w:r>
      <w:hyperlink r:id="rId59" w:history="1">
        <w:r w:rsidRPr="009B4253">
          <w:rPr>
            <w:rStyle w:val="Hyperlink"/>
            <w:rFonts w:cs="Arial"/>
            <w:color w:val="000000" w:themeColor="text1"/>
            <w:lang w:val="en-GB"/>
          </w:rPr>
          <w:t>https://doi.org/10.3390/biom14070836</w:t>
        </w:r>
      </w:hyperlink>
      <w:r w:rsidRPr="009B4253">
        <w:rPr>
          <w:rFonts w:cs="Arial"/>
          <w:color w:val="000000" w:themeColor="text1"/>
          <w:lang w:val="en-GB"/>
        </w:rPr>
        <w:t xml:space="preserve"> </w:t>
      </w:r>
    </w:p>
    <w:p w14:paraId="47DE9C4D" w14:textId="77777777" w:rsidR="00BD1C87" w:rsidRPr="009B4253" w:rsidRDefault="00BD1C87" w:rsidP="00AE577C">
      <w:pPr>
        <w:rPr>
          <w:rFonts w:cs="Arial"/>
          <w:color w:val="000000" w:themeColor="text1"/>
          <w:lang w:val="en-GB"/>
        </w:rPr>
      </w:pPr>
      <w:r w:rsidRPr="009B4253">
        <w:rPr>
          <w:rFonts w:cs="Arial"/>
          <w:color w:val="000000" w:themeColor="text1"/>
          <w:lang w:val="en-GB"/>
        </w:rPr>
        <w:t xml:space="preserve">WHO (2025). </w:t>
      </w:r>
      <w:r w:rsidRPr="009B4253">
        <w:rPr>
          <w:rFonts w:cs="Arial"/>
          <w:i/>
          <w:iCs/>
          <w:color w:val="000000" w:themeColor="text1"/>
          <w:lang w:val="en-GB"/>
        </w:rPr>
        <w:t>Integrated care for older people (ICOPE)</w:t>
      </w:r>
      <w:r w:rsidRPr="009B4253">
        <w:rPr>
          <w:rFonts w:cs="Arial"/>
          <w:color w:val="000000" w:themeColor="text1"/>
          <w:lang w:val="en-GB"/>
        </w:rPr>
        <w:t>. [online] World Health Organisation</w:t>
      </w:r>
      <w:r w:rsidRPr="009B4253">
        <w:rPr>
          <w:rStyle w:val="cf01"/>
          <w:rFonts w:ascii="Arial" w:hAnsi="Arial" w:cs="Arial"/>
          <w:color w:val="000000" w:themeColor="text1"/>
          <w:sz w:val="22"/>
          <w:szCs w:val="22"/>
          <w:lang w:val="en-GB"/>
        </w:rPr>
        <w:t xml:space="preserve"> </w:t>
      </w:r>
      <w:r w:rsidRPr="009B4253">
        <w:rPr>
          <w:rFonts w:cs="Arial"/>
          <w:color w:val="000000" w:themeColor="text1"/>
          <w:lang w:val="en-GB"/>
        </w:rPr>
        <w:t xml:space="preserve">Available at: </w:t>
      </w:r>
      <w:hyperlink r:id="rId60" w:history="1">
        <w:r w:rsidRPr="009B4253">
          <w:rPr>
            <w:rStyle w:val="Hyperlink"/>
            <w:rFonts w:cs="Arial"/>
            <w:color w:val="000000" w:themeColor="text1"/>
            <w:lang w:val="en-GB"/>
          </w:rPr>
          <w:t>https://www.who.int/teams/maternal-newborn-child-adolescent-health-and-ageing/ageing-and-health/integrated-care-for-older-people-icope</w:t>
        </w:r>
      </w:hyperlink>
      <w:r w:rsidRPr="009B4253">
        <w:rPr>
          <w:rFonts w:cs="Arial"/>
          <w:color w:val="000000" w:themeColor="text1"/>
          <w:lang w:val="en-GB"/>
        </w:rPr>
        <w:t xml:space="preserve"> </w:t>
      </w:r>
    </w:p>
    <w:p w14:paraId="1BDB0593" w14:textId="224AC973" w:rsidR="00B667AA" w:rsidRPr="007E4F12" w:rsidRDefault="00BD1C87">
      <w:pPr>
        <w:rPr>
          <w:rFonts w:cs="Arial"/>
          <w:color w:val="000000" w:themeColor="text1"/>
          <w:lang w:val="en-GB"/>
        </w:rPr>
      </w:pPr>
      <w:r w:rsidRPr="009B4253">
        <w:rPr>
          <w:rFonts w:cs="Arial"/>
          <w:color w:val="000000" w:themeColor="text1"/>
          <w:lang w:val="en-GB"/>
        </w:rPr>
        <w:t xml:space="preserve">Yang, J., Park, H.J., Hwang, W., Kim, T.H., Kim, H., Oh, J. and Cho, M.S. (2021). Changes in the glucose and insulin responses according to high-protein snacks for diabetic patients. </w:t>
      </w:r>
      <w:r w:rsidRPr="009B4253">
        <w:rPr>
          <w:rFonts w:cs="Arial"/>
          <w:i/>
          <w:iCs/>
          <w:color w:val="000000" w:themeColor="text1"/>
          <w:lang w:val="en-GB"/>
        </w:rPr>
        <w:t>Nutrition Research and Practice</w:t>
      </w:r>
      <w:r w:rsidRPr="009B4253">
        <w:rPr>
          <w:rFonts w:cs="Arial"/>
          <w:color w:val="000000" w:themeColor="text1"/>
          <w:lang w:val="en-GB"/>
        </w:rPr>
        <w:t xml:space="preserve">, [online] 15(1), pp.54–65. </w:t>
      </w:r>
      <w:hyperlink r:id="rId61" w:history="1">
        <w:r w:rsidRPr="009B4253">
          <w:rPr>
            <w:rStyle w:val="Hyperlink"/>
            <w:rFonts w:cs="Arial"/>
            <w:color w:val="000000" w:themeColor="text1"/>
            <w:lang w:val="en-GB"/>
          </w:rPr>
          <w:t>https://doi.org/10.4162/nrp.2021.15.1.54</w:t>
        </w:r>
      </w:hyperlink>
    </w:p>
    <w:sectPr w:rsidR="00B667AA" w:rsidRPr="007E4F12" w:rsidSect="00997780">
      <w:pgSz w:w="16838" w:h="11906" w:orient="landscape" w:code="9"/>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61407" w14:textId="77777777" w:rsidR="001147F8" w:rsidRDefault="001147F8">
      <w:pPr>
        <w:spacing w:after="0" w:line="240" w:lineRule="auto"/>
      </w:pPr>
      <w:r>
        <w:separator/>
      </w:r>
    </w:p>
  </w:endnote>
  <w:endnote w:type="continuationSeparator" w:id="0">
    <w:p w14:paraId="0FBDE242" w14:textId="77777777" w:rsidR="001147F8" w:rsidRDefault="00114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7107178"/>
      <w:docPartObj>
        <w:docPartGallery w:val="Page Numbers (Bottom of Page)"/>
        <w:docPartUnique/>
      </w:docPartObj>
    </w:sdtPr>
    <w:sdtEndPr>
      <w:rPr>
        <w:noProof/>
      </w:rPr>
    </w:sdtEndPr>
    <w:sdtContent>
      <w:p w14:paraId="164EFC70" w14:textId="347BBAF4" w:rsidR="008F0EEC" w:rsidRDefault="008F0E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6386B" w14:textId="2A123CA7" w:rsidR="00AE577C" w:rsidRDefault="00AE5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B434E" w14:textId="77777777" w:rsidR="001147F8" w:rsidRDefault="001147F8">
      <w:pPr>
        <w:spacing w:after="0" w:line="240" w:lineRule="auto"/>
      </w:pPr>
      <w:r>
        <w:separator/>
      </w:r>
    </w:p>
  </w:footnote>
  <w:footnote w:type="continuationSeparator" w:id="0">
    <w:p w14:paraId="7B116F29" w14:textId="77777777" w:rsidR="001147F8" w:rsidRDefault="00114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3316"/>
    <w:multiLevelType w:val="hybridMultilevel"/>
    <w:tmpl w:val="07E2D90C"/>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00F01537"/>
    <w:multiLevelType w:val="hybridMultilevel"/>
    <w:tmpl w:val="0652D3C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08420506"/>
    <w:multiLevelType w:val="hybridMultilevel"/>
    <w:tmpl w:val="CED2D0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EB7FAC"/>
    <w:multiLevelType w:val="hybridMultilevel"/>
    <w:tmpl w:val="599C29E0"/>
    <w:lvl w:ilvl="0" w:tplc="FFFFFFFF">
      <w:start w:val="1"/>
      <w:numFmt w:val="bullet"/>
      <w:lvlText w:val=""/>
      <w:lvlJc w:val="left"/>
      <w:pPr>
        <w:ind w:left="775" w:hanging="360"/>
      </w:pPr>
      <w:rPr>
        <w:rFonts w:ascii="Symbol" w:hAnsi="Symbol" w:hint="default"/>
      </w:rPr>
    </w:lvl>
    <w:lvl w:ilvl="1" w:tplc="FFFFFFFF" w:tentative="1">
      <w:start w:val="1"/>
      <w:numFmt w:val="bullet"/>
      <w:lvlText w:val="o"/>
      <w:lvlJc w:val="left"/>
      <w:pPr>
        <w:ind w:left="1495" w:hanging="360"/>
      </w:pPr>
      <w:rPr>
        <w:rFonts w:ascii="Courier New" w:hAnsi="Courier New" w:cs="Courier New" w:hint="default"/>
      </w:rPr>
    </w:lvl>
    <w:lvl w:ilvl="2" w:tplc="FFFFFFFF" w:tentative="1">
      <w:start w:val="1"/>
      <w:numFmt w:val="bullet"/>
      <w:lvlText w:val=""/>
      <w:lvlJc w:val="left"/>
      <w:pPr>
        <w:ind w:left="2215" w:hanging="360"/>
      </w:pPr>
      <w:rPr>
        <w:rFonts w:ascii="Wingdings" w:hAnsi="Wingdings" w:hint="default"/>
      </w:rPr>
    </w:lvl>
    <w:lvl w:ilvl="3" w:tplc="FFFFFFFF" w:tentative="1">
      <w:start w:val="1"/>
      <w:numFmt w:val="bullet"/>
      <w:lvlText w:val=""/>
      <w:lvlJc w:val="left"/>
      <w:pPr>
        <w:ind w:left="2935" w:hanging="360"/>
      </w:pPr>
      <w:rPr>
        <w:rFonts w:ascii="Symbol" w:hAnsi="Symbol" w:hint="default"/>
      </w:rPr>
    </w:lvl>
    <w:lvl w:ilvl="4" w:tplc="FFFFFFFF" w:tentative="1">
      <w:start w:val="1"/>
      <w:numFmt w:val="bullet"/>
      <w:lvlText w:val="o"/>
      <w:lvlJc w:val="left"/>
      <w:pPr>
        <w:ind w:left="3655" w:hanging="360"/>
      </w:pPr>
      <w:rPr>
        <w:rFonts w:ascii="Courier New" w:hAnsi="Courier New" w:cs="Courier New" w:hint="default"/>
      </w:rPr>
    </w:lvl>
    <w:lvl w:ilvl="5" w:tplc="FFFFFFFF" w:tentative="1">
      <w:start w:val="1"/>
      <w:numFmt w:val="bullet"/>
      <w:lvlText w:val=""/>
      <w:lvlJc w:val="left"/>
      <w:pPr>
        <w:ind w:left="4375" w:hanging="360"/>
      </w:pPr>
      <w:rPr>
        <w:rFonts w:ascii="Wingdings" w:hAnsi="Wingdings" w:hint="default"/>
      </w:rPr>
    </w:lvl>
    <w:lvl w:ilvl="6" w:tplc="FFFFFFFF" w:tentative="1">
      <w:start w:val="1"/>
      <w:numFmt w:val="bullet"/>
      <w:lvlText w:val=""/>
      <w:lvlJc w:val="left"/>
      <w:pPr>
        <w:ind w:left="5095" w:hanging="360"/>
      </w:pPr>
      <w:rPr>
        <w:rFonts w:ascii="Symbol" w:hAnsi="Symbol" w:hint="default"/>
      </w:rPr>
    </w:lvl>
    <w:lvl w:ilvl="7" w:tplc="FFFFFFFF" w:tentative="1">
      <w:start w:val="1"/>
      <w:numFmt w:val="bullet"/>
      <w:lvlText w:val="o"/>
      <w:lvlJc w:val="left"/>
      <w:pPr>
        <w:ind w:left="5815" w:hanging="360"/>
      </w:pPr>
      <w:rPr>
        <w:rFonts w:ascii="Courier New" w:hAnsi="Courier New" w:cs="Courier New" w:hint="default"/>
      </w:rPr>
    </w:lvl>
    <w:lvl w:ilvl="8" w:tplc="FFFFFFFF" w:tentative="1">
      <w:start w:val="1"/>
      <w:numFmt w:val="bullet"/>
      <w:lvlText w:val=""/>
      <w:lvlJc w:val="left"/>
      <w:pPr>
        <w:ind w:left="6535" w:hanging="360"/>
      </w:pPr>
      <w:rPr>
        <w:rFonts w:ascii="Wingdings" w:hAnsi="Wingdings" w:hint="default"/>
      </w:rPr>
    </w:lvl>
  </w:abstractNum>
  <w:abstractNum w:abstractNumId="4" w15:restartNumberingAfterBreak="0">
    <w:nsid w:val="0E7A1C9A"/>
    <w:multiLevelType w:val="hybridMultilevel"/>
    <w:tmpl w:val="F9666E7E"/>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1061031"/>
    <w:multiLevelType w:val="hybridMultilevel"/>
    <w:tmpl w:val="9A400454"/>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2AD03852"/>
    <w:multiLevelType w:val="hybridMultilevel"/>
    <w:tmpl w:val="E454277A"/>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2D4B45B0"/>
    <w:multiLevelType w:val="hybridMultilevel"/>
    <w:tmpl w:val="5C64F4F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3435103C"/>
    <w:multiLevelType w:val="hybridMultilevel"/>
    <w:tmpl w:val="0DE8EAD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A2C5B3F"/>
    <w:multiLevelType w:val="hybridMultilevel"/>
    <w:tmpl w:val="2F52DF5E"/>
    <w:lvl w:ilvl="0" w:tplc="0C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5DB418D5"/>
    <w:multiLevelType w:val="hybridMultilevel"/>
    <w:tmpl w:val="D036309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69E83F86"/>
    <w:multiLevelType w:val="hybridMultilevel"/>
    <w:tmpl w:val="6F9ABEA4"/>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71AA8567"/>
    <w:multiLevelType w:val="hybridMultilevel"/>
    <w:tmpl w:val="91CF6440"/>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75825C5E"/>
    <w:multiLevelType w:val="hybridMultilevel"/>
    <w:tmpl w:val="B810EF3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78225632">
    <w:abstractNumId w:val="10"/>
  </w:num>
  <w:num w:numId="2" w16cid:durableId="1358657169">
    <w:abstractNumId w:val="8"/>
  </w:num>
  <w:num w:numId="3" w16cid:durableId="1665010811">
    <w:abstractNumId w:val="3"/>
  </w:num>
  <w:num w:numId="4" w16cid:durableId="1944223058">
    <w:abstractNumId w:val="6"/>
  </w:num>
  <w:num w:numId="5" w16cid:durableId="1038899777">
    <w:abstractNumId w:val="0"/>
  </w:num>
  <w:num w:numId="6" w16cid:durableId="1617366876">
    <w:abstractNumId w:val="4"/>
  </w:num>
  <w:num w:numId="7" w16cid:durableId="744910532">
    <w:abstractNumId w:val="5"/>
  </w:num>
  <w:num w:numId="8" w16cid:durableId="16008763">
    <w:abstractNumId w:val="1"/>
  </w:num>
  <w:num w:numId="9" w16cid:durableId="946883911">
    <w:abstractNumId w:val="11"/>
  </w:num>
  <w:num w:numId="10" w16cid:durableId="337853706">
    <w:abstractNumId w:val="13"/>
  </w:num>
  <w:num w:numId="11" w16cid:durableId="565797766">
    <w:abstractNumId w:val="12"/>
  </w:num>
  <w:num w:numId="12" w16cid:durableId="1993485834">
    <w:abstractNumId w:val="9"/>
  </w:num>
  <w:num w:numId="13" w16cid:durableId="1724677827">
    <w:abstractNumId w:val="7"/>
  </w:num>
  <w:num w:numId="14" w16cid:durableId="141896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xMjS1NDMyNzI1MrRQ0lEKTi0uzszPAykwrAUANqZkwywAAAA="/>
  </w:docVars>
  <w:rsids>
    <w:rsidRoot w:val="00AE577C"/>
    <w:rsid w:val="000070F8"/>
    <w:rsid w:val="00012320"/>
    <w:rsid w:val="00031429"/>
    <w:rsid w:val="00037ADC"/>
    <w:rsid w:val="000404F9"/>
    <w:rsid w:val="00051285"/>
    <w:rsid w:val="000513DB"/>
    <w:rsid w:val="00052637"/>
    <w:rsid w:val="000606C6"/>
    <w:rsid w:val="000650E5"/>
    <w:rsid w:val="000721F7"/>
    <w:rsid w:val="000729D6"/>
    <w:rsid w:val="00073956"/>
    <w:rsid w:val="000766A6"/>
    <w:rsid w:val="00091D4E"/>
    <w:rsid w:val="000A5E55"/>
    <w:rsid w:val="000B01C3"/>
    <w:rsid w:val="000C10EF"/>
    <w:rsid w:val="000D1D04"/>
    <w:rsid w:val="000E1793"/>
    <w:rsid w:val="000E1943"/>
    <w:rsid w:val="000F6D5B"/>
    <w:rsid w:val="00105369"/>
    <w:rsid w:val="00113D4E"/>
    <w:rsid w:val="0011400B"/>
    <w:rsid w:val="001147F8"/>
    <w:rsid w:val="00122F69"/>
    <w:rsid w:val="0012748C"/>
    <w:rsid w:val="00143FDD"/>
    <w:rsid w:val="001520E9"/>
    <w:rsid w:val="00155984"/>
    <w:rsid w:val="00164476"/>
    <w:rsid w:val="00166FEB"/>
    <w:rsid w:val="00170F5F"/>
    <w:rsid w:val="00172A9F"/>
    <w:rsid w:val="00187A34"/>
    <w:rsid w:val="00187CA6"/>
    <w:rsid w:val="00193E93"/>
    <w:rsid w:val="00194278"/>
    <w:rsid w:val="00195001"/>
    <w:rsid w:val="001A383A"/>
    <w:rsid w:val="001B3096"/>
    <w:rsid w:val="001B3102"/>
    <w:rsid w:val="001C00F0"/>
    <w:rsid w:val="001C7B6D"/>
    <w:rsid w:val="001D2204"/>
    <w:rsid w:val="001F1362"/>
    <w:rsid w:val="0020157D"/>
    <w:rsid w:val="00201F74"/>
    <w:rsid w:val="00205B64"/>
    <w:rsid w:val="002071AA"/>
    <w:rsid w:val="00226FFE"/>
    <w:rsid w:val="0025457D"/>
    <w:rsid w:val="002637C2"/>
    <w:rsid w:val="00280ED0"/>
    <w:rsid w:val="00285705"/>
    <w:rsid w:val="002878FE"/>
    <w:rsid w:val="00293600"/>
    <w:rsid w:val="00295A68"/>
    <w:rsid w:val="00295FEF"/>
    <w:rsid w:val="002A28B7"/>
    <w:rsid w:val="002C139E"/>
    <w:rsid w:val="002C2D0E"/>
    <w:rsid w:val="002C74AC"/>
    <w:rsid w:val="002E537B"/>
    <w:rsid w:val="003156F9"/>
    <w:rsid w:val="0032511A"/>
    <w:rsid w:val="00332DA5"/>
    <w:rsid w:val="0036031D"/>
    <w:rsid w:val="00361096"/>
    <w:rsid w:val="00362FBB"/>
    <w:rsid w:val="00363CE4"/>
    <w:rsid w:val="00377933"/>
    <w:rsid w:val="00397685"/>
    <w:rsid w:val="003A5989"/>
    <w:rsid w:val="003A5BB7"/>
    <w:rsid w:val="003A7F0E"/>
    <w:rsid w:val="003B065C"/>
    <w:rsid w:val="003B1AEF"/>
    <w:rsid w:val="003B6E38"/>
    <w:rsid w:val="003D3947"/>
    <w:rsid w:val="003F0858"/>
    <w:rsid w:val="004014EF"/>
    <w:rsid w:val="00406ED1"/>
    <w:rsid w:val="004177ED"/>
    <w:rsid w:val="00422A86"/>
    <w:rsid w:val="00427F93"/>
    <w:rsid w:val="00433A7A"/>
    <w:rsid w:val="00446458"/>
    <w:rsid w:val="00453674"/>
    <w:rsid w:val="004550E8"/>
    <w:rsid w:val="00463E95"/>
    <w:rsid w:val="00465C51"/>
    <w:rsid w:val="00475A11"/>
    <w:rsid w:val="00475CAF"/>
    <w:rsid w:val="00476C6C"/>
    <w:rsid w:val="00484C50"/>
    <w:rsid w:val="00490B67"/>
    <w:rsid w:val="00497A4A"/>
    <w:rsid w:val="004A48FF"/>
    <w:rsid w:val="004A5171"/>
    <w:rsid w:val="004C2319"/>
    <w:rsid w:val="004C4373"/>
    <w:rsid w:val="004C6561"/>
    <w:rsid w:val="004C76F4"/>
    <w:rsid w:val="004D1FE8"/>
    <w:rsid w:val="004D701D"/>
    <w:rsid w:val="004E1AAA"/>
    <w:rsid w:val="004E7117"/>
    <w:rsid w:val="004E72D0"/>
    <w:rsid w:val="004F5180"/>
    <w:rsid w:val="00500A52"/>
    <w:rsid w:val="00505E99"/>
    <w:rsid w:val="005340B4"/>
    <w:rsid w:val="00540A5B"/>
    <w:rsid w:val="00545D0E"/>
    <w:rsid w:val="00550662"/>
    <w:rsid w:val="00555CEE"/>
    <w:rsid w:val="00556F86"/>
    <w:rsid w:val="00560712"/>
    <w:rsid w:val="0056469D"/>
    <w:rsid w:val="00590676"/>
    <w:rsid w:val="005922E1"/>
    <w:rsid w:val="00594083"/>
    <w:rsid w:val="005A2B3D"/>
    <w:rsid w:val="005A56D9"/>
    <w:rsid w:val="005B3AE6"/>
    <w:rsid w:val="005C0326"/>
    <w:rsid w:val="005D2226"/>
    <w:rsid w:val="005D728E"/>
    <w:rsid w:val="005F3A80"/>
    <w:rsid w:val="005F52C9"/>
    <w:rsid w:val="00603F22"/>
    <w:rsid w:val="00607026"/>
    <w:rsid w:val="0061222E"/>
    <w:rsid w:val="00616F30"/>
    <w:rsid w:val="006310E5"/>
    <w:rsid w:val="006314AD"/>
    <w:rsid w:val="00633C9A"/>
    <w:rsid w:val="00634AB4"/>
    <w:rsid w:val="00644A7D"/>
    <w:rsid w:val="006456DE"/>
    <w:rsid w:val="0066237A"/>
    <w:rsid w:val="00673E2F"/>
    <w:rsid w:val="00683C13"/>
    <w:rsid w:val="00684838"/>
    <w:rsid w:val="006A053B"/>
    <w:rsid w:val="006D3046"/>
    <w:rsid w:val="006D492C"/>
    <w:rsid w:val="00713C92"/>
    <w:rsid w:val="00717AF0"/>
    <w:rsid w:val="00720534"/>
    <w:rsid w:val="00720AEB"/>
    <w:rsid w:val="007246A4"/>
    <w:rsid w:val="00731F1D"/>
    <w:rsid w:val="00732750"/>
    <w:rsid w:val="0075047E"/>
    <w:rsid w:val="00751009"/>
    <w:rsid w:val="007552A2"/>
    <w:rsid w:val="00757CCC"/>
    <w:rsid w:val="007616A6"/>
    <w:rsid w:val="00765269"/>
    <w:rsid w:val="00766590"/>
    <w:rsid w:val="0077034D"/>
    <w:rsid w:val="00773C33"/>
    <w:rsid w:val="007758EE"/>
    <w:rsid w:val="007A1F62"/>
    <w:rsid w:val="007A5115"/>
    <w:rsid w:val="007B1DA8"/>
    <w:rsid w:val="007B333A"/>
    <w:rsid w:val="007B47B5"/>
    <w:rsid w:val="007B5036"/>
    <w:rsid w:val="007C1282"/>
    <w:rsid w:val="007C34D0"/>
    <w:rsid w:val="007C4A75"/>
    <w:rsid w:val="007D243C"/>
    <w:rsid w:val="007D391A"/>
    <w:rsid w:val="007D47A2"/>
    <w:rsid w:val="007E3F0A"/>
    <w:rsid w:val="007E4655"/>
    <w:rsid w:val="007E4F12"/>
    <w:rsid w:val="007E6AEA"/>
    <w:rsid w:val="007F0DE9"/>
    <w:rsid w:val="007F43D8"/>
    <w:rsid w:val="00815269"/>
    <w:rsid w:val="00830F08"/>
    <w:rsid w:val="00831E96"/>
    <w:rsid w:val="008357F2"/>
    <w:rsid w:val="008420AC"/>
    <w:rsid w:val="00844D45"/>
    <w:rsid w:val="00846E04"/>
    <w:rsid w:val="00847AFB"/>
    <w:rsid w:val="0085767E"/>
    <w:rsid w:val="0086364D"/>
    <w:rsid w:val="008720FB"/>
    <w:rsid w:val="008735DF"/>
    <w:rsid w:val="00874BF6"/>
    <w:rsid w:val="00876555"/>
    <w:rsid w:val="0088043E"/>
    <w:rsid w:val="008818A7"/>
    <w:rsid w:val="00885A3F"/>
    <w:rsid w:val="008909B4"/>
    <w:rsid w:val="0089535B"/>
    <w:rsid w:val="00897F01"/>
    <w:rsid w:val="008A45CA"/>
    <w:rsid w:val="008A55D2"/>
    <w:rsid w:val="008A5CDF"/>
    <w:rsid w:val="008B0CAB"/>
    <w:rsid w:val="008B0D6E"/>
    <w:rsid w:val="008C0271"/>
    <w:rsid w:val="008C3F57"/>
    <w:rsid w:val="008D37A1"/>
    <w:rsid w:val="008E7734"/>
    <w:rsid w:val="008F0EEC"/>
    <w:rsid w:val="009030C8"/>
    <w:rsid w:val="00916D8F"/>
    <w:rsid w:val="00917D22"/>
    <w:rsid w:val="00923D0A"/>
    <w:rsid w:val="00932001"/>
    <w:rsid w:val="00935074"/>
    <w:rsid w:val="00937011"/>
    <w:rsid w:val="0093752E"/>
    <w:rsid w:val="00942800"/>
    <w:rsid w:val="00942DD9"/>
    <w:rsid w:val="0095006A"/>
    <w:rsid w:val="00950F58"/>
    <w:rsid w:val="00953568"/>
    <w:rsid w:val="009559C8"/>
    <w:rsid w:val="00956726"/>
    <w:rsid w:val="009609A7"/>
    <w:rsid w:val="00962E53"/>
    <w:rsid w:val="00970CD9"/>
    <w:rsid w:val="0097663B"/>
    <w:rsid w:val="00980BEB"/>
    <w:rsid w:val="00983D07"/>
    <w:rsid w:val="0099116D"/>
    <w:rsid w:val="00994225"/>
    <w:rsid w:val="00997780"/>
    <w:rsid w:val="009A1CE5"/>
    <w:rsid w:val="009A2FEE"/>
    <w:rsid w:val="009A7234"/>
    <w:rsid w:val="009B4253"/>
    <w:rsid w:val="009B699E"/>
    <w:rsid w:val="009C22E8"/>
    <w:rsid w:val="009D1FFE"/>
    <w:rsid w:val="009E6AB3"/>
    <w:rsid w:val="009F5F08"/>
    <w:rsid w:val="00A03ADF"/>
    <w:rsid w:val="00A079C1"/>
    <w:rsid w:val="00A132AF"/>
    <w:rsid w:val="00A20974"/>
    <w:rsid w:val="00A25BDE"/>
    <w:rsid w:val="00A31340"/>
    <w:rsid w:val="00A31F6C"/>
    <w:rsid w:val="00A3351E"/>
    <w:rsid w:val="00A348BF"/>
    <w:rsid w:val="00A35ABA"/>
    <w:rsid w:val="00A532B5"/>
    <w:rsid w:val="00A552CD"/>
    <w:rsid w:val="00A6041F"/>
    <w:rsid w:val="00A648C2"/>
    <w:rsid w:val="00A658B9"/>
    <w:rsid w:val="00A6615A"/>
    <w:rsid w:val="00A74085"/>
    <w:rsid w:val="00A76F09"/>
    <w:rsid w:val="00A9704A"/>
    <w:rsid w:val="00AA4440"/>
    <w:rsid w:val="00AB2287"/>
    <w:rsid w:val="00AB3008"/>
    <w:rsid w:val="00AD255A"/>
    <w:rsid w:val="00AE577C"/>
    <w:rsid w:val="00AE6DEF"/>
    <w:rsid w:val="00B0443C"/>
    <w:rsid w:val="00B1588F"/>
    <w:rsid w:val="00B25BB6"/>
    <w:rsid w:val="00B311EE"/>
    <w:rsid w:val="00B4312A"/>
    <w:rsid w:val="00B4689D"/>
    <w:rsid w:val="00B55225"/>
    <w:rsid w:val="00B667AA"/>
    <w:rsid w:val="00B66B4B"/>
    <w:rsid w:val="00B67B14"/>
    <w:rsid w:val="00B70523"/>
    <w:rsid w:val="00B7086B"/>
    <w:rsid w:val="00B70DC7"/>
    <w:rsid w:val="00B80FFD"/>
    <w:rsid w:val="00B817C3"/>
    <w:rsid w:val="00B924C2"/>
    <w:rsid w:val="00B952E8"/>
    <w:rsid w:val="00B95754"/>
    <w:rsid w:val="00BB0E7D"/>
    <w:rsid w:val="00BB283F"/>
    <w:rsid w:val="00BC1625"/>
    <w:rsid w:val="00BC435B"/>
    <w:rsid w:val="00BC4519"/>
    <w:rsid w:val="00BC4DC5"/>
    <w:rsid w:val="00BC7FC6"/>
    <w:rsid w:val="00BD1C87"/>
    <w:rsid w:val="00BD26AB"/>
    <w:rsid w:val="00BD4905"/>
    <w:rsid w:val="00BD77C0"/>
    <w:rsid w:val="00BF312F"/>
    <w:rsid w:val="00C079AD"/>
    <w:rsid w:val="00C207C7"/>
    <w:rsid w:val="00C24B2B"/>
    <w:rsid w:val="00C404FF"/>
    <w:rsid w:val="00C50E65"/>
    <w:rsid w:val="00C5495E"/>
    <w:rsid w:val="00C5750D"/>
    <w:rsid w:val="00C61273"/>
    <w:rsid w:val="00C625FA"/>
    <w:rsid w:val="00C66E82"/>
    <w:rsid w:val="00C737B9"/>
    <w:rsid w:val="00C745AF"/>
    <w:rsid w:val="00C76B26"/>
    <w:rsid w:val="00C91A12"/>
    <w:rsid w:val="00C965F5"/>
    <w:rsid w:val="00CA3338"/>
    <w:rsid w:val="00CA64A0"/>
    <w:rsid w:val="00CA64E0"/>
    <w:rsid w:val="00CA76C8"/>
    <w:rsid w:val="00CA7A05"/>
    <w:rsid w:val="00CB1413"/>
    <w:rsid w:val="00CC5497"/>
    <w:rsid w:val="00CC619B"/>
    <w:rsid w:val="00CC6A7B"/>
    <w:rsid w:val="00CD228A"/>
    <w:rsid w:val="00CD3069"/>
    <w:rsid w:val="00CD316C"/>
    <w:rsid w:val="00CD6D7E"/>
    <w:rsid w:val="00CE1116"/>
    <w:rsid w:val="00CE762A"/>
    <w:rsid w:val="00CE7637"/>
    <w:rsid w:val="00CF15EB"/>
    <w:rsid w:val="00D0040F"/>
    <w:rsid w:val="00D13B8E"/>
    <w:rsid w:val="00D217B2"/>
    <w:rsid w:val="00D2710B"/>
    <w:rsid w:val="00D30EB6"/>
    <w:rsid w:val="00D336F1"/>
    <w:rsid w:val="00D33C7E"/>
    <w:rsid w:val="00D34F68"/>
    <w:rsid w:val="00D5001A"/>
    <w:rsid w:val="00D51E55"/>
    <w:rsid w:val="00D56576"/>
    <w:rsid w:val="00D56648"/>
    <w:rsid w:val="00D57359"/>
    <w:rsid w:val="00D722C4"/>
    <w:rsid w:val="00D74DF0"/>
    <w:rsid w:val="00D86F5E"/>
    <w:rsid w:val="00D87937"/>
    <w:rsid w:val="00DA4799"/>
    <w:rsid w:val="00DB4257"/>
    <w:rsid w:val="00DC0A22"/>
    <w:rsid w:val="00DC208C"/>
    <w:rsid w:val="00DC2E9C"/>
    <w:rsid w:val="00DD3D4A"/>
    <w:rsid w:val="00DE73E4"/>
    <w:rsid w:val="00DF57C5"/>
    <w:rsid w:val="00DF5BB9"/>
    <w:rsid w:val="00E066A2"/>
    <w:rsid w:val="00E16900"/>
    <w:rsid w:val="00E23C01"/>
    <w:rsid w:val="00E44E97"/>
    <w:rsid w:val="00E45344"/>
    <w:rsid w:val="00E51E9E"/>
    <w:rsid w:val="00E555B6"/>
    <w:rsid w:val="00E560C7"/>
    <w:rsid w:val="00E57240"/>
    <w:rsid w:val="00E57F1E"/>
    <w:rsid w:val="00E6548E"/>
    <w:rsid w:val="00E724EC"/>
    <w:rsid w:val="00E737DA"/>
    <w:rsid w:val="00E7407F"/>
    <w:rsid w:val="00E74B65"/>
    <w:rsid w:val="00E750B8"/>
    <w:rsid w:val="00E84585"/>
    <w:rsid w:val="00E94998"/>
    <w:rsid w:val="00E96013"/>
    <w:rsid w:val="00EA407E"/>
    <w:rsid w:val="00EB305F"/>
    <w:rsid w:val="00EB47EB"/>
    <w:rsid w:val="00EB6B91"/>
    <w:rsid w:val="00EB6F36"/>
    <w:rsid w:val="00EB7129"/>
    <w:rsid w:val="00EE5454"/>
    <w:rsid w:val="00EE71F6"/>
    <w:rsid w:val="00EF018F"/>
    <w:rsid w:val="00EF4A03"/>
    <w:rsid w:val="00EF6125"/>
    <w:rsid w:val="00F027CC"/>
    <w:rsid w:val="00F16D98"/>
    <w:rsid w:val="00F23431"/>
    <w:rsid w:val="00F41311"/>
    <w:rsid w:val="00F664BC"/>
    <w:rsid w:val="00F704CA"/>
    <w:rsid w:val="00F730F4"/>
    <w:rsid w:val="00F76D32"/>
    <w:rsid w:val="00F90B3B"/>
    <w:rsid w:val="00F90EC2"/>
    <w:rsid w:val="00F96CC1"/>
    <w:rsid w:val="00FA7E5A"/>
    <w:rsid w:val="00FB22D7"/>
    <w:rsid w:val="00FC090A"/>
    <w:rsid w:val="00FC7FC3"/>
    <w:rsid w:val="00FD0768"/>
    <w:rsid w:val="00FE2149"/>
    <w:rsid w:val="00FE7296"/>
    <w:rsid w:val="00FE7AA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A79DD9"/>
  <w15:chartTrackingRefBased/>
  <w15:docId w15:val="{97CFECAB-61A9-4F82-9F15-217CC608B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77C"/>
    <w:pPr>
      <w:spacing w:after="200" w:line="360" w:lineRule="auto"/>
      <w:jc w:val="both"/>
    </w:pPr>
    <w:rPr>
      <w:rFonts w:ascii="Arial" w:eastAsiaTheme="minorEastAsia" w:hAnsi="Arial"/>
      <w:kern w:val="0"/>
      <w14:ligatures w14:val="none"/>
    </w:rPr>
  </w:style>
  <w:style w:type="paragraph" w:styleId="Heading1">
    <w:name w:val="heading 1"/>
    <w:basedOn w:val="Normal"/>
    <w:next w:val="Normal"/>
    <w:link w:val="Heading1Char"/>
    <w:autoRedefine/>
    <w:uiPriority w:val="9"/>
    <w:qFormat/>
    <w:rsid w:val="00D56648"/>
    <w:pPr>
      <w:keepNext/>
      <w:keepLines/>
      <w:spacing w:before="360" w:after="80"/>
      <w:jc w:val="center"/>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E84585"/>
    <w:pPr>
      <w:keepNext/>
      <w:keepLines/>
      <w:spacing w:before="160" w:after="80"/>
      <w:outlineLvl w:val="1"/>
    </w:pPr>
    <w:rPr>
      <w:rFonts w:eastAsiaTheme="majorEastAsia" w:cs="Arial"/>
      <w:b/>
      <w:bCs/>
      <w:color w:val="000000" w:themeColor="text1"/>
      <w:lang w:val="en-US"/>
    </w:rPr>
  </w:style>
  <w:style w:type="paragraph" w:styleId="Heading3">
    <w:name w:val="heading 3"/>
    <w:basedOn w:val="Normal"/>
    <w:next w:val="Normal"/>
    <w:link w:val="Heading3Char"/>
    <w:uiPriority w:val="9"/>
    <w:semiHidden/>
    <w:unhideWhenUsed/>
    <w:qFormat/>
    <w:rsid w:val="00AE577C"/>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AE577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577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E577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577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577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577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648"/>
    <w:rPr>
      <w:rFonts w:ascii="Arial" w:eastAsiaTheme="majorEastAsia" w:hAnsi="Arial" w:cstheme="majorBidi"/>
      <w:b/>
      <w:color w:val="000000" w:themeColor="text1"/>
      <w:sz w:val="24"/>
      <w:szCs w:val="40"/>
      <w:lang w:eastAsia="en-IN" w:bidi="bn-IN"/>
      <w14:ligatures w14:val="none"/>
    </w:rPr>
  </w:style>
  <w:style w:type="character" w:customStyle="1" w:styleId="Heading2Char">
    <w:name w:val="Heading 2 Char"/>
    <w:basedOn w:val="DefaultParagraphFont"/>
    <w:link w:val="Heading2"/>
    <w:uiPriority w:val="9"/>
    <w:rsid w:val="00E84585"/>
    <w:rPr>
      <w:rFonts w:ascii="Arial" w:eastAsiaTheme="majorEastAsia" w:hAnsi="Arial" w:cs="Arial"/>
      <w:b/>
      <w:bCs/>
      <w:color w:val="000000" w:themeColor="text1"/>
      <w:kern w:val="0"/>
      <w:lang w:val="en-US"/>
      <w14:ligatures w14:val="none"/>
    </w:rPr>
  </w:style>
  <w:style w:type="character" w:customStyle="1" w:styleId="Heading3Char">
    <w:name w:val="Heading 3 Char"/>
    <w:basedOn w:val="DefaultParagraphFont"/>
    <w:link w:val="Heading3"/>
    <w:uiPriority w:val="9"/>
    <w:semiHidden/>
    <w:rsid w:val="00AE577C"/>
    <w:rPr>
      <w:rFonts w:eastAsiaTheme="majorEastAsia" w:cstheme="majorBidi"/>
      <w:color w:val="2F5496" w:themeColor="accent1" w:themeShade="BF"/>
      <w:sz w:val="28"/>
      <w:szCs w:val="35"/>
      <w:lang w:val="en-AU" w:eastAsia="en-IN" w:bidi="bn-IN"/>
      <w14:ligatures w14:val="none"/>
    </w:rPr>
  </w:style>
  <w:style w:type="character" w:customStyle="1" w:styleId="Heading4Char">
    <w:name w:val="Heading 4 Char"/>
    <w:basedOn w:val="DefaultParagraphFont"/>
    <w:link w:val="Heading4"/>
    <w:uiPriority w:val="9"/>
    <w:semiHidden/>
    <w:rsid w:val="00AE577C"/>
    <w:rPr>
      <w:rFonts w:eastAsiaTheme="majorEastAsia" w:cstheme="majorBidi"/>
      <w:i/>
      <w:iCs/>
      <w:color w:val="2F5496" w:themeColor="accent1" w:themeShade="BF"/>
      <w:sz w:val="24"/>
      <w:szCs w:val="21"/>
      <w:lang w:val="en-AU" w:eastAsia="en-IN" w:bidi="bn-IN"/>
      <w14:ligatures w14:val="none"/>
    </w:rPr>
  </w:style>
  <w:style w:type="character" w:customStyle="1" w:styleId="Heading5Char">
    <w:name w:val="Heading 5 Char"/>
    <w:basedOn w:val="DefaultParagraphFont"/>
    <w:link w:val="Heading5"/>
    <w:uiPriority w:val="9"/>
    <w:semiHidden/>
    <w:rsid w:val="00AE577C"/>
    <w:rPr>
      <w:rFonts w:eastAsiaTheme="majorEastAsia" w:cstheme="majorBidi"/>
      <w:color w:val="2F5496" w:themeColor="accent1" w:themeShade="BF"/>
      <w:sz w:val="24"/>
      <w:szCs w:val="21"/>
      <w:lang w:val="en-AU" w:eastAsia="en-IN" w:bidi="bn-IN"/>
      <w14:ligatures w14:val="none"/>
    </w:rPr>
  </w:style>
  <w:style w:type="character" w:customStyle="1" w:styleId="Heading6Char">
    <w:name w:val="Heading 6 Char"/>
    <w:basedOn w:val="DefaultParagraphFont"/>
    <w:link w:val="Heading6"/>
    <w:uiPriority w:val="9"/>
    <w:semiHidden/>
    <w:rsid w:val="00AE577C"/>
    <w:rPr>
      <w:rFonts w:eastAsiaTheme="majorEastAsia" w:cstheme="majorBidi"/>
      <w:i/>
      <w:iCs/>
      <w:color w:val="595959" w:themeColor="text1" w:themeTint="A6"/>
      <w:sz w:val="24"/>
      <w:szCs w:val="21"/>
      <w:lang w:val="en-AU" w:eastAsia="en-IN" w:bidi="bn-IN"/>
      <w14:ligatures w14:val="none"/>
    </w:rPr>
  </w:style>
  <w:style w:type="character" w:customStyle="1" w:styleId="Heading7Char">
    <w:name w:val="Heading 7 Char"/>
    <w:basedOn w:val="DefaultParagraphFont"/>
    <w:link w:val="Heading7"/>
    <w:uiPriority w:val="9"/>
    <w:semiHidden/>
    <w:rsid w:val="00AE577C"/>
    <w:rPr>
      <w:rFonts w:eastAsiaTheme="majorEastAsia" w:cstheme="majorBidi"/>
      <w:color w:val="595959" w:themeColor="text1" w:themeTint="A6"/>
      <w:sz w:val="24"/>
      <w:szCs w:val="21"/>
      <w:lang w:val="en-AU" w:eastAsia="en-IN" w:bidi="bn-IN"/>
      <w14:ligatures w14:val="none"/>
    </w:rPr>
  </w:style>
  <w:style w:type="character" w:customStyle="1" w:styleId="Heading8Char">
    <w:name w:val="Heading 8 Char"/>
    <w:basedOn w:val="DefaultParagraphFont"/>
    <w:link w:val="Heading8"/>
    <w:uiPriority w:val="9"/>
    <w:semiHidden/>
    <w:rsid w:val="00AE577C"/>
    <w:rPr>
      <w:rFonts w:eastAsiaTheme="majorEastAsia" w:cstheme="majorBidi"/>
      <w:i/>
      <w:iCs/>
      <w:color w:val="272727" w:themeColor="text1" w:themeTint="D8"/>
      <w:sz w:val="24"/>
      <w:szCs w:val="21"/>
      <w:lang w:val="en-AU" w:eastAsia="en-IN" w:bidi="bn-IN"/>
      <w14:ligatures w14:val="none"/>
    </w:rPr>
  </w:style>
  <w:style w:type="character" w:customStyle="1" w:styleId="Heading9Char">
    <w:name w:val="Heading 9 Char"/>
    <w:basedOn w:val="DefaultParagraphFont"/>
    <w:link w:val="Heading9"/>
    <w:uiPriority w:val="9"/>
    <w:semiHidden/>
    <w:rsid w:val="00AE577C"/>
    <w:rPr>
      <w:rFonts w:eastAsiaTheme="majorEastAsia" w:cstheme="majorBidi"/>
      <w:color w:val="272727" w:themeColor="text1" w:themeTint="D8"/>
      <w:sz w:val="24"/>
      <w:szCs w:val="21"/>
      <w:lang w:val="en-AU" w:eastAsia="en-IN" w:bidi="bn-IN"/>
      <w14:ligatures w14:val="none"/>
    </w:rPr>
  </w:style>
  <w:style w:type="paragraph" w:styleId="Title">
    <w:name w:val="Title"/>
    <w:basedOn w:val="Normal"/>
    <w:next w:val="Normal"/>
    <w:link w:val="TitleChar"/>
    <w:uiPriority w:val="10"/>
    <w:qFormat/>
    <w:rsid w:val="00AE577C"/>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E577C"/>
    <w:rPr>
      <w:rFonts w:asciiTheme="majorHAnsi" w:eastAsiaTheme="majorEastAsia" w:hAnsiTheme="majorHAnsi" w:cstheme="majorBidi"/>
      <w:spacing w:val="-10"/>
      <w:kern w:val="28"/>
      <w:sz w:val="56"/>
      <w:szCs w:val="71"/>
      <w:lang w:val="en-AU" w:eastAsia="en-IN" w:bidi="bn-IN"/>
      <w14:ligatures w14:val="none"/>
    </w:rPr>
  </w:style>
  <w:style w:type="paragraph" w:styleId="Subtitle">
    <w:name w:val="Subtitle"/>
    <w:basedOn w:val="Normal"/>
    <w:next w:val="Normal"/>
    <w:link w:val="SubtitleChar"/>
    <w:uiPriority w:val="11"/>
    <w:qFormat/>
    <w:rsid w:val="00AE577C"/>
    <w:pPr>
      <w:numPr>
        <w:ilvl w:val="1"/>
      </w:numPr>
      <w:spacing w:after="160"/>
    </w:pPr>
    <w:rPr>
      <w:rFonts w:asciiTheme="minorHAnsi" w:eastAsiaTheme="majorEastAsia" w:hAnsiTheme="minorHAnsi" w:cstheme="majorBidi"/>
      <w:color w:val="000000" w:themeColor="text1"/>
      <w:spacing w:val="15"/>
      <w:sz w:val="28"/>
      <w:szCs w:val="35"/>
    </w:rPr>
  </w:style>
  <w:style w:type="character" w:customStyle="1" w:styleId="SubtitleChar">
    <w:name w:val="Subtitle Char"/>
    <w:basedOn w:val="DefaultParagraphFont"/>
    <w:link w:val="Subtitle"/>
    <w:uiPriority w:val="11"/>
    <w:rsid w:val="00AE577C"/>
    <w:rPr>
      <w:rFonts w:eastAsiaTheme="majorEastAsia" w:cstheme="majorBidi"/>
      <w:color w:val="000000" w:themeColor="text1"/>
      <w:spacing w:val="15"/>
      <w:sz w:val="28"/>
      <w:szCs w:val="35"/>
      <w:lang w:val="en-AU" w:eastAsia="en-IN" w:bidi="bn-IN"/>
      <w14:ligatures w14:val="none"/>
    </w:rPr>
  </w:style>
  <w:style w:type="paragraph" w:styleId="Quote">
    <w:name w:val="Quote"/>
    <w:basedOn w:val="Normal"/>
    <w:next w:val="Normal"/>
    <w:link w:val="QuoteChar"/>
    <w:uiPriority w:val="29"/>
    <w:qFormat/>
    <w:rsid w:val="00AE577C"/>
    <w:pPr>
      <w:spacing w:before="160" w:after="160"/>
      <w:jc w:val="center"/>
    </w:pPr>
    <w:rPr>
      <w:i/>
      <w:iCs/>
      <w:color w:val="000000" w:themeColor="text1"/>
    </w:rPr>
  </w:style>
  <w:style w:type="character" w:customStyle="1" w:styleId="QuoteChar">
    <w:name w:val="Quote Char"/>
    <w:basedOn w:val="DefaultParagraphFont"/>
    <w:link w:val="Quote"/>
    <w:uiPriority w:val="29"/>
    <w:rsid w:val="00AE577C"/>
    <w:rPr>
      <w:rFonts w:ascii="Arial" w:eastAsia="SimSun" w:hAnsi="Arial" w:cs="Times New Roman"/>
      <w:i/>
      <w:iCs/>
      <w:color w:val="000000" w:themeColor="text1"/>
      <w:sz w:val="24"/>
      <w:szCs w:val="21"/>
      <w:lang w:val="en-AU" w:eastAsia="en-IN" w:bidi="bn-IN"/>
      <w14:ligatures w14:val="none"/>
    </w:rPr>
  </w:style>
  <w:style w:type="paragraph" w:styleId="ListParagraph">
    <w:name w:val="List Paragraph"/>
    <w:basedOn w:val="Normal"/>
    <w:uiPriority w:val="34"/>
    <w:qFormat/>
    <w:rsid w:val="00AE577C"/>
    <w:pPr>
      <w:ind w:left="720"/>
      <w:contextualSpacing/>
    </w:pPr>
  </w:style>
  <w:style w:type="character" w:styleId="IntenseEmphasis">
    <w:name w:val="Intense Emphasis"/>
    <w:basedOn w:val="DefaultParagraphFont"/>
    <w:uiPriority w:val="21"/>
    <w:qFormat/>
    <w:rsid w:val="00AE577C"/>
    <w:rPr>
      <w:i/>
      <w:iCs/>
      <w:color w:val="2F5496" w:themeColor="accent1" w:themeShade="BF"/>
    </w:rPr>
  </w:style>
  <w:style w:type="paragraph" w:styleId="IntenseQuote">
    <w:name w:val="Intense Quote"/>
    <w:basedOn w:val="Normal"/>
    <w:next w:val="Normal"/>
    <w:link w:val="IntenseQuoteChar"/>
    <w:uiPriority w:val="30"/>
    <w:qFormat/>
    <w:rsid w:val="00AE57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577C"/>
    <w:rPr>
      <w:rFonts w:ascii="Arial" w:eastAsia="SimSun" w:hAnsi="Arial" w:cs="Times New Roman"/>
      <w:i/>
      <w:iCs/>
      <w:color w:val="2F5496" w:themeColor="accent1" w:themeShade="BF"/>
      <w:sz w:val="24"/>
      <w:szCs w:val="21"/>
      <w:lang w:val="en-AU" w:eastAsia="en-IN" w:bidi="bn-IN"/>
      <w14:ligatures w14:val="none"/>
    </w:rPr>
  </w:style>
  <w:style w:type="character" w:styleId="IntenseReference">
    <w:name w:val="Intense Reference"/>
    <w:basedOn w:val="DefaultParagraphFont"/>
    <w:uiPriority w:val="32"/>
    <w:qFormat/>
    <w:rsid w:val="00AE577C"/>
    <w:rPr>
      <w:b/>
      <w:bCs/>
      <w:smallCaps/>
      <w:color w:val="2F5496" w:themeColor="accent1" w:themeShade="BF"/>
      <w:spacing w:val="5"/>
    </w:rPr>
  </w:style>
  <w:style w:type="paragraph" w:styleId="Caption">
    <w:name w:val="caption"/>
    <w:basedOn w:val="Normal"/>
    <w:next w:val="Normal"/>
    <w:uiPriority w:val="35"/>
    <w:semiHidden/>
    <w:unhideWhenUsed/>
    <w:qFormat/>
    <w:rsid w:val="00AE577C"/>
    <w:pPr>
      <w:spacing w:line="240" w:lineRule="auto"/>
    </w:pPr>
    <w:rPr>
      <w:b/>
      <w:bCs/>
      <w:color w:val="4472C4" w:themeColor="accent1"/>
      <w:sz w:val="18"/>
      <w:szCs w:val="18"/>
    </w:rPr>
  </w:style>
  <w:style w:type="character" w:styleId="Strong">
    <w:name w:val="Strong"/>
    <w:basedOn w:val="DefaultParagraphFont"/>
    <w:uiPriority w:val="22"/>
    <w:qFormat/>
    <w:rsid w:val="00AE577C"/>
    <w:rPr>
      <w:b/>
      <w:bCs/>
    </w:rPr>
  </w:style>
  <w:style w:type="character" w:styleId="Emphasis">
    <w:name w:val="Emphasis"/>
    <w:basedOn w:val="DefaultParagraphFont"/>
    <w:uiPriority w:val="20"/>
    <w:qFormat/>
    <w:rsid w:val="00AE577C"/>
    <w:rPr>
      <w:i/>
      <w:iCs/>
    </w:rPr>
  </w:style>
  <w:style w:type="paragraph" w:styleId="NoSpacing">
    <w:name w:val="No Spacing"/>
    <w:uiPriority w:val="1"/>
    <w:qFormat/>
    <w:rsid w:val="00AE577C"/>
    <w:pPr>
      <w:spacing w:after="0" w:line="240" w:lineRule="auto"/>
    </w:pPr>
    <w:rPr>
      <w:rFonts w:eastAsiaTheme="minorEastAsia"/>
      <w:kern w:val="0"/>
      <w14:ligatures w14:val="none"/>
    </w:rPr>
  </w:style>
  <w:style w:type="character" w:styleId="SubtleEmphasis">
    <w:name w:val="Subtle Emphasis"/>
    <w:basedOn w:val="DefaultParagraphFont"/>
    <w:uiPriority w:val="19"/>
    <w:qFormat/>
    <w:rsid w:val="00AE577C"/>
    <w:rPr>
      <w:i/>
      <w:iCs/>
      <w:color w:val="808080" w:themeColor="text1" w:themeTint="7F"/>
    </w:rPr>
  </w:style>
  <w:style w:type="character" w:styleId="SubtleReference">
    <w:name w:val="Subtle Reference"/>
    <w:basedOn w:val="DefaultParagraphFont"/>
    <w:uiPriority w:val="31"/>
    <w:qFormat/>
    <w:rsid w:val="00AE577C"/>
    <w:rPr>
      <w:smallCaps/>
      <w:color w:val="ED7D31" w:themeColor="accent2"/>
      <w:u w:val="single"/>
    </w:rPr>
  </w:style>
  <w:style w:type="character" w:styleId="BookTitle">
    <w:name w:val="Book Title"/>
    <w:basedOn w:val="DefaultParagraphFont"/>
    <w:uiPriority w:val="33"/>
    <w:qFormat/>
    <w:rsid w:val="00AE577C"/>
    <w:rPr>
      <w:b/>
      <w:bCs/>
      <w:smallCaps/>
      <w:spacing w:val="5"/>
    </w:rPr>
  </w:style>
  <w:style w:type="paragraph" w:styleId="TOCHeading">
    <w:name w:val="TOC Heading"/>
    <w:basedOn w:val="Heading1"/>
    <w:next w:val="Normal"/>
    <w:uiPriority w:val="39"/>
    <w:unhideWhenUsed/>
    <w:qFormat/>
    <w:rsid w:val="00AE577C"/>
    <w:pPr>
      <w:spacing w:before="480" w:after="0"/>
      <w:jc w:val="both"/>
      <w:outlineLvl w:val="9"/>
    </w:pPr>
    <w:rPr>
      <w:rFonts w:asciiTheme="majorHAnsi" w:hAnsiTheme="majorHAnsi"/>
      <w:bCs/>
      <w:color w:val="2F5496" w:themeColor="accent1" w:themeShade="BF"/>
      <w:sz w:val="28"/>
      <w:szCs w:val="28"/>
    </w:rPr>
  </w:style>
  <w:style w:type="paragraph" w:styleId="Header">
    <w:name w:val="header"/>
    <w:basedOn w:val="Normal"/>
    <w:link w:val="HeaderChar"/>
    <w:uiPriority w:val="99"/>
    <w:unhideWhenUsed/>
    <w:rsid w:val="00AE5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77C"/>
    <w:rPr>
      <w:rFonts w:ascii="Arial" w:eastAsiaTheme="minorEastAsia" w:hAnsi="Arial"/>
      <w:kern w:val="0"/>
      <w14:ligatures w14:val="none"/>
    </w:rPr>
  </w:style>
  <w:style w:type="paragraph" w:styleId="Footer">
    <w:name w:val="footer"/>
    <w:basedOn w:val="Normal"/>
    <w:link w:val="FooterChar"/>
    <w:uiPriority w:val="99"/>
    <w:unhideWhenUsed/>
    <w:rsid w:val="00AE5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77C"/>
    <w:rPr>
      <w:rFonts w:ascii="Arial" w:eastAsiaTheme="minorEastAsia" w:hAnsi="Arial"/>
      <w:kern w:val="0"/>
      <w14:ligatures w14:val="none"/>
    </w:rPr>
  </w:style>
  <w:style w:type="character" w:styleId="Hyperlink">
    <w:name w:val="Hyperlink"/>
    <w:basedOn w:val="DefaultParagraphFont"/>
    <w:uiPriority w:val="99"/>
    <w:unhideWhenUsed/>
    <w:rsid w:val="00AE577C"/>
    <w:rPr>
      <w:color w:val="0000FF"/>
      <w:u w:val="single"/>
    </w:rPr>
  </w:style>
  <w:style w:type="paragraph" w:styleId="NormalWeb">
    <w:name w:val="Normal (Web)"/>
    <w:basedOn w:val="Normal"/>
    <w:uiPriority w:val="99"/>
    <w:semiHidden/>
    <w:unhideWhenUsed/>
    <w:rsid w:val="00AE577C"/>
    <w:pPr>
      <w:spacing w:before="100" w:beforeAutospacing="1" w:after="100" w:afterAutospacing="1" w:line="240" w:lineRule="auto"/>
    </w:pPr>
    <w:rPr>
      <w:rFonts w:eastAsia="Times New Roman" w:cs="Times New Roman"/>
      <w:szCs w:val="24"/>
      <w:lang w:eastAsia="en-IN" w:bidi="bn-IN"/>
    </w:rPr>
  </w:style>
  <w:style w:type="character" w:styleId="UnresolvedMention">
    <w:name w:val="Unresolved Mention"/>
    <w:basedOn w:val="DefaultParagraphFont"/>
    <w:uiPriority w:val="99"/>
    <w:semiHidden/>
    <w:unhideWhenUsed/>
    <w:rsid w:val="00AE577C"/>
    <w:rPr>
      <w:color w:val="605E5C"/>
      <w:shd w:val="clear" w:color="auto" w:fill="E1DFDD"/>
    </w:rPr>
  </w:style>
  <w:style w:type="character" w:styleId="CommentReference">
    <w:name w:val="annotation reference"/>
    <w:basedOn w:val="DefaultParagraphFont"/>
    <w:uiPriority w:val="99"/>
    <w:semiHidden/>
    <w:unhideWhenUsed/>
    <w:rsid w:val="00AE577C"/>
    <w:rPr>
      <w:sz w:val="16"/>
      <w:szCs w:val="16"/>
    </w:rPr>
  </w:style>
  <w:style w:type="paragraph" w:styleId="CommentText">
    <w:name w:val="annotation text"/>
    <w:basedOn w:val="Normal"/>
    <w:link w:val="CommentTextChar"/>
    <w:uiPriority w:val="99"/>
    <w:unhideWhenUsed/>
    <w:rsid w:val="00AE577C"/>
    <w:pPr>
      <w:spacing w:line="240" w:lineRule="auto"/>
    </w:pPr>
    <w:rPr>
      <w:sz w:val="20"/>
      <w:szCs w:val="20"/>
    </w:rPr>
  </w:style>
  <w:style w:type="character" w:customStyle="1" w:styleId="CommentTextChar">
    <w:name w:val="Comment Text Char"/>
    <w:basedOn w:val="DefaultParagraphFont"/>
    <w:link w:val="CommentText"/>
    <w:uiPriority w:val="99"/>
    <w:rsid w:val="00AE577C"/>
    <w:rPr>
      <w:rFonts w:ascii="Arial" w:eastAsiaTheme="minorEastAsia"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E577C"/>
    <w:rPr>
      <w:b/>
      <w:bCs/>
    </w:rPr>
  </w:style>
  <w:style w:type="character" w:customStyle="1" w:styleId="CommentSubjectChar">
    <w:name w:val="Comment Subject Char"/>
    <w:basedOn w:val="CommentTextChar"/>
    <w:link w:val="CommentSubject"/>
    <w:uiPriority w:val="99"/>
    <w:semiHidden/>
    <w:rsid w:val="00AE577C"/>
    <w:rPr>
      <w:rFonts w:ascii="Arial" w:eastAsiaTheme="minorEastAsia" w:hAnsi="Arial"/>
      <w:b/>
      <w:bCs/>
      <w:kern w:val="0"/>
      <w:sz w:val="20"/>
      <w:szCs w:val="20"/>
      <w14:ligatures w14:val="none"/>
    </w:rPr>
  </w:style>
  <w:style w:type="paragraph" w:styleId="Revision">
    <w:name w:val="Revision"/>
    <w:hidden/>
    <w:uiPriority w:val="99"/>
    <w:semiHidden/>
    <w:rsid w:val="00AE577C"/>
    <w:pPr>
      <w:spacing w:after="0" w:line="240" w:lineRule="auto"/>
    </w:pPr>
    <w:rPr>
      <w:rFonts w:ascii="Arial" w:eastAsiaTheme="minorEastAsia" w:hAnsi="Arial"/>
      <w:kern w:val="0"/>
      <w14:ligatures w14:val="none"/>
    </w:rPr>
  </w:style>
  <w:style w:type="character" w:customStyle="1" w:styleId="cf01">
    <w:name w:val="cf01"/>
    <w:basedOn w:val="DefaultParagraphFont"/>
    <w:rsid w:val="00AE577C"/>
    <w:rPr>
      <w:rFonts w:ascii="Segoe UI" w:hAnsi="Segoe UI" w:cs="Segoe UI" w:hint="default"/>
      <w:sz w:val="18"/>
      <w:szCs w:val="18"/>
    </w:rPr>
  </w:style>
  <w:style w:type="paragraph" w:customStyle="1" w:styleId="pf0">
    <w:name w:val="pf0"/>
    <w:basedOn w:val="Normal"/>
    <w:rsid w:val="00AE577C"/>
    <w:pPr>
      <w:spacing w:before="100" w:beforeAutospacing="1" w:after="100" w:afterAutospacing="1" w:line="240" w:lineRule="auto"/>
      <w:jc w:val="left"/>
    </w:pPr>
    <w:rPr>
      <w:rFonts w:ascii="Times New Roman" w:eastAsia="Times New Roman" w:hAnsi="Times New Roman" w:cs="Times New Roman"/>
      <w:sz w:val="24"/>
      <w:szCs w:val="24"/>
      <w:lang w:eastAsia="en-IN" w:bidi="bn-IN"/>
    </w:rPr>
  </w:style>
  <w:style w:type="paragraph" w:styleId="TOC1">
    <w:name w:val="toc 1"/>
    <w:basedOn w:val="Normal"/>
    <w:next w:val="Normal"/>
    <w:autoRedefine/>
    <w:uiPriority w:val="39"/>
    <w:unhideWhenUsed/>
    <w:rsid w:val="00B1588F"/>
    <w:pPr>
      <w:spacing w:after="100"/>
    </w:pPr>
  </w:style>
  <w:style w:type="paragraph" w:styleId="TOC2">
    <w:name w:val="toc 2"/>
    <w:basedOn w:val="Normal"/>
    <w:next w:val="Normal"/>
    <w:autoRedefine/>
    <w:uiPriority w:val="39"/>
    <w:unhideWhenUsed/>
    <w:rsid w:val="00B1588F"/>
    <w:pPr>
      <w:spacing w:after="100"/>
      <w:ind w:left="220"/>
    </w:pPr>
  </w:style>
  <w:style w:type="paragraph" w:styleId="TOC3">
    <w:name w:val="toc 3"/>
    <w:basedOn w:val="Normal"/>
    <w:next w:val="Normal"/>
    <w:autoRedefine/>
    <w:uiPriority w:val="39"/>
    <w:unhideWhenUsed/>
    <w:rsid w:val="00555CEE"/>
    <w:pPr>
      <w:spacing w:after="100" w:line="259" w:lineRule="auto"/>
      <w:ind w:left="440"/>
      <w:jc w:val="left"/>
    </w:pPr>
    <w:rPr>
      <w:rFonts w:asciiTheme="minorHAnsi"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www.nhs.uk/conditions/diabetes/" TargetMode="External"/><Relationship Id="rId26" Type="http://schemas.openxmlformats.org/officeDocument/2006/relationships/hyperlink" Target="https://doi.org/10.1177/2047487319878371" TargetMode="External"/><Relationship Id="rId39" Type="http://schemas.openxmlformats.org/officeDocument/2006/relationships/hyperlink" Target="https://doi.org/10.1001/jamanetworkopen.2020.36676" TargetMode="External"/><Relationship Id="rId21" Type="http://schemas.openxmlformats.org/officeDocument/2006/relationships/hyperlink" Target="https://doi.org/10.1177/2042018820980225" TargetMode="External"/><Relationship Id="rId34" Type="http://schemas.openxmlformats.org/officeDocument/2006/relationships/hyperlink" Target="https://doi.org/10.1002/pdi.2361" TargetMode="External"/><Relationship Id="rId42" Type="http://schemas.openxmlformats.org/officeDocument/2006/relationships/hyperlink" Target="https://doi.org/10.1186/s13098-021-00778-6" TargetMode="External"/><Relationship Id="rId47" Type="http://schemas.openxmlformats.org/officeDocument/2006/relationships/hyperlink" Target="https://www.nhs.uk/conditions/type-2-diabetes/symptoms/" TargetMode="External"/><Relationship Id="rId50" Type="http://schemas.openxmlformats.org/officeDocument/2006/relationships/hyperlink" Target="https://www.nhs.uk/conditions/type-2-diabetes/" TargetMode="External"/><Relationship Id="rId55" Type="http://schemas.openxmlformats.org/officeDocument/2006/relationships/hyperlink" Target="https://doi.org/10.3390/nu14040823"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www.diabetes.org.uk/for-professionals/improving-care/clinical-recommendations-for-professionals/diagnosis-ongoing-management-monitoring/new_diagnostic_criteria_for_diabetes" TargetMode="External"/><Relationship Id="rId11" Type="http://schemas.openxmlformats.org/officeDocument/2006/relationships/footer" Target="footer1.xml"/><Relationship Id="rId24" Type="http://schemas.openxmlformats.org/officeDocument/2006/relationships/hyperlink" Target="https://my.clevelandclinic.org/health/diseases/21501-type-2-diabetes" TargetMode="External"/><Relationship Id="rId32" Type="http://schemas.openxmlformats.org/officeDocument/2006/relationships/hyperlink" Target="https://doi.org/10.1016/j.neuron.2023.05.003" TargetMode="External"/><Relationship Id="rId37" Type="http://schemas.openxmlformats.org/officeDocument/2006/relationships/hyperlink" Target="https://doi.org/10.1002/edm2.283" TargetMode="External"/><Relationship Id="rId40" Type="http://schemas.openxmlformats.org/officeDocument/2006/relationships/hyperlink" Target="https://doi.org/10.4081/jphr.2021.2227" TargetMode="External"/><Relationship Id="rId45" Type="http://schemas.openxmlformats.org/officeDocument/2006/relationships/hyperlink" Target="https://www.mayoclinic.org/tests-procedures/glucose-tolerance-test/about/pac-20394296" TargetMode="External"/><Relationship Id="rId53" Type="http://schemas.openxmlformats.org/officeDocument/2006/relationships/hyperlink" Target="https://www.nhs.uk/tests-and-treatments/diabetic-eye-screening/" TargetMode="External"/><Relationship Id="rId58" Type="http://schemas.openxmlformats.org/officeDocument/2006/relationships/hyperlink" Target="https://doi.org/10.1007/s00125-022-05857-5" TargetMode="External"/><Relationship Id="rId5" Type="http://schemas.openxmlformats.org/officeDocument/2006/relationships/webSettings" Target="webSettings.xml"/><Relationship Id="rId61" Type="http://schemas.openxmlformats.org/officeDocument/2006/relationships/hyperlink" Target="https://doi.org/10.4162/nrp.2021.15.1.54" TargetMode="External"/><Relationship Id="rId19" Type="http://schemas.openxmlformats.org/officeDocument/2006/relationships/hyperlink" Target="http://www.diabetes.org.uk" TargetMode="External"/><Relationship Id="rId14" Type="http://schemas.openxmlformats.org/officeDocument/2006/relationships/diagramQuickStyle" Target="diagrams/quickStyle1.xml"/><Relationship Id="rId22" Type="http://schemas.openxmlformats.org/officeDocument/2006/relationships/hyperlink" Target="https://doi.org/10.1136/bmjdrc-2023-003559" TargetMode="External"/><Relationship Id="rId27" Type="http://schemas.openxmlformats.org/officeDocument/2006/relationships/hyperlink" Target="https://doi.org/10.1016/j.ajpath.2021.05.011" TargetMode="External"/><Relationship Id="rId30" Type="http://schemas.openxmlformats.org/officeDocument/2006/relationships/hyperlink" Target="https://doi.org/10.1038/s41598-024-65005-4" TargetMode="External"/><Relationship Id="rId35" Type="http://schemas.openxmlformats.org/officeDocument/2006/relationships/hyperlink" Target="https://doi.org/10.3390/diagnostics13132158" TargetMode="External"/><Relationship Id="rId43" Type="http://schemas.openxmlformats.org/officeDocument/2006/relationships/hyperlink" Target="https://doi.org/10.1089/tmj.2020.0123" TargetMode="External"/><Relationship Id="rId48" Type="http://schemas.openxmlformats.org/officeDocument/2006/relationships/hyperlink" Target="https://www.england.nhs.uk/blog/the-top-5-diabetes-long-term-highlights/" TargetMode="External"/><Relationship Id="rId56" Type="http://schemas.openxmlformats.org/officeDocument/2006/relationships/hyperlink" Target="https://www.gov.uk/government/publications/health-matters-preventing-type-2-diabetes/health-matters-preventing-type-2-diabetes" TargetMode="External"/><Relationship Id="rId8" Type="http://schemas.openxmlformats.org/officeDocument/2006/relationships/image" Target="media/image1.png"/><Relationship Id="rId51" Type="http://schemas.openxmlformats.org/officeDocument/2006/relationships/hyperlink" Target="https://www.england.nhs.uk/diabetes/diabetes-prevention/"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hyperlink" Target="https://www.nhs.uk/conditions/diabetes/" TargetMode="External"/><Relationship Id="rId25" Type="http://schemas.openxmlformats.org/officeDocument/2006/relationships/hyperlink" Target="https://doi.org/10.1093/cdn/nzac119" TargetMode="External"/><Relationship Id="rId33" Type="http://schemas.openxmlformats.org/officeDocument/2006/relationships/hyperlink" Target="https://doi.org/10.7861/clinmed.2021-0792" TargetMode="External"/><Relationship Id="rId38" Type="http://schemas.openxmlformats.org/officeDocument/2006/relationships/hyperlink" Target="https://doi.org/10.2991/jegh.k.191028.001" TargetMode="External"/><Relationship Id="rId46" Type="http://schemas.openxmlformats.org/officeDocument/2006/relationships/hyperlink" Target="https://doi.org/10.1016/j.xkme.2022.100532" TargetMode="External"/><Relationship Id="rId59" Type="http://schemas.openxmlformats.org/officeDocument/2006/relationships/hyperlink" Target="https://doi.org/10.3390/biom14070836" TargetMode="External"/><Relationship Id="rId20" Type="http://schemas.openxmlformats.org/officeDocument/2006/relationships/hyperlink" Target="https://doi.org/10.62877/23-ijcbs-24-26-20-23" TargetMode="External"/><Relationship Id="rId41" Type="http://schemas.openxmlformats.org/officeDocument/2006/relationships/hyperlink" Target="https://doi.org/10.3390/nu14153201" TargetMode="External"/><Relationship Id="rId54" Type="http://schemas.openxmlformats.org/officeDocument/2006/relationships/hyperlink" Target="https://www.nice.org.uk/guidance/ng28/evidence/c-continuous-glucose-monitoring-in-adults-with-type-2-diabetes-pdf-11013297805"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yperlink" Target="https://www.cdc.gov/diabetes/living-with/healthy-weight.html" TargetMode="External"/><Relationship Id="rId28" Type="http://schemas.openxmlformats.org/officeDocument/2006/relationships/hyperlink" Target="https://www.diabetes.org.uk/about-us/about-the-charity/our-strategy/statistics" TargetMode="External"/><Relationship Id="rId36" Type="http://schemas.openxmlformats.org/officeDocument/2006/relationships/hyperlink" Target="https://doi.org/10.53730/ijhs.v6ns4.10427" TargetMode="External"/><Relationship Id="rId49" Type="http://schemas.openxmlformats.org/officeDocument/2006/relationships/hyperlink" Target="https://www.nhs.uk/live-well/exercise/exercise-health-benefits/" TargetMode="External"/><Relationship Id="rId57" Type="http://schemas.openxmlformats.org/officeDocument/2006/relationships/hyperlink" Target="https://doi.org/10.3390/ijms22126403" TargetMode="External"/><Relationship Id="rId10" Type="http://schemas.openxmlformats.org/officeDocument/2006/relationships/image" Target="media/image3.png"/><Relationship Id="rId31" Type="http://schemas.openxmlformats.org/officeDocument/2006/relationships/hyperlink" Target="https://doi.org/10.1111/dme.14349" TargetMode="External"/><Relationship Id="rId44" Type="http://schemas.openxmlformats.org/officeDocument/2006/relationships/hyperlink" Target="https://doi.org/10.3390/healthcare12141457" TargetMode="External"/><Relationship Id="rId52" Type="http://schemas.openxmlformats.org/officeDocument/2006/relationships/hyperlink" Target="https://www.nhs.uk/tests-and-treatments/nhs-health-check/" TargetMode="External"/><Relationship Id="rId60" Type="http://schemas.openxmlformats.org/officeDocument/2006/relationships/hyperlink" Target="https://www.who.int/teams/maternal-newborn-child-adolescent-health-and-ageing/ageing-and-health/integrated-care-for-older-people-icope" TargetMode="External"/><Relationship Id="rId4" Type="http://schemas.openxmlformats.org/officeDocument/2006/relationships/settings" Target="settings.xml"/><Relationship Id="rId9"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4F2F24-326A-406A-818A-3F82C90F9171}"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IN"/>
        </a:p>
      </dgm:t>
    </dgm:pt>
    <dgm:pt modelId="{E4554D5C-5B71-4DC4-B8B6-8D82C6F5F104}">
      <dgm:prSet phldrT="[Text]" custT="1"/>
      <dgm:spPr/>
      <dgm:t>
        <a:bodyPr/>
        <a:lstStyle/>
        <a:p>
          <a:pPr algn="ctr"/>
          <a:r>
            <a:rPr lang="en-IN" sz="1100">
              <a:latin typeface="Arial" panose="020B0604020202020204" pitchFamily="34" charset="0"/>
              <a:cs typeface="Arial" panose="020B0604020202020204" pitchFamily="34" charset="0"/>
            </a:rPr>
            <a:t>Obesity</a:t>
          </a:r>
        </a:p>
      </dgm:t>
    </dgm:pt>
    <dgm:pt modelId="{55421F9F-B035-4B5D-8365-18F2737C677D}" type="parTrans" cxnId="{E5DCE23D-49C3-487D-BBFD-FFFC6C5DC6F6}">
      <dgm:prSet/>
      <dgm:spPr/>
      <dgm:t>
        <a:bodyPr/>
        <a:lstStyle/>
        <a:p>
          <a:pPr algn="ctr"/>
          <a:endParaRPr lang="en-IN"/>
        </a:p>
      </dgm:t>
    </dgm:pt>
    <dgm:pt modelId="{161F72C0-6ECC-4253-A1AD-82CEB08271C7}" type="sibTrans" cxnId="{E5DCE23D-49C3-487D-BBFD-FFFC6C5DC6F6}">
      <dgm:prSet/>
      <dgm:spPr/>
      <dgm:t>
        <a:bodyPr/>
        <a:lstStyle/>
        <a:p>
          <a:pPr algn="ctr"/>
          <a:endParaRPr lang="en-IN"/>
        </a:p>
      </dgm:t>
    </dgm:pt>
    <dgm:pt modelId="{A969A209-7E13-4FDD-80B7-AA872F0B7F5E}">
      <dgm:prSet phldrT="[Text]" custT="1"/>
      <dgm:spPr/>
      <dgm:t>
        <a:bodyPr/>
        <a:lstStyle/>
        <a:p>
          <a:pPr algn="ctr"/>
          <a:r>
            <a:rPr lang="en-IN" sz="1100">
              <a:latin typeface="Arial" panose="020B0604020202020204" pitchFamily="34" charset="0"/>
              <a:cs typeface="Arial" panose="020B0604020202020204" pitchFamily="34" charset="0"/>
            </a:rPr>
            <a:t>Physical inactivity</a:t>
          </a:r>
        </a:p>
      </dgm:t>
    </dgm:pt>
    <dgm:pt modelId="{89B6F24D-F7E1-4759-9295-4D9CBEA700C4}" type="parTrans" cxnId="{E4F161ED-634A-4DC9-8A0F-37BD3567CBC0}">
      <dgm:prSet/>
      <dgm:spPr/>
      <dgm:t>
        <a:bodyPr/>
        <a:lstStyle/>
        <a:p>
          <a:pPr algn="ctr"/>
          <a:endParaRPr lang="en-IN"/>
        </a:p>
      </dgm:t>
    </dgm:pt>
    <dgm:pt modelId="{EEE41A20-C38F-4F28-BEB0-CD69029A46CE}" type="sibTrans" cxnId="{E4F161ED-634A-4DC9-8A0F-37BD3567CBC0}">
      <dgm:prSet/>
      <dgm:spPr/>
      <dgm:t>
        <a:bodyPr/>
        <a:lstStyle/>
        <a:p>
          <a:pPr algn="ctr"/>
          <a:endParaRPr lang="en-IN"/>
        </a:p>
      </dgm:t>
    </dgm:pt>
    <dgm:pt modelId="{06D77CAA-D006-4CF6-A048-814D7B6E70B9}">
      <dgm:prSet phldrT="[Text]" custT="1"/>
      <dgm:spPr/>
      <dgm:t>
        <a:bodyPr/>
        <a:lstStyle/>
        <a:p>
          <a:pPr algn="ctr"/>
          <a:r>
            <a:rPr lang="en-IN" sz="1100">
              <a:latin typeface="Arial" panose="020B0604020202020204" pitchFamily="34" charset="0"/>
              <a:cs typeface="Arial" panose="020B0604020202020204" pitchFamily="34" charset="0"/>
            </a:rPr>
            <a:t>Age</a:t>
          </a:r>
        </a:p>
      </dgm:t>
    </dgm:pt>
    <dgm:pt modelId="{A9A4A4DC-DA09-4882-9F15-395431FC13CF}" type="parTrans" cxnId="{0DEDC273-2DC7-4835-86F4-0D7B0457425C}">
      <dgm:prSet/>
      <dgm:spPr/>
      <dgm:t>
        <a:bodyPr/>
        <a:lstStyle/>
        <a:p>
          <a:pPr algn="ctr"/>
          <a:endParaRPr lang="en-IN"/>
        </a:p>
      </dgm:t>
    </dgm:pt>
    <dgm:pt modelId="{132DA178-F49E-4722-B762-9C7756478B62}" type="sibTrans" cxnId="{0DEDC273-2DC7-4835-86F4-0D7B0457425C}">
      <dgm:prSet/>
      <dgm:spPr/>
      <dgm:t>
        <a:bodyPr/>
        <a:lstStyle/>
        <a:p>
          <a:pPr algn="ctr"/>
          <a:endParaRPr lang="en-IN"/>
        </a:p>
      </dgm:t>
    </dgm:pt>
    <dgm:pt modelId="{4DE69572-71AD-4E71-83D3-8DEEEF6ABE82}">
      <dgm:prSet phldrT="[Text]" custT="1"/>
      <dgm:spPr/>
      <dgm:t>
        <a:bodyPr/>
        <a:lstStyle/>
        <a:p>
          <a:pPr algn="ctr"/>
          <a:r>
            <a:rPr lang="en-IN" sz="1100">
              <a:latin typeface="Arial" panose="020B0604020202020204" pitchFamily="34" charset="0"/>
              <a:cs typeface="Arial" panose="020B0604020202020204" pitchFamily="34" charset="0"/>
            </a:rPr>
            <a:t>Unhealthy diet</a:t>
          </a:r>
        </a:p>
      </dgm:t>
    </dgm:pt>
    <dgm:pt modelId="{FC478907-FF04-4046-9243-DDB7277E0B96}" type="parTrans" cxnId="{013C03EC-D948-4FF9-845E-A0BA74CE9949}">
      <dgm:prSet/>
      <dgm:spPr/>
      <dgm:t>
        <a:bodyPr/>
        <a:lstStyle/>
        <a:p>
          <a:pPr algn="ctr"/>
          <a:endParaRPr lang="en-IN"/>
        </a:p>
      </dgm:t>
    </dgm:pt>
    <dgm:pt modelId="{4A1A8AD9-270A-4F44-B54C-499EEB63AE3D}" type="sibTrans" cxnId="{013C03EC-D948-4FF9-845E-A0BA74CE9949}">
      <dgm:prSet/>
      <dgm:spPr/>
      <dgm:t>
        <a:bodyPr/>
        <a:lstStyle/>
        <a:p>
          <a:pPr algn="ctr"/>
          <a:endParaRPr lang="en-IN"/>
        </a:p>
      </dgm:t>
    </dgm:pt>
    <dgm:pt modelId="{CD6F34A6-6C6C-4BFB-AAEB-DFC3773ACA33}">
      <dgm:prSet phldrT="[Text]" custT="1"/>
      <dgm:spPr/>
      <dgm:t>
        <a:bodyPr/>
        <a:lstStyle/>
        <a:p>
          <a:pPr algn="ctr"/>
          <a:r>
            <a:rPr lang="en-IN" sz="1100">
              <a:latin typeface="Arial" panose="020B0604020202020204" pitchFamily="34" charset="0"/>
              <a:cs typeface="Arial" panose="020B0604020202020204" pitchFamily="34" charset="0"/>
            </a:rPr>
            <a:t>Genetics</a:t>
          </a:r>
        </a:p>
      </dgm:t>
    </dgm:pt>
    <dgm:pt modelId="{44160E97-F63A-46CB-AB98-9FFE9894A456}" type="parTrans" cxnId="{E962F69A-4634-4155-A104-B88FAE035C37}">
      <dgm:prSet/>
      <dgm:spPr/>
      <dgm:t>
        <a:bodyPr/>
        <a:lstStyle/>
        <a:p>
          <a:pPr algn="ctr"/>
          <a:endParaRPr lang="en-IN"/>
        </a:p>
      </dgm:t>
    </dgm:pt>
    <dgm:pt modelId="{F6574DED-428F-4B17-BF54-363DDF0E7485}" type="sibTrans" cxnId="{E962F69A-4634-4155-A104-B88FAE035C37}">
      <dgm:prSet/>
      <dgm:spPr/>
      <dgm:t>
        <a:bodyPr/>
        <a:lstStyle/>
        <a:p>
          <a:pPr algn="ctr"/>
          <a:endParaRPr lang="en-IN"/>
        </a:p>
      </dgm:t>
    </dgm:pt>
    <dgm:pt modelId="{DA01A0C2-7EA5-43E8-B4AF-81FA16BB1F44}" type="pres">
      <dgm:prSet presAssocID="{034F2F24-326A-406A-818A-3F82C90F9171}" presName="linear" presStyleCnt="0">
        <dgm:presLayoutVars>
          <dgm:dir/>
          <dgm:animLvl val="lvl"/>
          <dgm:resizeHandles val="exact"/>
        </dgm:presLayoutVars>
      </dgm:prSet>
      <dgm:spPr/>
    </dgm:pt>
    <dgm:pt modelId="{2C890289-4305-415C-A08B-5CA8ECF966BA}" type="pres">
      <dgm:prSet presAssocID="{E4554D5C-5B71-4DC4-B8B6-8D82C6F5F104}" presName="parentLin" presStyleCnt="0"/>
      <dgm:spPr/>
    </dgm:pt>
    <dgm:pt modelId="{3878947C-B778-4B70-BD97-3FCB71202E4A}" type="pres">
      <dgm:prSet presAssocID="{E4554D5C-5B71-4DC4-B8B6-8D82C6F5F104}" presName="parentLeftMargin" presStyleLbl="node1" presStyleIdx="0" presStyleCnt="5"/>
      <dgm:spPr/>
    </dgm:pt>
    <dgm:pt modelId="{725A8162-1C70-4559-ACC7-ABA19771D70E}" type="pres">
      <dgm:prSet presAssocID="{E4554D5C-5B71-4DC4-B8B6-8D82C6F5F104}" presName="parentText" presStyleLbl="node1" presStyleIdx="0" presStyleCnt="5">
        <dgm:presLayoutVars>
          <dgm:chMax val="0"/>
          <dgm:bulletEnabled val="1"/>
        </dgm:presLayoutVars>
      </dgm:prSet>
      <dgm:spPr/>
    </dgm:pt>
    <dgm:pt modelId="{D4DC8CFC-AAB4-4842-A9F1-E9F408922D1E}" type="pres">
      <dgm:prSet presAssocID="{E4554D5C-5B71-4DC4-B8B6-8D82C6F5F104}" presName="negativeSpace" presStyleCnt="0"/>
      <dgm:spPr/>
    </dgm:pt>
    <dgm:pt modelId="{F0B7BD66-808C-4619-9F16-1E109F724587}" type="pres">
      <dgm:prSet presAssocID="{E4554D5C-5B71-4DC4-B8B6-8D82C6F5F104}" presName="childText" presStyleLbl="conFgAcc1" presStyleIdx="0" presStyleCnt="5">
        <dgm:presLayoutVars>
          <dgm:bulletEnabled val="1"/>
        </dgm:presLayoutVars>
      </dgm:prSet>
      <dgm:spPr/>
    </dgm:pt>
    <dgm:pt modelId="{88EC067B-6EDF-4B20-A3B3-BD561EA63D8E}" type="pres">
      <dgm:prSet presAssocID="{161F72C0-6ECC-4253-A1AD-82CEB08271C7}" presName="spaceBetweenRectangles" presStyleCnt="0"/>
      <dgm:spPr/>
    </dgm:pt>
    <dgm:pt modelId="{78EE28FC-FA3E-4F26-9EC0-3E08EDFCB210}" type="pres">
      <dgm:prSet presAssocID="{A969A209-7E13-4FDD-80B7-AA872F0B7F5E}" presName="parentLin" presStyleCnt="0"/>
      <dgm:spPr/>
    </dgm:pt>
    <dgm:pt modelId="{E79D0713-8875-4453-9CD5-6A7B1B8D84F2}" type="pres">
      <dgm:prSet presAssocID="{A969A209-7E13-4FDD-80B7-AA872F0B7F5E}" presName="parentLeftMargin" presStyleLbl="node1" presStyleIdx="0" presStyleCnt="5"/>
      <dgm:spPr/>
    </dgm:pt>
    <dgm:pt modelId="{17307244-E05D-4B20-B8FB-F855043FBD87}" type="pres">
      <dgm:prSet presAssocID="{A969A209-7E13-4FDD-80B7-AA872F0B7F5E}" presName="parentText" presStyleLbl="node1" presStyleIdx="1" presStyleCnt="5">
        <dgm:presLayoutVars>
          <dgm:chMax val="0"/>
          <dgm:bulletEnabled val="1"/>
        </dgm:presLayoutVars>
      </dgm:prSet>
      <dgm:spPr/>
    </dgm:pt>
    <dgm:pt modelId="{53B6F0CB-0E3B-4FED-93A0-5456BA6F7ABD}" type="pres">
      <dgm:prSet presAssocID="{A969A209-7E13-4FDD-80B7-AA872F0B7F5E}" presName="negativeSpace" presStyleCnt="0"/>
      <dgm:spPr/>
    </dgm:pt>
    <dgm:pt modelId="{B65C3D4B-DF35-49D5-B3E7-C8DF79D2A30A}" type="pres">
      <dgm:prSet presAssocID="{A969A209-7E13-4FDD-80B7-AA872F0B7F5E}" presName="childText" presStyleLbl="conFgAcc1" presStyleIdx="1" presStyleCnt="5">
        <dgm:presLayoutVars>
          <dgm:bulletEnabled val="1"/>
        </dgm:presLayoutVars>
      </dgm:prSet>
      <dgm:spPr/>
    </dgm:pt>
    <dgm:pt modelId="{776153F0-4777-4B15-B1F2-E093B5706946}" type="pres">
      <dgm:prSet presAssocID="{EEE41A20-C38F-4F28-BEB0-CD69029A46CE}" presName="spaceBetweenRectangles" presStyleCnt="0"/>
      <dgm:spPr/>
    </dgm:pt>
    <dgm:pt modelId="{746BC7D8-F500-4BBF-8C8B-42EC50F35AFE}" type="pres">
      <dgm:prSet presAssocID="{06D77CAA-D006-4CF6-A048-814D7B6E70B9}" presName="parentLin" presStyleCnt="0"/>
      <dgm:spPr/>
    </dgm:pt>
    <dgm:pt modelId="{C313B306-C2C6-43A6-BCF8-B65C179140EB}" type="pres">
      <dgm:prSet presAssocID="{06D77CAA-D006-4CF6-A048-814D7B6E70B9}" presName="parentLeftMargin" presStyleLbl="node1" presStyleIdx="1" presStyleCnt="5"/>
      <dgm:spPr/>
    </dgm:pt>
    <dgm:pt modelId="{F496B50A-1937-41D7-9589-6FC1F024933F}" type="pres">
      <dgm:prSet presAssocID="{06D77CAA-D006-4CF6-A048-814D7B6E70B9}" presName="parentText" presStyleLbl="node1" presStyleIdx="2" presStyleCnt="5">
        <dgm:presLayoutVars>
          <dgm:chMax val="0"/>
          <dgm:bulletEnabled val="1"/>
        </dgm:presLayoutVars>
      </dgm:prSet>
      <dgm:spPr/>
    </dgm:pt>
    <dgm:pt modelId="{4E19BD6C-724E-4C83-80F2-0ACD467E4631}" type="pres">
      <dgm:prSet presAssocID="{06D77CAA-D006-4CF6-A048-814D7B6E70B9}" presName="negativeSpace" presStyleCnt="0"/>
      <dgm:spPr/>
    </dgm:pt>
    <dgm:pt modelId="{D716BF67-F876-4927-B9B4-607770313225}" type="pres">
      <dgm:prSet presAssocID="{06D77CAA-D006-4CF6-A048-814D7B6E70B9}" presName="childText" presStyleLbl="conFgAcc1" presStyleIdx="2" presStyleCnt="5">
        <dgm:presLayoutVars>
          <dgm:bulletEnabled val="1"/>
        </dgm:presLayoutVars>
      </dgm:prSet>
      <dgm:spPr/>
    </dgm:pt>
    <dgm:pt modelId="{6F211B7D-FC1B-491D-84F8-4FD3120295FF}" type="pres">
      <dgm:prSet presAssocID="{132DA178-F49E-4722-B762-9C7756478B62}" presName="spaceBetweenRectangles" presStyleCnt="0"/>
      <dgm:spPr/>
    </dgm:pt>
    <dgm:pt modelId="{DB436A45-BA2D-4D49-A783-525D63BA9AA3}" type="pres">
      <dgm:prSet presAssocID="{4DE69572-71AD-4E71-83D3-8DEEEF6ABE82}" presName="parentLin" presStyleCnt="0"/>
      <dgm:spPr/>
    </dgm:pt>
    <dgm:pt modelId="{3AE843ED-60E1-434A-A60F-934AD3DB6DC8}" type="pres">
      <dgm:prSet presAssocID="{4DE69572-71AD-4E71-83D3-8DEEEF6ABE82}" presName="parentLeftMargin" presStyleLbl="node1" presStyleIdx="2" presStyleCnt="5"/>
      <dgm:spPr/>
    </dgm:pt>
    <dgm:pt modelId="{28CC14DD-2988-46E3-86C0-D83283FF7F92}" type="pres">
      <dgm:prSet presAssocID="{4DE69572-71AD-4E71-83D3-8DEEEF6ABE82}" presName="parentText" presStyleLbl="node1" presStyleIdx="3" presStyleCnt="5">
        <dgm:presLayoutVars>
          <dgm:chMax val="0"/>
          <dgm:bulletEnabled val="1"/>
        </dgm:presLayoutVars>
      </dgm:prSet>
      <dgm:spPr/>
    </dgm:pt>
    <dgm:pt modelId="{DE261E88-23E7-418F-AD57-2E9C56E80C48}" type="pres">
      <dgm:prSet presAssocID="{4DE69572-71AD-4E71-83D3-8DEEEF6ABE82}" presName="negativeSpace" presStyleCnt="0"/>
      <dgm:spPr/>
    </dgm:pt>
    <dgm:pt modelId="{9D9929D1-6581-4040-88F9-161EE67268B1}" type="pres">
      <dgm:prSet presAssocID="{4DE69572-71AD-4E71-83D3-8DEEEF6ABE82}" presName="childText" presStyleLbl="conFgAcc1" presStyleIdx="3" presStyleCnt="5">
        <dgm:presLayoutVars>
          <dgm:bulletEnabled val="1"/>
        </dgm:presLayoutVars>
      </dgm:prSet>
      <dgm:spPr/>
    </dgm:pt>
    <dgm:pt modelId="{CECC801C-77FB-4D9F-BD29-CFC38FC0C6E1}" type="pres">
      <dgm:prSet presAssocID="{4A1A8AD9-270A-4F44-B54C-499EEB63AE3D}" presName="spaceBetweenRectangles" presStyleCnt="0"/>
      <dgm:spPr/>
    </dgm:pt>
    <dgm:pt modelId="{BA0E60D8-3EB8-4828-9B39-DB81A4B50A87}" type="pres">
      <dgm:prSet presAssocID="{CD6F34A6-6C6C-4BFB-AAEB-DFC3773ACA33}" presName="parentLin" presStyleCnt="0"/>
      <dgm:spPr/>
    </dgm:pt>
    <dgm:pt modelId="{CA707951-F718-41C9-9292-7D3CDD1A16B0}" type="pres">
      <dgm:prSet presAssocID="{CD6F34A6-6C6C-4BFB-AAEB-DFC3773ACA33}" presName="parentLeftMargin" presStyleLbl="node1" presStyleIdx="3" presStyleCnt="5"/>
      <dgm:spPr/>
    </dgm:pt>
    <dgm:pt modelId="{0281508D-BC72-4632-B16B-BDFF1C6D1262}" type="pres">
      <dgm:prSet presAssocID="{CD6F34A6-6C6C-4BFB-AAEB-DFC3773ACA33}" presName="parentText" presStyleLbl="node1" presStyleIdx="4" presStyleCnt="5">
        <dgm:presLayoutVars>
          <dgm:chMax val="0"/>
          <dgm:bulletEnabled val="1"/>
        </dgm:presLayoutVars>
      </dgm:prSet>
      <dgm:spPr/>
    </dgm:pt>
    <dgm:pt modelId="{ED5D8730-BC00-458E-AF5B-1E6FB79C85F9}" type="pres">
      <dgm:prSet presAssocID="{CD6F34A6-6C6C-4BFB-AAEB-DFC3773ACA33}" presName="negativeSpace" presStyleCnt="0"/>
      <dgm:spPr/>
    </dgm:pt>
    <dgm:pt modelId="{10EA3DEA-A582-49E3-9437-7BFEDE4B4E22}" type="pres">
      <dgm:prSet presAssocID="{CD6F34A6-6C6C-4BFB-AAEB-DFC3773ACA33}" presName="childText" presStyleLbl="conFgAcc1" presStyleIdx="4" presStyleCnt="5">
        <dgm:presLayoutVars>
          <dgm:bulletEnabled val="1"/>
        </dgm:presLayoutVars>
      </dgm:prSet>
      <dgm:spPr/>
    </dgm:pt>
  </dgm:ptLst>
  <dgm:cxnLst>
    <dgm:cxn modelId="{4272410F-1C22-4D46-BA43-8011EE42A358}" type="presOf" srcId="{4DE69572-71AD-4E71-83D3-8DEEEF6ABE82}" destId="{3AE843ED-60E1-434A-A60F-934AD3DB6DC8}" srcOrd="0" destOrd="0" presId="urn:microsoft.com/office/officeart/2005/8/layout/list1"/>
    <dgm:cxn modelId="{E5DCE23D-49C3-487D-BBFD-FFFC6C5DC6F6}" srcId="{034F2F24-326A-406A-818A-3F82C90F9171}" destId="{E4554D5C-5B71-4DC4-B8B6-8D82C6F5F104}" srcOrd="0" destOrd="0" parTransId="{55421F9F-B035-4B5D-8365-18F2737C677D}" sibTransId="{161F72C0-6ECC-4253-A1AD-82CEB08271C7}"/>
    <dgm:cxn modelId="{E1B8204E-5A09-464F-A962-95B2AE0AE9CB}" type="presOf" srcId="{A969A209-7E13-4FDD-80B7-AA872F0B7F5E}" destId="{17307244-E05D-4B20-B8FB-F855043FBD87}" srcOrd="1" destOrd="0" presId="urn:microsoft.com/office/officeart/2005/8/layout/list1"/>
    <dgm:cxn modelId="{0DEDC273-2DC7-4835-86F4-0D7B0457425C}" srcId="{034F2F24-326A-406A-818A-3F82C90F9171}" destId="{06D77CAA-D006-4CF6-A048-814D7B6E70B9}" srcOrd="2" destOrd="0" parTransId="{A9A4A4DC-DA09-4882-9F15-395431FC13CF}" sibTransId="{132DA178-F49E-4722-B762-9C7756478B62}"/>
    <dgm:cxn modelId="{B7AE3D77-5C39-4702-988D-0FB4A2BD44F0}" type="presOf" srcId="{CD6F34A6-6C6C-4BFB-AAEB-DFC3773ACA33}" destId="{CA707951-F718-41C9-9292-7D3CDD1A16B0}" srcOrd="0" destOrd="0" presId="urn:microsoft.com/office/officeart/2005/8/layout/list1"/>
    <dgm:cxn modelId="{EFAE6A80-66DB-49B5-8B2A-6690EA0CB83D}" type="presOf" srcId="{CD6F34A6-6C6C-4BFB-AAEB-DFC3773ACA33}" destId="{0281508D-BC72-4632-B16B-BDFF1C6D1262}" srcOrd="1" destOrd="0" presId="urn:microsoft.com/office/officeart/2005/8/layout/list1"/>
    <dgm:cxn modelId="{FB8B8591-1998-4992-9A7E-AA99E4AC47D1}" type="presOf" srcId="{A969A209-7E13-4FDD-80B7-AA872F0B7F5E}" destId="{E79D0713-8875-4453-9CD5-6A7B1B8D84F2}" srcOrd="0" destOrd="0" presId="urn:microsoft.com/office/officeart/2005/8/layout/list1"/>
    <dgm:cxn modelId="{E962F69A-4634-4155-A104-B88FAE035C37}" srcId="{034F2F24-326A-406A-818A-3F82C90F9171}" destId="{CD6F34A6-6C6C-4BFB-AAEB-DFC3773ACA33}" srcOrd="4" destOrd="0" parTransId="{44160E97-F63A-46CB-AB98-9FFE9894A456}" sibTransId="{F6574DED-428F-4B17-BF54-363DDF0E7485}"/>
    <dgm:cxn modelId="{B23272AB-7E46-47AB-B785-5E16C43B2F13}" type="presOf" srcId="{4DE69572-71AD-4E71-83D3-8DEEEF6ABE82}" destId="{28CC14DD-2988-46E3-86C0-D83283FF7F92}" srcOrd="1" destOrd="0" presId="urn:microsoft.com/office/officeart/2005/8/layout/list1"/>
    <dgm:cxn modelId="{C022A8B1-C0E1-4E2B-A7A2-8596C7649233}" type="presOf" srcId="{E4554D5C-5B71-4DC4-B8B6-8D82C6F5F104}" destId="{725A8162-1C70-4559-ACC7-ABA19771D70E}" srcOrd="1" destOrd="0" presId="urn:microsoft.com/office/officeart/2005/8/layout/list1"/>
    <dgm:cxn modelId="{BF4752BA-AAF0-4750-8BF7-F4B019FA80B3}" type="presOf" srcId="{06D77CAA-D006-4CF6-A048-814D7B6E70B9}" destId="{C313B306-C2C6-43A6-BCF8-B65C179140EB}" srcOrd="0" destOrd="0" presId="urn:microsoft.com/office/officeart/2005/8/layout/list1"/>
    <dgm:cxn modelId="{1CEDEACB-9CA1-4B32-AD73-E29D711C1643}" type="presOf" srcId="{06D77CAA-D006-4CF6-A048-814D7B6E70B9}" destId="{F496B50A-1937-41D7-9589-6FC1F024933F}" srcOrd="1" destOrd="0" presId="urn:microsoft.com/office/officeart/2005/8/layout/list1"/>
    <dgm:cxn modelId="{B0FF9CDC-E94A-4173-B054-A913A0B1E38F}" type="presOf" srcId="{034F2F24-326A-406A-818A-3F82C90F9171}" destId="{DA01A0C2-7EA5-43E8-B4AF-81FA16BB1F44}" srcOrd="0" destOrd="0" presId="urn:microsoft.com/office/officeart/2005/8/layout/list1"/>
    <dgm:cxn modelId="{2D4376E2-6071-4095-87E6-66E4F0E6BA1B}" type="presOf" srcId="{E4554D5C-5B71-4DC4-B8B6-8D82C6F5F104}" destId="{3878947C-B778-4B70-BD97-3FCB71202E4A}" srcOrd="0" destOrd="0" presId="urn:microsoft.com/office/officeart/2005/8/layout/list1"/>
    <dgm:cxn modelId="{013C03EC-D948-4FF9-845E-A0BA74CE9949}" srcId="{034F2F24-326A-406A-818A-3F82C90F9171}" destId="{4DE69572-71AD-4E71-83D3-8DEEEF6ABE82}" srcOrd="3" destOrd="0" parTransId="{FC478907-FF04-4046-9243-DDB7277E0B96}" sibTransId="{4A1A8AD9-270A-4F44-B54C-499EEB63AE3D}"/>
    <dgm:cxn modelId="{E4F161ED-634A-4DC9-8A0F-37BD3567CBC0}" srcId="{034F2F24-326A-406A-818A-3F82C90F9171}" destId="{A969A209-7E13-4FDD-80B7-AA872F0B7F5E}" srcOrd="1" destOrd="0" parTransId="{89B6F24D-F7E1-4759-9295-4D9CBEA700C4}" sibTransId="{EEE41A20-C38F-4F28-BEB0-CD69029A46CE}"/>
    <dgm:cxn modelId="{C9D5B9C4-9A1B-4C2F-876A-829E7C064879}" type="presParOf" srcId="{DA01A0C2-7EA5-43E8-B4AF-81FA16BB1F44}" destId="{2C890289-4305-415C-A08B-5CA8ECF966BA}" srcOrd="0" destOrd="0" presId="urn:microsoft.com/office/officeart/2005/8/layout/list1"/>
    <dgm:cxn modelId="{43C6E6DB-B108-4B81-8634-18E47813BA7F}" type="presParOf" srcId="{2C890289-4305-415C-A08B-5CA8ECF966BA}" destId="{3878947C-B778-4B70-BD97-3FCB71202E4A}" srcOrd="0" destOrd="0" presId="urn:microsoft.com/office/officeart/2005/8/layout/list1"/>
    <dgm:cxn modelId="{46FBEA60-BA44-4840-AA65-15DAA334FD51}" type="presParOf" srcId="{2C890289-4305-415C-A08B-5CA8ECF966BA}" destId="{725A8162-1C70-4559-ACC7-ABA19771D70E}" srcOrd="1" destOrd="0" presId="urn:microsoft.com/office/officeart/2005/8/layout/list1"/>
    <dgm:cxn modelId="{D9427402-D733-45B6-8E94-1B36B8CB1AB6}" type="presParOf" srcId="{DA01A0C2-7EA5-43E8-B4AF-81FA16BB1F44}" destId="{D4DC8CFC-AAB4-4842-A9F1-E9F408922D1E}" srcOrd="1" destOrd="0" presId="urn:microsoft.com/office/officeart/2005/8/layout/list1"/>
    <dgm:cxn modelId="{153A5D39-34BD-4F95-8EF5-7187D0A6823D}" type="presParOf" srcId="{DA01A0C2-7EA5-43E8-B4AF-81FA16BB1F44}" destId="{F0B7BD66-808C-4619-9F16-1E109F724587}" srcOrd="2" destOrd="0" presId="urn:microsoft.com/office/officeart/2005/8/layout/list1"/>
    <dgm:cxn modelId="{05B3A44D-4C43-4ABE-A0F5-E24B13938168}" type="presParOf" srcId="{DA01A0C2-7EA5-43E8-B4AF-81FA16BB1F44}" destId="{88EC067B-6EDF-4B20-A3B3-BD561EA63D8E}" srcOrd="3" destOrd="0" presId="urn:microsoft.com/office/officeart/2005/8/layout/list1"/>
    <dgm:cxn modelId="{AF2F0945-6DA3-4446-9E26-76924FFA00ED}" type="presParOf" srcId="{DA01A0C2-7EA5-43E8-B4AF-81FA16BB1F44}" destId="{78EE28FC-FA3E-4F26-9EC0-3E08EDFCB210}" srcOrd="4" destOrd="0" presId="urn:microsoft.com/office/officeart/2005/8/layout/list1"/>
    <dgm:cxn modelId="{EF857512-8498-410E-9B43-C9896BBB2BE8}" type="presParOf" srcId="{78EE28FC-FA3E-4F26-9EC0-3E08EDFCB210}" destId="{E79D0713-8875-4453-9CD5-6A7B1B8D84F2}" srcOrd="0" destOrd="0" presId="urn:microsoft.com/office/officeart/2005/8/layout/list1"/>
    <dgm:cxn modelId="{27EAA12F-C4A4-48B0-A08B-73EBB5A7ED3C}" type="presParOf" srcId="{78EE28FC-FA3E-4F26-9EC0-3E08EDFCB210}" destId="{17307244-E05D-4B20-B8FB-F855043FBD87}" srcOrd="1" destOrd="0" presId="urn:microsoft.com/office/officeart/2005/8/layout/list1"/>
    <dgm:cxn modelId="{9834B1FC-498A-4A3A-8ED6-15376870E492}" type="presParOf" srcId="{DA01A0C2-7EA5-43E8-B4AF-81FA16BB1F44}" destId="{53B6F0CB-0E3B-4FED-93A0-5456BA6F7ABD}" srcOrd="5" destOrd="0" presId="urn:microsoft.com/office/officeart/2005/8/layout/list1"/>
    <dgm:cxn modelId="{6A0EA135-662F-46C7-A0B8-9F1E0155B981}" type="presParOf" srcId="{DA01A0C2-7EA5-43E8-B4AF-81FA16BB1F44}" destId="{B65C3D4B-DF35-49D5-B3E7-C8DF79D2A30A}" srcOrd="6" destOrd="0" presId="urn:microsoft.com/office/officeart/2005/8/layout/list1"/>
    <dgm:cxn modelId="{A5F76D18-88B1-4513-AC98-EFA4545BA16C}" type="presParOf" srcId="{DA01A0C2-7EA5-43E8-B4AF-81FA16BB1F44}" destId="{776153F0-4777-4B15-B1F2-E093B5706946}" srcOrd="7" destOrd="0" presId="urn:microsoft.com/office/officeart/2005/8/layout/list1"/>
    <dgm:cxn modelId="{16824800-9762-414E-A017-63AC60DEE422}" type="presParOf" srcId="{DA01A0C2-7EA5-43E8-B4AF-81FA16BB1F44}" destId="{746BC7D8-F500-4BBF-8C8B-42EC50F35AFE}" srcOrd="8" destOrd="0" presId="urn:microsoft.com/office/officeart/2005/8/layout/list1"/>
    <dgm:cxn modelId="{D7EAACB0-4455-4A87-A2D6-DFFAA77866FA}" type="presParOf" srcId="{746BC7D8-F500-4BBF-8C8B-42EC50F35AFE}" destId="{C313B306-C2C6-43A6-BCF8-B65C179140EB}" srcOrd="0" destOrd="0" presId="urn:microsoft.com/office/officeart/2005/8/layout/list1"/>
    <dgm:cxn modelId="{C37A7599-3989-4CF7-AC56-B3DD473F3D21}" type="presParOf" srcId="{746BC7D8-F500-4BBF-8C8B-42EC50F35AFE}" destId="{F496B50A-1937-41D7-9589-6FC1F024933F}" srcOrd="1" destOrd="0" presId="urn:microsoft.com/office/officeart/2005/8/layout/list1"/>
    <dgm:cxn modelId="{C6283E33-7A58-4AB5-A458-969CA16D5D7B}" type="presParOf" srcId="{DA01A0C2-7EA5-43E8-B4AF-81FA16BB1F44}" destId="{4E19BD6C-724E-4C83-80F2-0ACD467E4631}" srcOrd="9" destOrd="0" presId="urn:microsoft.com/office/officeart/2005/8/layout/list1"/>
    <dgm:cxn modelId="{7AE45EB7-D6F2-4F73-BCF1-188DF3C41A16}" type="presParOf" srcId="{DA01A0C2-7EA5-43E8-B4AF-81FA16BB1F44}" destId="{D716BF67-F876-4927-B9B4-607770313225}" srcOrd="10" destOrd="0" presId="urn:microsoft.com/office/officeart/2005/8/layout/list1"/>
    <dgm:cxn modelId="{6C0BCF5D-B973-47C4-BA21-E23A2D4D1221}" type="presParOf" srcId="{DA01A0C2-7EA5-43E8-B4AF-81FA16BB1F44}" destId="{6F211B7D-FC1B-491D-84F8-4FD3120295FF}" srcOrd="11" destOrd="0" presId="urn:microsoft.com/office/officeart/2005/8/layout/list1"/>
    <dgm:cxn modelId="{E96C6C4B-1430-4438-B010-B483AB0EE279}" type="presParOf" srcId="{DA01A0C2-7EA5-43E8-B4AF-81FA16BB1F44}" destId="{DB436A45-BA2D-4D49-A783-525D63BA9AA3}" srcOrd="12" destOrd="0" presId="urn:microsoft.com/office/officeart/2005/8/layout/list1"/>
    <dgm:cxn modelId="{CE7CECB9-C706-4BC1-9242-1C14DC7E2873}" type="presParOf" srcId="{DB436A45-BA2D-4D49-A783-525D63BA9AA3}" destId="{3AE843ED-60E1-434A-A60F-934AD3DB6DC8}" srcOrd="0" destOrd="0" presId="urn:microsoft.com/office/officeart/2005/8/layout/list1"/>
    <dgm:cxn modelId="{51C0C2DE-6C8F-406F-A734-5C7C92667B28}" type="presParOf" srcId="{DB436A45-BA2D-4D49-A783-525D63BA9AA3}" destId="{28CC14DD-2988-46E3-86C0-D83283FF7F92}" srcOrd="1" destOrd="0" presId="urn:microsoft.com/office/officeart/2005/8/layout/list1"/>
    <dgm:cxn modelId="{08238D01-05CD-4B37-B003-C2E2CD892FE2}" type="presParOf" srcId="{DA01A0C2-7EA5-43E8-B4AF-81FA16BB1F44}" destId="{DE261E88-23E7-418F-AD57-2E9C56E80C48}" srcOrd="13" destOrd="0" presId="urn:microsoft.com/office/officeart/2005/8/layout/list1"/>
    <dgm:cxn modelId="{695AD584-A3AC-4CB0-ABB7-87C7AA462FE7}" type="presParOf" srcId="{DA01A0C2-7EA5-43E8-B4AF-81FA16BB1F44}" destId="{9D9929D1-6581-4040-88F9-161EE67268B1}" srcOrd="14" destOrd="0" presId="urn:microsoft.com/office/officeart/2005/8/layout/list1"/>
    <dgm:cxn modelId="{CE48E2E6-489F-4589-90F1-BCF522D17584}" type="presParOf" srcId="{DA01A0C2-7EA5-43E8-B4AF-81FA16BB1F44}" destId="{CECC801C-77FB-4D9F-BD29-CFC38FC0C6E1}" srcOrd="15" destOrd="0" presId="urn:microsoft.com/office/officeart/2005/8/layout/list1"/>
    <dgm:cxn modelId="{3DABFED3-739F-471A-BA64-9C5E14BC7CC5}" type="presParOf" srcId="{DA01A0C2-7EA5-43E8-B4AF-81FA16BB1F44}" destId="{BA0E60D8-3EB8-4828-9B39-DB81A4B50A87}" srcOrd="16" destOrd="0" presId="urn:microsoft.com/office/officeart/2005/8/layout/list1"/>
    <dgm:cxn modelId="{E770B0E0-AC5F-4CD7-9F99-EE09455ECEB1}" type="presParOf" srcId="{BA0E60D8-3EB8-4828-9B39-DB81A4B50A87}" destId="{CA707951-F718-41C9-9292-7D3CDD1A16B0}" srcOrd="0" destOrd="0" presId="urn:microsoft.com/office/officeart/2005/8/layout/list1"/>
    <dgm:cxn modelId="{A275AB8B-DBE6-4FEF-ABEC-FE32C3CDA6E0}" type="presParOf" srcId="{BA0E60D8-3EB8-4828-9B39-DB81A4B50A87}" destId="{0281508D-BC72-4632-B16B-BDFF1C6D1262}" srcOrd="1" destOrd="0" presId="urn:microsoft.com/office/officeart/2005/8/layout/list1"/>
    <dgm:cxn modelId="{E76E21F1-C6F4-4BF1-AB84-284E35356D44}" type="presParOf" srcId="{DA01A0C2-7EA5-43E8-B4AF-81FA16BB1F44}" destId="{ED5D8730-BC00-458E-AF5B-1E6FB79C85F9}" srcOrd="17" destOrd="0" presId="urn:microsoft.com/office/officeart/2005/8/layout/list1"/>
    <dgm:cxn modelId="{665DF2A0-0B01-453D-8BB4-ED87CE80AC25}" type="presParOf" srcId="{DA01A0C2-7EA5-43E8-B4AF-81FA16BB1F44}" destId="{10EA3DEA-A582-49E3-9437-7BFEDE4B4E22}" srcOrd="18"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B7BD66-808C-4619-9F16-1E109F724587}">
      <dsp:nvSpPr>
        <dsp:cNvPr id="0" name=""/>
        <dsp:cNvSpPr/>
      </dsp:nvSpPr>
      <dsp:spPr>
        <a:xfrm>
          <a:off x="0" y="227247"/>
          <a:ext cx="4814454" cy="3024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25A8162-1C70-4559-ACC7-ABA19771D70E}">
      <dsp:nvSpPr>
        <dsp:cNvPr id="0" name=""/>
        <dsp:cNvSpPr/>
      </dsp:nvSpPr>
      <dsp:spPr>
        <a:xfrm>
          <a:off x="240722" y="50127"/>
          <a:ext cx="3370117" cy="3542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382" tIns="0" rIns="127382" bIns="0"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Obesity</a:t>
          </a:r>
        </a:p>
      </dsp:txBody>
      <dsp:txXfrm>
        <a:off x="258015" y="67420"/>
        <a:ext cx="3335531" cy="319654"/>
      </dsp:txXfrm>
    </dsp:sp>
    <dsp:sp modelId="{B65C3D4B-DF35-49D5-B3E7-C8DF79D2A30A}">
      <dsp:nvSpPr>
        <dsp:cNvPr id="0" name=""/>
        <dsp:cNvSpPr/>
      </dsp:nvSpPr>
      <dsp:spPr>
        <a:xfrm>
          <a:off x="0" y="771567"/>
          <a:ext cx="4814454" cy="302400"/>
        </a:xfrm>
        <a:prstGeom prst="rect">
          <a:avLst/>
        </a:prstGeom>
        <a:solidFill>
          <a:schemeClr val="lt1">
            <a:alpha val="90000"/>
            <a:hueOff val="0"/>
            <a:satOff val="0"/>
            <a:lumOff val="0"/>
            <a:alphaOff val="0"/>
          </a:schemeClr>
        </a:solidFill>
        <a:ln w="12700" cap="flat" cmpd="sng" algn="ctr">
          <a:solidFill>
            <a:schemeClr val="accent2">
              <a:hueOff val="-363841"/>
              <a:satOff val="-20982"/>
              <a:lumOff val="2157"/>
              <a:alphaOff val="0"/>
            </a:schemeClr>
          </a:solidFill>
          <a:prstDash val="solid"/>
          <a:miter lim="800000"/>
        </a:ln>
        <a:effectLst/>
      </dsp:spPr>
      <dsp:style>
        <a:lnRef idx="2">
          <a:scrgbClr r="0" g="0" b="0"/>
        </a:lnRef>
        <a:fillRef idx="1">
          <a:scrgbClr r="0" g="0" b="0"/>
        </a:fillRef>
        <a:effectRef idx="0">
          <a:scrgbClr r="0" g="0" b="0"/>
        </a:effectRef>
        <a:fontRef idx="minor"/>
      </dsp:style>
    </dsp:sp>
    <dsp:sp modelId="{17307244-E05D-4B20-B8FB-F855043FBD87}">
      <dsp:nvSpPr>
        <dsp:cNvPr id="0" name=""/>
        <dsp:cNvSpPr/>
      </dsp:nvSpPr>
      <dsp:spPr>
        <a:xfrm>
          <a:off x="240722" y="594447"/>
          <a:ext cx="3370117" cy="354240"/>
        </a:xfrm>
        <a:prstGeom prst="roundRect">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382" tIns="0" rIns="127382" bIns="0"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Physical inactivity</a:t>
          </a:r>
        </a:p>
      </dsp:txBody>
      <dsp:txXfrm>
        <a:off x="258015" y="611740"/>
        <a:ext cx="3335531" cy="319654"/>
      </dsp:txXfrm>
    </dsp:sp>
    <dsp:sp modelId="{D716BF67-F876-4927-B9B4-607770313225}">
      <dsp:nvSpPr>
        <dsp:cNvPr id="0" name=""/>
        <dsp:cNvSpPr/>
      </dsp:nvSpPr>
      <dsp:spPr>
        <a:xfrm>
          <a:off x="0" y="1315887"/>
          <a:ext cx="4814454" cy="302400"/>
        </a:xfrm>
        <a:prstGeom prst="rect">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F496B50A-1937-41D7-9589-6FC1F024933F}">
      <dsp:nvSpPr>
        <dsp:cNvPr id="0" name=""/>
        <dsp:cNvSpPr/>
      </dsp:nvSpPr>
      <dsp:spPr>
        <a:xfrm>
          <a:off x="240722" y="1138767"/>
          <a:ext cx="3370117" cy="354240"/>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382" tIns="0" rIns="127382" bIns="0"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Age</a:t>
          </a:r>
        </a:p>
      </dsp:txBody>
      <dsp:txXfrm>
        <a:off x="258015" y="1156060"/>
        <a:ext cx="3335531" cy="319654"/>
      </dsp:txXfrm>
    </dsp:sp>
    <dsp:sp modelId="{9D9929D1-6581-4040-88F9-161EE67268B1}">
      <dsp:nvSpPr>
        <dsp:cNvPr id="0" name=""/>
        <dsp:cNvSpPr/>
      </dsp:nvSpPr>
      <dsp:spPr>
        <a:xfrm>
          <a:off x="0" y="1860207"/>
          <a:ext cx="4814454" cy="302400"/>
        </a:xfrm>
        <a:prstGeom prst="rect">
          <a:avLst/>
        </a:prstGeom>
        <a:solidFill>
          <a:schemeClr val="lt1">
            <a:alpha val="90000"/>
            <a:hueOff val="0"/>
            <a:satOff val="0"/>
            <a:lumOff val="0"/>
            <a:alphaOff val="0"/>
          </a:schemeClr>
        </a:solidFill>
        <a:ln w="12700" cap="flat" cmpd="sng" algn="ctr">
          <a:solidFill>
            <a:schemeClr val="accent2">
              <a:hueOff val="-1091522"/>
              <a:satOff val="-62946"/>
              <a:lumOff val="6471"/>
              <a:alphaOff val="0"/>
            </a:schemeClr>
          </a:solidFill>
          <a:prstDash val="solid"/>
          <a:miter lim="800000"/>
        </a:ln>
        <a:effectLst/>
      </dsp:spPr>
      <dsp:style>
        <a:lnRef idx="2">
          <a:scrgbClr r="0" g="0" b="0"/>
        </a:lnRef>
        <a:fillRef idx="1">
          <a:scrgbClr r="0" g="0" b="0"/>
        </a:fillRef>
        <a:effectRef idx="0">
          <a:scrgbClr r="0" g="0" b="0"/>
        </a:effectRef>
        <a:fontRef idx="minor"/>
      </dsp:style>
    </dsp:sp>
    <dsp:sp modelId="{28CC14DD-2988-46E3-86C0-D83283FF7F92}">
      <dsp:nvSpPr>
        <dsp:cNvPr id="0" name=""/>
        <dsp:cNvSpPr/>
      </dsp:nvSpPr>
      <dsp:spPr>
        <a:xfrm>
          <a:off x="240722" y="1683087"/>
          <a:ext cx="3370117" cy="354240"/>
        </a:xfrm>
        <a:prstGeom prst="roundRect">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382" tIns="0" rIns="127382" bIns="0"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Unhealthy diet</a:t>
          </a:r>
        </a:p>
      </dsp:txBody>
      <dsp:txXfrm>
        <a:off x="258015" y="1700380"/>
        <a:ext cx="3335531" cy="319654"/>
      </dsp:txXfrm>
    </dsp:sp>
    <dsp:sp modelId="{10EA3DEA-A582-49E3-9437-7BFEDE4B4E22}">
      <dsp:nvSpPr>
        <dsp:cNvPr id="0" name=""/>
        <dsp:cNvSpPr/>
      </dsp:nvSpPr>
      <dsp:spPr>
        <a:xfrm>
          <a:off x="0" y="2404527"/>
          <a:ext cx="4814454" cy="3024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0281508D-BC72-4632-B16B-BDFF1C6D1262}">
      <dsp:nvSpPr>
        <dsp:cNvPr id="0" name=""/>
        <dsp:cNvSpPr/>
      </dsp:nvSpPr>
      <dsp:spPr>
        <a:xfrm>
          <a:off x="240722" y="2227407"/>
          <a:ext cx="3370117" cy="35424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382" tIns="0" rIns="127382" bIns="0" numCol="1" spcCol="1270" anchor="ctr" anchorCtr="0">
          <a:noAutofit/>
        </a:bodyPr>
        <a:lstStyle/>
        <a:p>
          <a:pPr marL="0" lvl="0" indent="0" algn="ctr" defTabSz="488950">
            <a:lnSpc>
              <a:spcPct val="90000"/>
            </a:lnSpc>
            <a:spcBef>
              <a:spcPct val="0"/>
            </a:spcBef>
            <a:spcAft>
              <a:spcPct val="35000"/>
            </a:spcAft>
            <a:buNone/>
          </a:pPr>
          <a:r>
            <a:rPr lang="en-IN" sz="1100" kern="1200">
              <a:latin typeface="Arial" panose="020B0604020202020204" pitchFamily="34" charset="0"/>
              <a:cs typeface="Arial" panose="020B0604020202020204" pitchFamily="34" charset="0"/>
            </a:rPr>
            <a:t>Genetics</a:t>
          </a:r>
        </a:p>
      </dsp:txBody>
      <dsp:txXfrm>
        <a:off x="258015" y="2244700"/>
        <a:ext cx="3335531" cy="31965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1A6A0-D340-40D2-9532-121A101F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5387</Words>
  <Characters>30707</Characters>
  <Application>Microsoft Office Word</Application>
  <DocSecurity>0</DocSecurity>
  <Lines>255</Lines>
  <Paragraphs>72</Paragraphs>
  <ScaleCrop>false</ScaleCrop>
  <Company/>
  <LinksUpToDate>false</LinksUpToDate>
  <CharactersWithSpaces>36022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2025-11-13T23:01:00Z</dcterms:created>
  <dcterms:modified xsi:type="dcterms:W3CDTF">2025-11-13T23:01:00Z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c45a1001-39b4-49ef-a7be-f8c9ca8e2536</vt:lpwstr>
  </property>
</Properties>
</file>