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A04E807" w:rsidR="7908378C" w:rsidRDefault="7908378C" w:rsidP="33572C6E">
            <w:pPr>
              <w:ind w:right="237"/>
              <w:rPr>
                <w:b/>
                <w:bCs/>
                <w:color w:val="auto"/>
                <w:sz w:val="32"/>
                <w:szCs w:val="32"/>
              </w:rPr>
            </w:pPr>
            <w:r w:rsidRPr="33572C6E">
              <w:rPr>
                <w:b/>
                <w:bCs/>
                <w:color w:val="auto"/>
                <w:sz w:val="32"/>
                <w:szCs w:val="32"/>
              </w:rPr>
              <w:t xml:space="preserve">Learner name: </w:t>
            </w:r>
            <w:r w:rsidR="00632008">
              <w:rPr>
                <w:b/>
                <w:bCs/>
                <w:color w:val="auto"/>
                <w:sz w:val="32"/>
                <w:szCs w:val="32"/>
              </w:rPr>
              <w:t>Laura Ryan</w:t>
            </w:r>
          </w:p>
          <w:p w14:paraId="3A3A802D" w14:textId="77777777" w:rsidR="33572C6E" w:rsidRDefault="33572C6E" w:rsidP="33572C6E">
            <w:pPr>
              <w:ind w:right="237"/>
              <w:rPr>
                <w:b/>
                <w:bCs/>
                <w:color w:val="auto"/>
                <w:sz w:val="32"/>
                <w:szCs w:val="32"/>
              </w:rPr>
            </w:pPr>
          </w:p>
          <w:p w14:paraId="5DC3CFD6" w14:textId="279F8BBD" w:rsidR="7908378C" w:rsidRDefault="7908378C" w:rsidP="33572C6E">
            <w:pPr>
              <w:ind w:right="237"/>
              <w:rPr>
                <w:b/>
                <w:bCs/>
                <w:color w:val="auto"/>
                <w:sz w:val="32"/>
                <w:szCs w:val="32"/>
              </w:rPr>
            </w:pPr>
            <w:r w:rsidRPr="33572C6E">
              <w:rPr>
                <w:b/>
                <w:bCs/>
                <w:color w:val="auto"/>
                <w:sz w:val="32"/>
                <w:szCs w:val="32"/>
              </w:rPr>
              <w:t>Learner’s University Registration Number:</w:t>
            </w:r>
            <w:r w:rsidR="00D72477">
              <w:rPr>
                <w:b/>
                <w:bCs/>
                <w:color w:val="auto"/>
                <w:sz w:val="32"/>
                <w:szCs w:val="32"/>
              </w:rPr>
              <w:t xml:space="preserve"> 2319919 </w:t>
            </w:r>
          </w:p>
          <w:p w14:paraId="7883A53E" w14:textId="577EF3F7"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Default="5B843AF0" w:rsidP="5B843AF0">
      <w:pPr>
        <w:ind w:right="237"/>
        <w:jc w:val="both"/>
        <w:rPr>
          <w:rFonts w:eastAsia="Arial"/>
          <w:color w:val="000000" w:themeColor="text1"/>
          <w:sz w:val="24"/>
          <w:szCs w:val="24"/>
        </w:rPr>
      </w:pPr>
    </w:p>
    <w:p w14:paraId="501FFA13" w14:textId="77777777" w:rsidR="00DA6739" w:rsidRDefault="00DA6739" w:rsidP="5B843AF0">
      <w:pPr>
        <w:ind w:right="237"/>
        <w:jc w:val="both"/>
        <w:rPr>
          <w:rFonts w:eastAsia="Arial"/>
          <w:color w:val="000000" w:themeColor="text1"/>
          <w:sz w:val="24"/>
          <w:szCs w:val="24"/>
        </w:rPr>
      </w:pPr>
    </w:p>
    <w:p w14:paraId="4FBC95C5" w14:textId="1846D718" w:rsidR="00DA6739" w:rsidRDefault="008A086B" w:rsidP="5B843AF0">
      <w:pPr>
        <w:ind w:right="237"/>
        <w:jc w:val="both"/>
        <w:rPr>
          <w:rFonts w:eastAsia="Arial"/>
          <w:color w:val="000000" w:themeColor="text1"/>
          <w:sz w:val="24"/>
          <w:szCs w:val="24"/>
        </w:rPr>
      </w:pPr>
      <w:r>
        <w:rPr>
          <w:rFonts w:eastAsia="Arial"/>
          <w:color w:val="000000" w:themeColor="text1"/>
          <w:sz w:val="24"/>
          <w:szCs w:val="24"/>
        </w:rPr>
        <w:t xml:space="preserve">In this assignment I will be evaluating the appropriateness of police and professional approaches in supporting victims during an investigative process of a serious and complex investigation. </w:t>
      </w:r>
    </w:p>
    <w:p w14:paraId="4EC6F6C0" w14:textId="30AC49A1" w:rsidR="008A086B" w:rsidRDefault="00D03749" w:rsidP="5B843AF0">
      <w:pPr>
        <w:ind w:right="237"/>
        <w:jc w:val="both"/>
        <w:rPr>
          <w:rFonts w:eastAsia="Arial"/>
          <w:color w:val="000000" w:themeColor="text1"/>
          <w:sz w:val="24"/>
          <w:szCs w:val="24"/>
        </w:rPr>
      </w:pPr>
      <w:r>
        <w:rPr>
          <w:rFonts w:eastAsia="Arial"/>
          <w:color w:val="000000" w:themeColor="text1"/>
          <w:sz w:val="24"/>
          <w:szCs w:val="24"/>
        </w:rPr>
        <w:t xml:space="preserve">All crimes have the possibility to turn into more serious </w:t>
      </w:r>
      <w:r w:rsidR="001B2F44">
        <w:rPr>
          <w:rFonts w:eastAsia="Arial"/>
          <w:color w:val="000000" w:themeColor="text1"/>
          <w:sz w:val="24"/>
          <w:szCs w:val="24"/>
        </w:rPr>
        <w:t>and major incidents, which is why police officers need to address the threat, risk and harm in every situation</w:t>
      </w:r>
      <w:r w:rsidR="007808E2">
        <w:rPr>
          <w:rFonts w:eastAsia="Arial"/>
          <w:color w:val="000000" w:themeColor="text1"/>
          <w:sz w:val="24"/>
          <w:szCs w:val="24"/>
        </w:rPr>
        <w:t xml:space="preserve"> (Carr</w:t>
      </w:r>
      <w:r w:rsidR="00CC5FC7">
        <w:rPr>
          <w:rFonts w:eastAsia="Arial"/>
          <w:color w:val="000000" w:themeColor="text1"/>
          <w:sz w:val="24"/>
          <w:szCs w:val="24"/>
        </w:rPr>
        <w:t xml:space="preserve">, </w:t>
      </w:r>
      <w:r w:rsidR="007808E2">
        <w:rPr>
          <w:rFonts w:eastAsia="Arial"/>
          <w:color w:val="000000" w:themeColor="text1"/>
          <w:sz w:val="24"/>
          <w:szCs w:val="24"/>
        </w:rPr>
        <w:t>Davies</w:t>
      </w:r>
      <w:r w:rsidR="00CC5FC7">
        <w:rPr>
          <w:rFonts w:eastAsia="Arial"/>
          <w:color w:val="000000" w:themeColor="text1"/>
          <w:sz w:val="24"/>
          <w:szCs w:val="24"/>
        </w:rPr>
        <w:t xml:space="preserve"> and Blockley,</w:t>
      </w:r>
      <w:r w:rsidR="007808E2">
        <w:rPr>
          <w:rFonts w:eastAsia="Arial"/>
          <w:color w:val="000000" w:themeColor="text1"/>
          <w:sz w:val="24"/>
          <w:szCs w:val="24"/>
        </w:rPr>
        <w:t xml:space="preserve"> 2025).</w:t>
      </w:r>
      <w:r w:rsidR="001B2F44">
        <w:rPr>
          <w:rFonts w:eastAsia="Arial"/>
          <w:color w:val="000000" w:themeColor="text1"/>
          <w:sz w:val="24"/>
          <w:szCs w:val="24"/>
        </w:rPr>
        <w:t xml:space="preserve"> </w:t>
      </w:r>
      <w:r w:rsidR="00CF05C3">
        <w:rPr>
          <w:rFonts w:eastAsia="Arial"/>
          <w:color w:val="000000" w:themeColor="text1"/>
          <w:sz w:val="24"/>
          <w:szCs w:val="24"/>
        </w:rPr>
        <w:t xml:space="preserve">The national Centre for Policing Excellence </w:t>
      </w:r>
      <w:r w:rsidR="001D2DD9">
        <w:rPr>
          <w:rFonts w:eastAsia="Arial"/>
          <w:color w:val="000000" w:themeColor="text1"/>
          <w:sz w:val="24"/>
          <w:szCs w:val="24"/>
        </w:rPr>
        <w:t xml:space="preserve">(2005, p58) </w:t>
      </w:r>
      <w:r w:rsidR="00CF05C3">
        <w:rPr>
          <w:rFonts w:eastAsia="Arial"/>
          <w:color w:val="000000" w:themeColor="text1"/>
          <w:sz w:val="24"/>
          <w:szCs w:val="24"/>
        </w:rPr>
        <w:t xml:space="preserve">states that investigators </w:t>
      </w:r>
      <w:r w:rsidR="00E5234D">
        <w:rPr>
          <w:rFonts w:eastAsia="Arial"/>
          <w:color w:val="000000" w:themeColor="text1"/>
          <w:sz w:val="24"/>
          <w:szCs w:val="24"/>
        </w:rPr>
        <w:t>should have an ‘investigative mindset’ which is described as “an inquiring, open minded approach, capable of sensing what might be material f</w:t>
      </w:r>
      <w:r w:rsidR="005F644E">
        <w:rPr>
          <w:rFonts w:eastAsia="Arial"/>
          <w:color w:val="000000" w:themeColor="text1"/>
          <w:sz w:val="24"/>
          <w:szCs w:val="24"/>
        </w:rPr>
        <w:t>rom the defence perspectiv</w:t>
      </w:r>
      <w:r w:rsidR="001D2DD9">
        <w:rPr>
          <w:rFonts w:eastAsia="Arial"/>
          <w:color w:val="000000" w:themeColor="text1"/>
          <w:sz w:val="24"/>
          <w:szCs w:val="24"/>
        </w:rPr>
        <w:t>e</w:t>
      </w:r>
      <w:r w:rsidR="00682466">
        <w:rPr>
          <w:rFonts w:eastAsia="Arial"/>
          <w:color w:val="000000" w:themeColor="text1"/>
          <w:sz w:val="24"/>
          <w:szCs w:val="24"/>
        </w:rPr>
        <w:t xml:space="preserve"> (National Centre for Policing Excellence, 2005).</w:t>
      </w:r>
      <w:r w:rsidR="001D2DD9">
        <w:rPr>
          <w:rFonts w:eastAsia="Arial"/>
          <w:color w:val="000000" w:themeColor="text1"/>
          <w:sz w:val="24"/>
          <w:szCs w:val="24"/>
        </w:rPr>
        <w:t xml:space="preserve"> </w:t>
      </w:r>
      <w:r w:rsidR="00E16ACD">
        <w:rPr>
          <w:rFonts w:eastAsia="Arial"/>
          <w:color w:val="000000" w:themeColor="text1"/>
          <w:sz w:val="24"/>
          <w:szCs w:val="24"/>
        </w:rPr>
        <w:t xml:space="preserve">Serious and complex investigations </w:t>
      </w:r>
      <w:r w:rsidR="003A541A">
        <w:rPr>
          <w:rFonts w:eastAsia="Arial"/>
          <w:color w:val="000000" w:themeColor="text1"/>
          <w:sz w:val="24"/>
          <w:szCs w:val="24"/>
        </w:rPr>
        <w:t xml:space="preserve">can be challenging and therefore are usually investigated by officers who have more knowledge, experience and higher level of skill to maximise </w:t>
      </w:r>
      <w:r w:rsidR="00F65534">
        <w:rPr>
          <w:rFonts w:eastAsia="Arial"/>
          <w:color w:val="000000" w:themeColor="text1"/>
          <w:sz w:val="24"/>
          <w:szCs w:val="24"/>
        </w:rPr>
        <w:t>investigative opportunities (Carr</w:t>
      </w:r>
      <w:r w:rsidR="00CC5FC7">
        <w:rPr>
          <w:rFonts w:eastAsia="Arial"/>
          <w:color w:val="000000" w:themeColor="text1"/>
          <w:sz w:val="24"/>
          <w:szCs w:val="24"/>
        </w:rPr>
        <w:t xml:space="preserve">, </w:t>
      </w:r>
      <w:r w:rsidR="00F65534">
        <w:rPr>
          <w:rFonts w:eastAsia="Arial"/>
          <w:color w:val="000000" w:themeColor="text1"/>
          <w:sz w:val="24"/>
          <w:szCs w:val="24"/>
        </w:rPr>
        <w:t>Davies</w:t>
      </w:r>
      <w:r w:rsidR="00CC5FC7">
        <w:rPr>
          <w:rFonts w:eastAsia="Arial"/>
          <w:color w:val="000000" w:themeColor="text1"/>
          <w:sz w:val="24"/>
          <w:szCs w:val="24"/>
        </w:rPr>
        <w:t xml:space="preserve"> and Blockley</w:t>
      </w:r>
      <w:r w:rsidR="00F65534">
        <w:rPr>
          <w:rFonts w:eastAsia="Arial"/>
          <w:color w:val="000000" w:themeColor="text1"/>
          <w:sz w:val="24"/>
          <w:szCs w:val="24"/>
        </w:rPr>
        <w:t xml:space="preserve"> 2025). </w:t>
      </w:r>
    </w:p>
    <w:p w14:paraId="0A969378" w14:textId="6513B3E3" w:rsidR="00D22C0C" w:rsidRDefault="008A086B" w:rsidP="5B843AF0">
      <w:pPr>
        <w:ind w:right="237"/>
        <w:jc w:val="both"/>
        <w:rPr>
          <w:rFonts w:eastAsia="Arial"/>
          <w:color w:val="auto"/>
          <w:sz w:val="24"/>
          <w:szCs w:val="24"/>
        </w:rPr>
      </w:pPr>
      <w:r>
        <w:rPr>
          <w:rFonts w:eastAsia="Arial"/>
          <w:color w:val="000000" w:themeColor="text1"/>
          <w:sz w:val="24"/>
          <w:szCs w:val="24"/>
        </w:rPr>
        <w:t>I attended a</w:t>
      </w:r>
      <w:r w:rsidR="00FA348B">
        <w:rPr>
          <w:rFonts w:eastAsia="Arial"/>
          <w:color w:val="000000" w:themeColor="text1"/>
          <w:sz w:val="24"/>
          <w:szCs w:val="24"/>
        </w:rPr>
        <w:t xml:space="preserve">n </w:t>
      </w:r>
      <w:r>
        <w:rPr>
          <w:rFonts w:eastAsia="Arial"/>
          <w:color w:val="000000" w:themeColor="text1"/>
          <w:sz w:val="24"/>
          <w:szCs w:val="24"/>
        </w:rPr>
        <w:t>incident whereby a female from a travell</w:t>
      </w:r>
      <w:r w:rsidR="00682466">
        <w:rPr>
          <w:rFonts w:eastAsia="Arial"/>
          <w:color w:val="000000" w:themeColor="text1"/>
          <w:sz w:val="24"/>
          <w:szCs w:val="24"/>
        </w:rPr>
        <w:t>er</w:t>
      </w:r>
      <w:r>
        <w:rPr>
          <w:rFonts w:eastAsia="Arial"/>
          <w:color w:val="000000" w:themeColor="text1"/>
          <w:sz w:val="24"/>
          <w:szCs w:val="24"/>
        </w:rPr>
        <w:t xml:space="preserve"> community was sleeping at her address with six young children. </w:t>
      </w:r>
      <w:r w:rsidR="00FA348B">
        <w:rPr>
          <w:rFonts w:eastAsia="Arial"/>
          <w:color w:val="000000" w:themeColor="text1"/>
          <w:sz w:val="24"/>
          <w:szCs w:val="24"/>
        </w:rPr>
        <w:t xml:space="preserve">During the night, an unknown male has entered her property and has poured petrol over the front window and bin bags left by the front window of her property. The male has then set it alight and ran off. The female stated to officers she has been persistently targeted with similar incidents and believes this was due to her being a gypsy. </w:t>
      </w:r>
      <w:r w:rsidR="00A85769">
        <w:rPr>
          <w:rFonts w:eastAsia="Arial"/>
          <w:color w:val="000000" w:themeColor="text1"/>
          <w:sz w:val="24"/>
          <w:szCs w:val="24"/>
        </w:rPr>
        <w:t xml:space="preserve">This was deemed as a hate crime incident and therefore had to deal with the victim carefully to ensure she </w:t>
      </w:r>
      <w:r w:rsidR="00D22C0C">
        <w:rPr>
          <w:rFonts w:eastAsia="Arial"/>
          <w:color w:val="000000" w:themeColor="text1"/>
          <w:sz w:val="24"/>
          <w:szCs w:val="24"/>
        </w:rPr>
        <w:t xml:space="preserve">felt safe and supported by police. </w:t>
      </w:r>
      <w:r w:rsidR="00682466">
        <w:rPr>
          <w:rFonts w:eastAsia="Arial"/>
          <w:color w:val="auto"/>
          <w:sz w:val="24"/>
          <w:szCs w:val="24"/>
        </w:rPr>
        <w:t>Hate crime incidents can be described as, “a criminal offence which is perceived by the victim or any other person to be motivated by hostility or prejudice based on a person’s race, religion, disability, or sexual orientation” (Gov.uk, 2025).</w:t>
      </w:r>
    </w:p>
    <w:p w14:paraId="652D4D72" w14:textId="77777777" w:rsidR="00682466" w:rsidRPr="00682466" w:rsidRDefault="00682466" w:rsidP="5B843AF0">
      <w:pPr>
        <w:ind w:right="237"/>
        <w:jc w:val="both"/>
        <w:rPr>
          <w:rFonts w:eastAsia="Arial"/>
          <w:color w:val="auto"/>
          <w:sz w:val="24"/>
          <w:szCs w:val="24"/>
        </w:rPr>
      </w:pPr>
    </w:p>
    <w:p w14:paraId="6D520A34" w14:textId="592E4D38" w:rsidR="00924C85" w:rsidRDefault="00924C85" w:rsidP="5B843AF0">
      <w:pPr>
        <w:ind w:right="237"/>
        <w:jc w:val="both"/>
        <w:rPr>
          <w:rFonts w:eastAsia="Arial"/>
          <w:color w:val="auto"/>
          <w:sz w:val="24"/>
          <w:szCs w:val="24"/>
        </w:rPr>
      </w:pPr>
      <w:r>
        <w:rPr>
          <w:rFonts w:eastAsia="Arial"/>
          <w:color w:val="000000" w:themeColor="text1"/>
          <w:sz w:val="24"/>
          <w:szCs w:val="24"/>
        </w:rPr>
        <w:lastRenderedPageBreak/>
        <w:t xml:space="preserve">This unknown male was being investigated for arson with intent to endanger life. </w:t>
      </w:r>
      <w:r w:rsidRPr="00D533D2">
        <w:rPr>
          <w:rFonts w:eastAsia="Arial"/>
          <w:color w:val="auto"/>
          <w:sz w:val="24"/>
          <w:szCs w:val="24"/>
        </w:rPr>
        <w:t xml:space="preserve">Arson with intent to endanger life </w:t>
      </w:r>
      <w:r w:rsidR="00BA533B" w:rsidRPr="00D533D2">
        <w:rPr>
          <w:rFonts w:eastAsia="Arial"/>
          <w:color w:val="auto"/>
          <w:sz w:val="24"/>
          <w:szCs w:val="24"/>
        </w:rPr>
        <w:t xml:space="preserve">is also </w:t>
      </w:r>
      <w:r w:rsidR="00BA533B" w:rsidRPr="00D533D2">
        <w:rPr>
          <w:rFonts w:eastAsia="Arial"/>
          <w:color w:val="auto"/>
          <w:sz w:val="24"/>
          <w:szCs w:val="24"/>
        </w:rPr>
        <w:t>known as “aggravated arson”</w:t>
      </w:r>
      <w:r w:rsidR="00BA533B" w:rsidRPr="00D533D2">
        <w:rPr>
          <w:rFonts w:eastAsia="Arial"/>
          <w:color w:val="auto"/>
          <w:sz w:val="24"/>
          <w:szCs w:val="24"/>
        </w:rPr>
        <w:t xml:space="preserve">. This offence is </w:t>
      </w:r>
      <w:r w:rsidR="00BA533B" w:rsidRPr="00D533D2">
        <w:rPr>
          <w:rFonts w:eastAsia="Arial"/>
          <w:color w:val="auto"/>
          <w:sz w:val="24"/>
          <w:szCs w:val="24"/>
        </w:rPr>
        <w:t>committed if</w:t>
      </w:r>
      <w:r w:rsidR="00D533D2" w:rsidRPr="00D533D2">
        <w:rPr>
          <w:rFonts w:eastAsia="Arial"/>
          <w:color w:val="auto"/>
          <w:sz w:val="24"/>
          <w:szCs w:val="24"/>
        </w:rPr>
        <w:t>, “</w:t>
      </w:r>
      <w:r w:rsidR="00BA533B" w:rsidRPr="00D533D2">
        <w:rPr>
          <w:rFonts w:eastAsia="Arial"/>
          <w:color w:val="auto"/>
          <w:sz w:val="24"/>
          <w:szCs w:val="24"/>
        </w:rPr>
        <w:t>a person damages property by fire either intending to endanger life or being reckless as to whether life would be endangered</w:t>
      </w:r>
      <w:r w:rsidR="00D533D2" w:rsidRPr="00D533D2">
        <w:rPr>
          <w:rFonts w:eastAsia="Arial"/>
          <w:color w:val="auto"/>
          <w:sz w:val="24"/>
          <w:szCs w:val="24"/>
        </w:rPr>
        <w:t>”</w:t>
      </w:r>
      <w:r w:rsidR="00D533D2">
        <w:rPr>
          <w:rFonts w:eastAsia="Arial"/>
          <w:color w:val="auto"/>
          <w:sz w:val="24"/>
          <w:szCs w:val="24"/>
        </w:rPr>
        <w:t xml:space="preserve"> </w:t>
      </w:r>
      <w:r w:rsidR="00CC5FC7">
        <w:rPr>
          <w:rFonts w:eastAsia="Arial"/>
          <w:color w:val="auto"/>
          <w:sz w:val="24"/>
          <w:szCs w:val="24"/>
        </w:rPr>
        <w:t xml:space="preserve">(Wagon, 2023). </w:t>
      </w:r>
    </w:p>
    <w:p w14:paraId="56AAF45D" w14:textId="77777777" w:rsidR="00D533D2" w:rsidRPr="00D533D2" w:rsidRDefault="00D533D2" w:rsidP="5B843AF0">
      <w:pPr>
        <w:ind w:right="237"/>
        <w:jc w:val="both"/>
        <w:rPr>
          <w:rFonts w:eastAsia="Arial"/>
          <w:color w:val="auto"/>
          <w:sz w:val="24"/>
          <w:szCs w:val="24"/>
        </w:rPr>
      </w:pPr>
    </w:p>
    <w:p w14:paraId="2105069A" w14:textId="5C918552" w:rsidR="004505AB" w:rsidRDefault="00FF363E" w:rsidP="5B843AF0">
      <w:pPr>
        <w:ind w:right="237"/>
        <w:jc w:val="both"/>
        <w:rPr>
          <w:rFonts w:eastAsia="Arial"/>
          <w:color w:val="000000" w:themeColor="text1"/>
          <w:sz w:val="24"/>
          <w:szCs w:val="24"/>
        </w:rPr>
      </w:pPr>
      <w:r>
        <w:rPr>
          <w:rFonts w:eastAsia="Arial"/>
          <w:color w:val="000000" w:themeColor="text1"/>
          <w:sz w:val="24"/>
          <w:szCs w:val="24"/>
        </w:rPr>
        <w:t xml:space="preserve">Upon dealing with this incident, it was important to follow the policing golden hour principles. </w:t>
      </w:r>
    </w:p>
    <w:p w14:paraId="321240CD" w14:textId="77777777" w:rsidR="00FF363E" w:rsidRDefault="00FF363E" w:rsidP="5B843AF0">
      <w:pPr>
        <w:ind w:right="237"/>
        <w:jc w:val="both"/>
        <w:rPr>
          <w:rFonts w:eastAsia="Arial"/>
          <w:color w:val="000000" w:themeColor="text1"/>
          <w:sz w:val="24"/>
          <w:szCs w:val="24"/>
        </w:rPr>
      </w:pPr>
    </w:p>
    <w:p w14:paraId="301DD5EB" w14:textId="77777777" w:rsidR="00682466" w:rsidRDefault="00682466" w:rsidP="5B843AF0">
      <w:pPr>
        <w:ind w:right="237"/>
        <w:jc w:val="both"/>
        <w:rPr>
          <w:rFonts w:eastAsia="Arial"/>
          <w:color w:val="000000" w:themeColor="text1"/>
          <w:sz w:val="24"/>
          <w:szCs w:val="24"/>
        </w:rPr>
      </w:pPr>
    </w:p>
    <w:p w14:paraId="08BFA115" w14:textId="77777777" w:rsidR="00CC5FC7" w:rsidRDefault="00CC5FC7" w:rsidP="5B843AF0">
      <w:pPr>
        <w:ind w:right="237"/>
        <w:jc w:val="both"/>
        <w:rPr>
          <w:rFonts w:eastAsia="Arial"/>
          <w:color w:val="000000" w:themeColor="text1"/>
          <w:sz w:val="24"/>
          <w:szCs w:val="24"/>
        </w:rPr>
      </w:pPr>
    </w:p>
    <w:p w14:paraId="441B5BCC" w14:textId="77777777" w:rsidR="00CC5FC7" w:rsidRDefault="00CC5FC7" w:rsidP="5B843AF0">
      <w:pPr>
        <w:ind w:right="237"/>
        <w:jc w:val="both"/>
        <w:rPr>
          <w:rFonts w:eastAsia="Arial"/>
          <w:color w:val="000000" w:themeColor="text1"/>
          <w:sz w:val="24"/>
          <w:szCs w:val="24"/>
        </w:rPr>
      </w:pPr>
    </w:p>
    <w:p w14:paraId="56F7D0B4" w14:textId="70501089" w:rsidR="00682466" w:rsidRDefault="00A204BB" w:rsidP="5B843AF0">
      <w:pPr>
        <w:ind w:right="237"/>
        <w:jc w:val="both"/>
        <w:rPr>
          <w:rFonts w:eastAsia="Arial"/>
          <w:color w:val="000000" w:themeColor="text1"/>
          <w:sz w:val="24"/>
          <w:szCs w:val="24"/>
        </w:rPr>
      </w:pPr>
      <w:r>
        <w:rPr>
          <w:rFonts w:eastAsia="Arial"/>
          <w:color w:val="000000" w:themeColor="text1"/>
          <w:sz w:val="24"/>
          <w:szCs w:val="24"/>
        </w:rPr>
        <w:t xml:space="preserve">References </w:t>
      </w:r>
    </w:p>
    <w:p w14:paraId="26653344" w14:textId="77777777" w:rsidR="00A204BB" w:rsidRDefault="00A204BB" w:rsidP="5B843AF0">
      <w:pPr>
        <w:ind w:right="237"/>
        <w:jc w:val="both"/>
        <w:rPr>
          <w:rFonts w:eastAsia="Arial"/>
          <w:color w:val="000000" w:themeColor="text1"/>
          <w:sz w:val="24"/>
          <w:szCs w:val="24"/>
        </w:rPr>
      </w:pPr>
    </w:p>
    <w:p w14:paraId="37AD092C" w14:textId="77777777" w:rsidR="00B34856" w:rsidRDefault="00B34856" w:rsidP="00B34856">
      <w:pPr>
        <w:ind w:right="237"/>
        <w:jc w:val="both"/>
        <w:rPr>
          <w:rFonts w:eastAsia="Arial"/>
          <w:color w:val="000000" w:themeColor="text1"/>
          <w:sz w:val="24"/>
          <w:szCs w:val="24"/>
        </w:rPr>
      </w:pPr>
      <w:r w:rsidRPr="00B34856">
        <w:rPr>
          <w:rFonts w:eastAsia="Arial"/>
          <w:color w:val="000000" w:themeColor="text1"/>
          <w:sz w:val="24"/>
          <w:szCs w:val="24"/>
        </w:rPr>
        <w:t xml:space="preserve">Carr, R., Davies, C. and Blockley, T. (2025) </w:t>
      </w:r>
      <w:r w:rsidRPr="00B34856">
        <w:rPr>
          <w:rFonts w:eastAsia="Arial"/>
          <w:i/>
          <w:iCs/>
          <w:color w:val="000000" w:themeColor="text1"/>
          <w:sz w:val="24"/>
          <w:szCs w:val="24"/>
        </w:rPr>
        <w:t>Major and serious crime investigations</w:t>
      </w:r>
      <w:r w:rsidRPr="00B34856">
        <w:rPr>
          <w:rFonts w:eastAsia="Arial"/>
          <w:color w:val="000000" w:themeColor="text1"/>
          <w:sz w:val="24"/>
          <w:szCs w:val="24"/>
        </w:rPr>
        <w:t xml:space="preserve"> [Preprint]. doi:10.4324/9781041056157. </w:t>
      </w:r>
    </w:p>
    <w:p w14:paraId="1660BA4F" w14:textId="77777777" w:rsidR="00A204BB" w:rsidRDefault="00A204BB" w:rsidP="00B34856">
      <w:pPr>
        <w:ind w:right="237"/>
        <w:jc w:val="both"/>
        <w:rPr>
          <w:rFonts w:eastAsia="Arial"/>
          <w:color w:val="000000" w:themeColor="text1"/>
          <w:sz w:val="24"/>
          <w:szCs w:val="24"/>
        </w:rPr>
      </w:pPr>
    </w:p>
    <w:p w14:paraId="4D3C0561" w14:textId="77777777" w:rsidR="00A204BB" w:rsidRPr="00A204BB" w:rsidRDefault="00A204BB" w:rsidP="00A204BB">
      <w:pPr>
        <w:ind w:right="237"/>
        <w:jc w:val="both"/>
        <w:rPr>
          <w:rFonts w:eastAsia="Arial"/>
          <w:color w:val="000000" w:themeColor="text1"/>
          <w:sz w:val="24"/>
          <w:szCs w:val="24"/>
        </w:rPr>
      </w:pPr>
      <w:r w:rsidRPr="00A204BB">
        <w:rPr>
          <w:rFonts w:eastAsia="Arial"/>
          <w:i/>
          <w:iCs/>
          <w:color w:val="000000" w:themeColor="text1"/>
          <w:sz w:val="24"/>
          <w:szCs w:val="24"/>
        </w:rPr>
        <w:t>Hate crime, England and Wales, year ending March 2024</w:t>
      </w:r>
      <w:r w:rsidRPr="00A204BB">
        <w:rPr>
          <w:rFonts w:eastAsia="Arial"/>
          <w:color w:val="000000" w:themeColor="text1"/>
          <w:sz w:val="24"/>
          <w:szCs w:val="24"/>
        </w:rPr>
        <w:t xml:space="preserve"> (2024) </w:t>
      </w:r>
      <w:r w:rsidRPr="00A204BB">
        <w:rPr>
          <w:rFonts w:eastAsia="Arial"/>
          <w:i/>
          <w:iCs/>
          <w:color w:val="000000" w:themeColor="text1"/>
          <w:sz w:val="24"/>
          <w:szCs w:val="24"/>
        </w:rPr>
        <w:t>GOV.UK</w:t>
      </w:r>
      <w:r w:rsidRPr="00A204BB">
        <w:rPr>
          <w:rFonts w:eastAsia="Arial"/>
          <w:color w:val="000000" w:themeColor="text1"/>
          <w:sz w:val="24"/>
          <w:szCs w:val="24"/>
        </w:rPr>
        <w:t xml:space="preserve">. Available at: https://www.gov.uk/government/statistics/hate-crime-england-and-wales-year-ending-march-2024/hate-crime-england-and-wales-year-ending-march-2024 (Accessed: 01 May 2025). </w:t>
      </w:r>
    </w:p>
    <w:p w14:paraId="41C2F099" w14:textId="77777777" w:rsidR="00A204BB" w:rsidRDefault="00A204BB" w:rsidP="5B843AF0">
      <w:pPr>
        <w:ind w:right="237"/>
        <w:jc w:val="both"/>
        <w:rPr>
          <w:rFonts w:eastAsia="Arial"/>
          <w:color w:val="000000" w:themeColor="text1"/>
          <w:sz w:val="24"/>
          <w:szCs w:val="24"/>
        </w:rPr>
      </w:pPr>
    </w:p>
    <w:p w14:paraId="4F85562E" w14:textId="561BF0BA" w:rsidR="004505AB" w:rsidRDefault="00882EC8" w:rsidP="00CC5FC7">
      <w:pPr>
        <w:overflowPunct/>
        <w:autoSpaceDE/>
        <w:autoSpaceDN/>
        <w:adjustRightInd/>
        <w:textAlignment w:val="auto"/>
        <w:rPr>
          <w:rFonts w:eastAsia="Arial"/>
          <w:color w:val="000000" w:themeColor="text1"/>
          <w:sz w:val="24"/>
          <w:szCs w:val="24"/>
        </w:rPr>
      </w:pPr>
      <w:r w:rsidRPr="00882EC8">
        <w:rPr>
          <w:rFonts w:eastAsia="Arial"/>
          <w:color w:val="000000" w:themeColor="text1"/>
          <w:sz w:val="24"/>
          <w:szCs w:val="24"/>
        </w:rPr>
        <w:t xml:space="preserve">National Centre for Policing Excellence (2005) Practice Advice on Core Investigative Doctrine. [online] Available at: https://library.college.police.uk/docs/acpo/Core-Investigative-Doctrine.pdf (accessed </w:t>
      </w:r>
      <w:r w:rsidR="00F55409">
        <w:rPr>
          <w:rFonts w:eastAsia="Arial"/>
          <w:color w:val="000000" w:themeColor="text1"/>
          <w:sz w:val="24"/>
          <w:szCs w:val="24"/>
        </w:rPr>
        <w:t xml:space="preserve">31st May 2025) </w:t>
      </w:r>
    </w:p>
    <w:p w14:paraId="4CBF8578" w14:textId="77777777" w:rsidR="00A204BB" w:rsidRDefault="00A204BB" w:rsidP="5B843AF0">
      <w:pPr>
        <w:ind w:right="237"/>
        <w:jc w:val="both"/>
        <w:rPr>
          <w:rFonts w:eastAsia="Arial"/>
          <w:color w:val="000000" w:themeColor="text1"/>
          <w:sz w:val="24"/>
          <w:szCs w:val="24"/>
        </w:rPr>
      </w:pPr>
    </w:p>
    <w:p w14:paraId="05FAFA64" w14:textId="6B109524" w:rsidR="00CC5FC7" w:rsidRPr="00CC5FC7" w:rsidRDefault="00CC5FC7" w:rsidP="00CC5FC7">
      <w:pPr>
        <w:ind w:right="237"/>
        <w:jc w:val="both"/>
        <w:rPr>
          <w:rFonts w:eastAsia="Arial"/>
          <w:color w:val="000000" w:themeColor="text1"/>
          <w:sz w:val="24"/>
          <w:szCs w:val="24"/>
        </w:rPr>
      </w:pPr>
      <w:r w:rsidRPr="00CC5FC7">
        <w:rPr>
          <w:rFonts w:eastAsia="Arial"/>
          <w:color w:val="000000" w:themeColor="text1"/>
          <w:sz w:val="24"/>
          <w:szCs w:val="24"/>
        </w:rPr>
        <w:t xml:space="preserve">Wagon, T. (2023) </w:t>
      </w:r>
      <w:r w:rsidRPr="00CC5FC7">
        <w:rPr>
          <w:rFonts w:eastAsia="Arial"/>
          <w:i/>
          <w:iCs/>
          <w:color w:val="000000" w:themeColor="text1"/>
          <w:sz w:val="24"/>
          <w:szCs w:val="24"/>
        </w:rPr>
        <w:t>Types of arson charges and sentences</w:t>
      </w:r>
      <w:r w:rsidRPr="00CC5FC7">
        <w:rPr>
          <w:rFonts w:eastAsia="Arial"/>
          <w:color w:val="000000" w:themeColor="text1"/>
          <w:sz w:val="24"/>
          <w:szCs w:val="24"/>
        </w:rPr>
        <w:t xml:space="preserve">, </w:t>
      </w:r>
      <w:r w:rsidRPr="00CC5FC7">
        <w:rPr>
          <w:rFonts w:eastAsia="Arial"/>
          <w:i/>
          <w:iCs/>
          <w:color w:val="000000" w:themeColor="text1"/>
          <w:sz w:val="24"/>
          <w:szCs w:val="24"/>
        </w:rPr>
        <w:t>Wheldon Law</w:t>
      </w:r>
      <w:r w:rsidRPr="00CC5FC7">
        <w:rPr>
          <w:rFonts w:eastAsia="Arial"/>
          <w:color w:val="000000" w:themeColor="text1"/>
          <w:sz w:val="24"/>
          <w:szCs w:val="24"/>
        </w:rPr>
        <w:t xml:space="preserve">. Available at:https://wheldonlaw.co.uk/types-of-arson-charges-and-how-sentences-are-determined-according-to-uk-law/ (Accessed: 02 May 2025). </w:t>
      </w:r>
    </w:p>
    <w:p w14:paraId="49701AF6" w14:textId="77777777" w:rsidR="00EF5D12" w:rsidRDefault="00EF5D12" w:rsidP="5B843AF0">
      <w:pPr>
        <w:ind w:right="237"/>
        <w:jc w:val="both"/>
        <w:rPr>
          <w:rFonts w:eastAsia="Arial"/>
          <w:color w:val="000000" w:themeColor="text1"/>
          <w:sz w:val="24"/>
          <w:szCs w:val="24"/>
        </w:rPr>
      </w:pPr>
    </w:p>
    <w:p w14:paraId="2BF3B462" w14:textId="77777777" w:rsidR="00D22C0C" w:rsidRDefault="00D22C0C" w:rsidP="5B843AF0">
      <w:pPr>
        <w:ind w:right="237"/>
        <w:jc w:val="both"/>
        <w:rPr>
          <w:rFonts w:eastAsia="Arial"/>
          <w:color w:val="000000" w:themeColor="text1"/>
          <w:sz w:val="24"/>
          <w:szCs w:val="24"/>
        </w:rPr>
      </w:pPr>
    </w:p>
    <w:p w14:paraId="39E74CD6" w14:textId="77777777" w:rsidR="00D22C0C" w:rsidRDefault="00D22C0C" w:rsidP="5B843AF0">
      <w:pPr>
        <w:ind w:right="237"/>
        <w:jc w:val="both"/>
        <w:rPr>
          <w:rFonts w:eastAsia="Arial"/>
          <w:color w:val="000000" w:themeColor="text1"/>
          <w:sz w:val="24"/>
          <w:szCs w:val="24"/>
        </w:rPr>
      </w:pPr>
    </w:p>
    <w:p w14:paraId="33C14E17" w14:textId="77777777" w:rsidR="00A85769" w:rsidRDefault="00A85769" w:rsidP="5B843AF0">
      <w:pPr>
        <w:ind w:right="237"/>
        <w:jc w:val="both"/>
        <w:rPr>
          <w:rFonts w:eastAsia="Arial"/>
          <w:color w:val="000000" w:themeColor="text1"/>
          <w:sz w:val="24"/>
          <w:szCs w:val="24"/>
        </w:rPr>
      </w:pPr>
    </w:p>
    <w:p w14:paraId="7D566C64" w14:textId="77777777" w:rsidR="008A086B" w:rsidRDefault="008A086B" w:rsidP="5B843AF0">
      <w:pPr>
        <w:ind w:right="237"/>
        <w:jc w:val="both"/>
        <w:rPr>
          <w:rFonts w:eastAsia="Arial"/>
          <w:color w:val="000000" w:themeColor="text1"/>
          <w:sz w:val="24"/>
          <w:szCs w:val="24"/>
        </w:rPr>
      </w:pPr>
    </w:p>
    <w:p w14:paraId="46FFC12C" w14:textId="77777777" w:rsidR="00DA6739" w:rsidRDefault="00DA6739" w:rsidP="5B843AF0">
      <w:pPr>
        <w:ind w:right="237"/>
        <w:jc w:val="both"/>
        <w:rPr>
          <w:rFonts w:eastAsia="Arial"/>
          <w:color w:val="000000" w:themeColor="text1"/>
          <w:sz w:val="24"/>
          <w:szCs w:val="24"/>
        </w:rPr>
      </w:pPr>
    </w:p>
    <w:p w14:paraId="6467B9A6" w14:textId="77777777" w:rsidR="00DA6739" w:rsidRDefault="00DA6739" w:rsidP="5B843AF0">
      <w:pPr>
        <w:ind w:right="237"/>
        <w:jc w:val="both"/>
        <w:rPr>
          <w:rFonts w:eastAsia="Arial"/>
          <w:color w:val="000000" w:themeColor="text1"/>
          <w:sz w:val="24"/>
          <w:szCs w:val="24"/>
        </w:rPr>
      </w:pPr>
    </w:p>
    <w:p w14:paraId="040E9199" w14:textId="77777777" w:rsidR="00DA6739" w:rsidRDefault="00DA6739" w:rsidP="5B843AF0">
      <w:pPr>
        <w:ind w:right="237"/>
        <w:jc w:val="both"/>
        <w:rPr>
          <w:rFonts w:eastAsia="Arial"/>
          <w:color w:val="000000" w:themeColor="text1"/>
          <w:sz w:val="24"/>
          <w:szCs w:val="24"/>
        </w:rPr>
      </w:pPr>
    </w:p>
    <w:p w14:paraId="5E527EEA" w14:textId="77777777" w:rsidR="00DA6739" w:rsidRDefault="00DA6739" w:rsidP="5B843AF0">
      <w:pPr>
        <w:ind w:right="237"/>
        <w:jc w:val="both"/>
        <w:rPr>
          <w:rFonts w:eastAsia="Arial"/>
          <w:color w:val="000000" w:themeColor="text1"/>
          <w:sz w:val="24"/>
          <w:szCs w:val="24"/>
        </w:rPr>
      </w:pPr>
    </w:p>
    <w:p w14:paraId="1471D496" w14:textId="77777777" w:rsidR="00DA6739" w:rsidRDefault="00DA6739" w:rsidP="5B843AF0">
      <w:pPr>
        <w:ind w:right="237"/>
        <w:jc w:val="both"/>
        <w:rPr>
          <w:rFonts w:eastAsia="Arial"/>
          <w:color w:val="000000" w:themeColor="text1"/>
          <w:sz w:val="24"/>
          <w:szCs w:val="24"/>
        </w:rPr>
      </w:pPr>
    </w:p>
    <w:p w14:paraId="758D261A" w14:textId="77777777" w:rsidR="00DA6739" w:rsidRDefault="00DA6739" w:rsidP="5B843AF0">
      <w:pPr>
        <w:ind w:right="237"/>
        <w:jc w:val="both"/>
        <w:rPr>
          <w:rFonts w:eastAsia="Arial"/>
          <w:color w:val="000000" w:themeColor="text1"/>
          <w:sz w:val="24"/>
          <w:szCs w:val="24"/>
        </w:rPr>
      </w:pPr>
    </w:p>
    <w:p w14:paraId="4E52AB9A" w14:textId="77777777" w:rsidR="00DA6739" w:rsidRDefault="00DA6739" w:rsidP="5B843AF0">
      <w:pPr>
        <w:ind w:right="237"/>
        <w:jc w:val="both"/>
        <w:rPr>
          <w:rFonts w:eastAsia="Arial"/>
          <w:color w:val="000000" w:themeColor="text1"/>
          <w:sz w:val="24"/>
          <w:szCs w:val="24"/>
        </w:rPr>
      </w:pPr>
    </w:p>
    <w:p w14:paraId="688A6CD2" w14:textId="77777777" w:rsidR="00DA6739" w:rsidRDefault="00DA6739" w:rsidP="5B843AF0">
      <w:pPr>
        <w:ind w:right="237"/>
        <w:jc w:val="both"/>
        <w:rPr>
          <w:rFonts w:eastAsia="Arial"/>
          <w:color w:val="000000" w:themeColor="text1"/>
          <w:sz w:val="24"/>
          <w:szCs w:val="24"/>
        </w:rPr>
      </w:pPr>
    </w:p>
    <w:p w14:paraId="694F3352" w14:textId="77777777" w:rsidR="00DA6739" w:rsidRDefault="00DA6739" w:rsidP="5B843AF0">
      <w:pPr>
        <w:ind w:right="237"/>
        <w:jc w:val="both"/>
        <w:rPr>
          <w:rFonts w:eastAsia="Arial"/>
          <w:color w:val="000000" w:themeColor="text1"/>
          <w:sz w:val="24"/>
          <w:szCs w:val="24"/>
        </w:rPr>
      </w:pPr>
    </w:p>
    <w:p w14:paraId="6779242E" w14:textId="77777777" w:rsidR="00DA6739" w:rsidRDefault="00DA6739" w:rsidP="5B843AF0">
      <w:pPr>
        <w:ind w:right="237"/>
        <w:jc w:val="both"/>
        <w:rPr>
          <w:rFonts w:eastAsia="Arial"/>
          <w:color w:val="000000" w:themeColor="text1"/>
          <w:sz w:val="24"/>
          <w:szCs w:val="24"/>
        </w:rPr>
      </w:pPr>
    </w:p>
    <w:p w14:paraId="69F993F8" w14:textId="77777777" w:rsidR="00DA6739" w:rsidRDefault="00DA6739" w:rsidP="5B843AF0">
      <w:pPr>
        <w:ind w:right="237"/>
        <w:jc w:val="both"/>
        <w:rPr>
          <w:rFonts w:eastAsia="Arial"/>
          <w:color w:val="000000" w:themeColor="text1"/>
          <w:sz w:val="24"/>
          <w:szCs w:val="24"/>
        </w:rPr>
      </w:pPr>
    </w:p>
    <w:p w14:paraId="0F991E59" w14:textId="77777777" w:rsidR="00DA6739" w:rsidRDefault="00DA6739" w:rsidP="5B843AF0">
      <w:pPr>
        <w:ind w:right="237"/>
        <w:jc w:val="both"/>
        <w:rPr>
          <w:rFonts w:eastAsia="Arial"/>
          <w:color w:val="000000" w:themeColor="text1"/>
          <w:sz w:val="24"/>
          <w:szCs w:val="24"/>
        </w:rPr>
      </w:pPr>
    </w:p>
    <w:p w14:paraId="7F0D7615" w14:textId="77777777" w:rsidR="00DA6739" w:rsidRDefault="00DA6739" w:rsidP="5B843AF0">
      <w:pPr>
        <w:ind w:right="237"/>
        <w:jc w:val="both"/>
        <w:rPr>
          <w:rFonts w:eastAsia="Arial"/>
          <w:color w:val="000000" w:themeColor="text1"/>
          <w:sz w:val="24"/>
          <w:szCs w:val="24"/>
        </w:rPr>
      </w:pPr>
    </w:p>
    <w:p w14:paraId="0EA5A00E" w14:textId="77777777" w:rsidR="00DA6739" w:rsidRDefault="00DA6739" w:rsidP="5B843AF0">
      <w:pPr>
        <w:ind w:right="237"/>
        <w:jc w:val="both"/>
        <w:rPr>
          <w:rFonts w:eastAsia="Arial"/>
          <w:color w:val="000000" w:themeColor="text1"/>
          <w:sz w:val="24"/>
          <w:szCs w:val="24"/>
        </w:rPr>
      </w:pPr>
    </w:p>
    <w:p w14:paraId="4B9E6355" w14:textId="77777777" w:rsidR="00DA6739" w:rsidRDefault="00DA6739" w:rsidP="5B843AF0">
      <w:pPr>
        <w:ind w:right="237"/>
        <w:jc w:val="both"/>
        <w:rPr>
          <w:rFonts w:eastAsia="Arial"/>
          <w:color w:val="000000" w:themeColor="text1"/>
          <w:sz w:val="24"/>
          <w:szCs w:val="24"/>
        </w:rPr>
      </w:pPr>
    </w:p>
    <w:p w14:paraId="6E35B178" w14:textId="77777777" w:rsidR="00DA6739" w:rsidRDefault="00DA6739" w:rsidP="5B843AF0">
      <w:pPr>
        <w:ind w:right="237"/>
        <w:jc w:val="both"/>
        <w:rPr>
          <w:rFonts w:eastAsia="Arial"/>
          <w:color w:val="000000" w:themeColor="text1"/>
          <w:sz w:val="24"/>
          <w:szCs w:val="24"/>
        </w:rPr>
      </w:pPr>
    </w:p>
    <w:p w14:paraId="4772A3A7" w14:textId="77777777" w:rsidR="00DA6739" w:rsidRDefault="00DA6739" w:rsidP="5B843AF0">
      <w:pPr>
        <w:ind w:right="237"/>
        <w:jc w:val="both"/>
        <w:rPr>
          <w:rFonts w:eastAsia="Arial"/>
          <w:color w:val="000000" w:themeColor="text1"/>
          <w:sz w:val="24"/>
          <w:szCs w:val="24"/>
        </w:rPr>
      </w:pPr>
    </w:p>
    <w:p w14:paraId="6F1CCC2A" w14:textId="77777777" w:rsidR="00DA6739" w:rsidRPr="00E676F7" w:rsidRDefault="00DA6739" w:rsidP="5B843AF0">
      <w:pPr>
        <w:ind w:right="237"/>
        <w:jc w:val="both"/>
        <w:rPr>
          <w:rFonts w:eastAsia="Arial"/>
          <w:color w:val="000000" w:themeColor="text1"/>
          <w:sz w:val="24"/>
          <w:szCs w:val="24"/>
        </w:rPr>
      </w:pPr>
    </w:p>
    <w:p w14:paraId="4EABAE6C" w14:textId="2B4F3C27" w:rsidR="00211695" w:rsidRDefault="00211695" w:rsidP="00211695">
      <w:pPr>
        <w:overflowPunct/>
        <w:autoSpaceDE/>
        <w:autoSpaceDN/>
        <w:adjustRightInd/>
        <w:textAlignment w:val="auto"/>
        <w:rPr>
          <w:b/>
          <w:bCs/>
          <w:sz w:val="24"/>
          <w:szCs w:val="24"/>
        </w:rPr>
      </w:pPr>
    </w:p>
    <w:p w14:paraId="7DA56309" w14:textId="77777777" w:rsidR="00D12D3C" w:rsidRDefault="00D12D3C" w:rsidP="00211695">
      <w:pPr>
        <w:ind w:right="237"/>
        <w:jc w:val="center"/>
        <w:rPr>
          <w:b/>
          <w:bCs/>
          <w:sz w:val="24"/>
          <w:szCs w:val="24"/>
        </w:rPr>
      </w:pPr>
    </w:p>
    <w:p w14:paraId="58751063" w14:textId="5E7D07E9"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46FC4824" w14:textId="77777777" w:rsidR="009910F2" w:rsidRDefault="009910F2" w:rsidP="009370AE">
      <w:pPr>
        <w:ind w:right="237"/>
        <w:jc w:val="both"/>
        <w:rPr>
          <w:b/>
          <w:bCs/>
          <w:color w:val="000000" w:themeColor="text1"/>
          <w:sz w:val="28"/>
          <w:szCs w:val="28"/>
        </w:rPr>
      </w:pPr>
    </w:p>
    <w:p w14:paraId="3A4E2849" w14:textId="77777777" w:rsidR="00CE428C" w:rsidRDefault="00CE428C" w:rsidP="009370AE">
      <w:pPr>
        <w:ind w:right="237"/>
        <w:jc w:val="both"/>
        <w:rPr>
          <w:b/>
          <w:bCs/>
          <w:color w:val="000000" w:themeColor="text1"/>
          <w:sz w:val="28"/>
          <w:szCs w:val="28"/>
        </w:rPr>
      </w:pPr>
    </w:p>
    <w:p w14:paraId="688D2996" w14:textId="77777777" w:rsidR="00313D80" w:rsidRDefault="00313D80"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47BFE74A" w14:textId="77777777" w:rsidR="005852AE" w:rsidRDefault="005852AE" w:rsidP="009370AE">
      <w:pPr>
        <w:ind w:right="237"/>
        <w:jc w:val="both"/>
        <w:rPr>
          <w:b/>
          <w:bCs/>
          <w:color w:val="000000" w:themeColor="text1"/>
          <w:sz w:val="28"/>
          <w:szCs w:val="28"/>
        </w:rPr>
      </w:pPr>
    </w:p>
    <w:p w14:paraId="5BEEA2AC" w14:textId="77777777" w:rsidR="005852AE" w:rsidRDefault="005852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994C7" w14:textId="77777777" w:rsidR="00A311AB" w:rsidRDefault="00A311AB">
      <w:r>
        <w:separator/>
      </w:r>
    </w:p>
  </w:endnote>
  <w:endnote w:type="continuationSeparator" w:id="0">
    <w:p w14:paraId="07EC5EFF" w14:textId="77777777" w:rsidR="00A311AB" w:rsidRDefault="00A311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85A5F" w14:textId="77777777" w:rsidR="00A311AB" w:rsidRDefault="00A311AB">
      <w:r>
        <w:separator/>
      </w:r>
    </w:p>
  </w:footnote>
  <w:footnote w:type="continuationSeparator" w:id="0">
    <w:p w14:paraId="640CD44C" w14:textId="77777777" w:rsidR="00A311AB" w:rsidRDefault="00A311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2405E82"/>
    <w:multiLevelType w:val="hybridMultilevel"/>
    <w:tmpl w:val="AA24CA9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9"/>
  </w:num>
  <w:num w:numId="12" w16cid:durableId="232394586">
    <w:abstractNumId w:val="34"/>
  </w:num>
  <w:num w:numId="13" w16cid:durableId="1039740215">
    <w:abstractNumId w:val="17"/>
  </w:num>
  <w:num w:numId="14" w16cid:durableId="1170288507">
    <w:abstractNumId w:val="16"/>
  </w:num>
  <w:num w:numId="15" w16cid:durableId="456804283">
    <w:abstractNumId w:val="27"/>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8"/>
  </w:num>
  <w:num w:numId="26" w16cid:durableId="236403065">
    <w:abstractNumId w:val="19"/>
  </w:num>
  <w:num w:numId="27" w16cid:durableId="1573000687">
    <w:abstractNumId w:val="41"/>
  </w:num>
  <w:num w:numId="28" w16cid:durableId="66197777">
    <w:abstractNumId w:val="36"/>
  </w:num>
  <w:num w:numId="29" w16cid:durableId="1127815727">
    <w:abstractNumId w:val="40"/>
  </w:num>
  <w:num w:numId="30" w16cid:durableId="1139540040">
    <w:abstractNumId w:val="20"/>
  </w:num>
  <w:num w:numId="31" w16cid:durableId="34090301">
    <w:abstractNumId w:val="43"/>
  </w:num>
  <w:num w:numId="32" w16cid:durableId="222646112">
    <w:abstractNumId w:val="32"/>
  </w:num>
  <w:num w:numId="33" w16cid:durableId="2043940194">
    <w:abstractNumId w:val="12"/>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9"/>
  </w:num>
  <w:num w:numId="49" w16cid:durableId="54592622">
    <w:abstractNumId w:val="49"/>
  </w:num>
  <w:num w:numId="50" w16cid:durableId="2076775970">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3C17"/>
    <w:rsid w:val="00045B87"/>
    <w:rsid w:val="00045C07"/>
    <w:rsid w:val="00055D43"/>
    <w:rsid w:val="00056FAC"/>
    <w:rsid w:val="00057751"/>
    <w:rsid w:val="00062E39"/>
    <w:rsid w:val="0006580E"/>
    <w:rsid w:val="000749A3"/>
    <w:rsid w:val="0007689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A6245"/>
    <w:rsid w:val="000A7EBA"/>
    <w:rsid w:val="000B1E96"/>
    <w:rsid w:val="000B44E8"/>
    <w:rsid w:val="000C378F"/>
    <w:rsid w:val="000C6892"/>
    <w:rsid w:val="000C6FFE"/>
    <w:rsid w:val="000D0BB6"/>
    <w:rsid w:val="000D793E"/>
    <w:rsid w:val="000E26B0"/>
    <w:rsid w:val="000F1599"/>
    <w:rsid w:val="000F1769"/>
    <w:rsid w:val="000F6196"/>
    <w:rsid w:val="000F7ECD"/>
    <w:rsid w:val="00102E64"/>
    <w:rsid w:val="0010312C"/>
    <w:rsid w:val="00104657"/>
    <w:rsid w:val="0010580D"/>
    <w:rsid w:val="00106DC7"/>
    <w:rsid w:val="00112391"/>
    <w:rsid w:val="00114F52"/>
    <w:rsid w:val="0012135C"/>
    <w:rsid w:val="00130E83"/>
    <w:rsid w:val="001347F8"/>
    <w:rsid w:val="00137BB5"/>
    <w:rsid w:val="00137E05"/>
    <w:rsid w:val="001447F6"/>
    <w:rsid w:val="00147DE3"/>
    <w:rsid w:val="00150794"/>
    <w:rsid w:val="001608C4"/>
    <w:rsid w:val="00171418"/>
    <w:rsid w:val="0018200C"/>
    <w:rsid w:val="00190913"/>
    <w:rsid w:val="001961CF"/>
    <w:rsid w:val="001A0451"/>
    <w:rsid w:val="001A59BB"/>
    <w:rsid w:val="001A6A51"/>
    <w:rsid w:val="001A79C4"/>
    <w:rsid w:val="001B2F44"/>
    <w:rsid w:val="001B331A"/>
    <w:rsid w:val="001C0E74"/>
    <w:rsid w:val="001C6CEC"/>
    <w:rsid w:val="001D229F"/>
    <w:rsid w:val="001D2DD9"/>
    <w:rsid w:val="001D6162"/>
    <w:rsid w:val="001E6FAD"/>
    <w:rsid w:val="001E7592"/>
    <w:rsid w:val="001F3878"/>
    <w:rsid w:val="001F4552"/>
    <w:rsid w:val="001F736B"/>
    <w:rsid w:val="002019EB"/>
    <w:rsid w:val="002030F2"/>
    <w:rsid w:val="00205028"/>
    <w:rsid w:val="00205051"/>
    <w:rsid w:val="00211695"/>
    <w:rsid w:val="00211F65"/>
    <w:rsid w:val="00213A97"/>
    <w:rsid w:val="0022001B"/>
    <w:rsid w:val="00220D06"/>
    <w:rsid w:val="002219BA"/>
    <w:rsid w:val="002246A0"/>
    <w:rsid w:val="00224AF9"/>
    <w:rsid w:val="00230439"/>
    <w:rsid w:val="00233356"/>
    <w:rsid w:val="00235176"/>
    <w:rsid w:val="00236061"/>
    <w:rsid w:val="0024100E"/>
    <w:rsid w:val="00241C1B"/>
    <w:rsid w:val="002423B2"/>
    <w:rsid w:val="0024288B"/>
    <w:rsid w:val="00255D8E"/>
    <w:rsid w:val="002657E9"/>
    <w:rsid w:val="0026665E"/>
    <w:rsid w:val="00270EEB"/>
    <w:rsid w:val="00270EFB"/>
    <w:rsid w:val="0027147E"/>
    <w:rsid w:val="00274DE8"/>
    <w:rsid w:val="002761F4"/>
    <w:rsid w:val="002775E1"/>
    <w:rsid w:val="00277979"/>
    <w:rsid w:val="002808EB"/>
    <w:rsid w:val="0028095D"/>
    <w:rsid w:val="00281CA4"/>
    <w:rsid w:val="00291ADD"/>
    <w:rsid w:val="00294868"/>
    <w:rsid w:val="00295CA1"/>
    <w:rsid w:val="002A11F9"/>
    <w:rsid w:val="002A291A"/>
    <w:rsid w:val="002A5604"/>
    <w:rsid w:val="002B1701"/>
    <w:rsid w:val="002B23C3"/>
    <w:rsid w:val="002B443A"/>
    <w:rsid w:val="002B5B35"/>
    <w:rsid w:val="002C256A"/>
    <w:rsid w:val="002C496D"/>
    <w:rsid w:val="002D05EB"/>
    <w:rsid w:val="002D25E7"/>
    <w:rsid w:val="002D2F29"/>
    <w:rsid w:val="002D2FD3"/>
    <w:rsid w:val="002D5D45"/>
    <w:rsid w:val="002E7017"/>
    <w:rsid w:val="002F4F6E"/>
    <w:rsid w:val="003015C3"/>
    <w:rsid w:val="00306819"/>
    <w:rsid w:val="0030698D"/>
    <w:rsid w:val="0031350A"/>
    <w:rsid w:val="00313D80"/>
    <w:rsid w:val="00316815"/>
    <w:rsid w:val="003168CA"/>
    <w:rsid w:val="00321255"/>
    <w:rsid w:val="0032230D"/>
    <w:rsid w:val="00322A0B"/>
    <w:rsid w:val="00332F54"/>
    <w:rsid w:val="00335FC5"/>
    <w:rsid w:val="00340E9A"/>
    <w:rsid w:val="003516C0"/>
    <w:rsid w:val="00352E59"/>
    <w:rsid w:val="00353331"/>
    <w:rsid w:val="00354DBE"/>
    <w:rsid w:val="00355210"/>
    <w:rsid w:val="003555D5"/>
    <w:rsid w:val="00365DF9"/>
    <w:rsid w:val="0036668D"/>
    <w:rsid w:val="00372DB4"/>
    <w:rsid w:val="0037322A"/>
    <w:rsid w:val="0037490C"/>
    <w:rsid w:val="00375AF5"/>
    <w:rsid w:val="003761BD"/>
    <w:rsid w:val="003769F6"/>
    <w:rsid w:val="00385414"/>
    <w:rsid w:val="00390074"/>
    <w:rsid w:val="00394EC2"/>
    <w:rsid w:val="0039762B"/>
    <w:rsid w:val="003A0C37"/>
    <w:rsid w:val="003A1B6B"/>
    <w:rsid w:val="003A2F82"/>
    <w:rsid w:val="003A46C0"/>
    <w:rsid w:val="003A541A"/>
    <w:rsid w:val="003A600E"/>
    <w:rsid w:val="003A6513"/>
    <w:rsid w:val="003B16C7"/>
    <w:rsid w:val="003C19F1"/>
    <w:rsid w:val="003C4186"/>
    <w:rsid w:val="003C458C"/>
    <w:rsid w:val="003C6185"/>
    <w:rsid w:val="003D0D2D"/>
    <w:rsid w:val="003D4710"/>
    <w:rsid w:val="003E16D7"/>
    <w:rsid w:val="003E197E"/>
    <w:rsid w:val="003F5234"/>
    <w:rsid w:val="004046F0"/>
    <w:rsid w:val="0040668F"/>
    <w:rsid w:val="00412677"/>
    <w:rsid w:val="00417925"/>
    <w:rsid w:val="004348AE"/>
    <w:rsid w:val="00435E9A"/>
    <w:rsid w:val="004376C0"/>
    <w:rsid w:val="0044115F"/>
    <w:rsid w:val="0044223A"/>
    <w:rsid w:val="00446792"/>
    <w:rsid w:val="00446F80"/>
    <w:rsid w:val="004505AB"/>
    <w:rsid w:val="00450C83"/>
    <w:rsid w:val="00451851"/>
    <w:rsid w:val="00453343"/>
    <w:rsid w:val="004608B9"/>
    <w:rsid w:val="00460ADB"/>
    <w:rsid w:val="00465947"/>
    <w:rsid w:val="004672C1"/>
    <w:rsid w:val="004701A5"/>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3222"/>
    <w:rsid w:val="00536FA9"/>
    <w:rsid w:val="005414F4"/>
    <w:rsid w:val="00543D89"/>
    <w:rsid w:val="00546187"/>
    <w:rsid w:val="005463F1"/>
    <w:rsid w:val="00557D77"/>
    <w:rsid w:val="00562EAA"/>
    <w:rsid w:val="00563B58"/>
    <w:rsid w:val="005640C4"/>
    <w:rsid w:val="00564C53"/>
    <w:rsid w:val="0056684C"/>
    <w:rsid w:val="00567467"/>
    <w:rsid w:val="00574A0C"/>
    <w:rsid w:val="00576E4C"/>
    <w:rsid w:val="0057780F"/>
    <w:rsid w:val="00581BA9"/>
    <w:rsid w:val="00581E0A"/>
    <w:rsid w:val="00582870"/>
    <w:rsid w:val="005852AE"/>
    <w:rsid w:val="00586D89"/>
    <w:rsid w:val="005916B8"/>
    <w:rsid w:val="00593D00"/>
    <w:rsid w:val="005A1B4C"/>
    <w:rsid w:val="005A1BA3"/>
    <w:rsid w:val="005A545C"/>
    <w:rsid w:val="005B75EF"/>
    <w:rsid w:val="005C1567"/>
    <w:rsid w:val="005C6CE5"/>
    <w:rsid w:val="005C76DE"/>
    <w:rsid w:val="005D3F07"/>
    <w:rsid w:val="005D583E"/>
    <w:rsid w:val="005E13EA"/>
    <w:rsid w:val="005E53BD"/>
    <w:rsid w:val="005F644E"/>
    <w:rsid w:val="00606E27"/>
    <w:rsid w:val="006108C9"/>
    <w:rsid w:val="00615C7E"/>
    <w:rsid w:val="00620C79"/>
    <w:rsid w:val="0062158D"/>
    <w:rsid w:val="00630F39"/>
    <w:rsid w:val="00632008"/>
    <w:rsid w:val="006326D1"/>
    <w:rsid w:val="00632E0A"/>
    <w:rsid w:val="00633165"/>
    <w:rsid w:val="00636AC8"/>
    <w:rsid w:val="00636B6C"/>
    <w:rsid w:val="006447DE"/>
    <w:rsid w:val="0065276E"/>
    <w:rsid w:val="00654329"/>
    <w:rsid w:val="00654CEC"/>
    <w:rsid w:val="00655507"/>
    <w:rsid w:val="006712A7"/>
    <w:rsid w:val="006733CC"/>
    <w:rsid w:val="00674FC2"/>
    <w:rsid w:val="00677E42"/>
    <w:rsid w:val="00682334"/>
    <w:rsid w:val="00682466"/>
    <w:rsid w:val="00684B16"/>
    <w:rsid w:val="00694C00"/>
    <w:rsid w:val="00696F65"/>
    <w:rsid w:val="006A7A6D"/>
    <w:rsid w:val="006B5E67"/>
    <w:rsid w:val="006C1D62"/>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08E2"/>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24A3"/>
    <w:rsid w:val="007D3EB4"/>
    <w:rsid w:val="007D3F16"/>
    <w:rsid w:val="007D78CC"/>
    <w:rsid w:val="007E48E7"/>
    <w:rsid w:val="007F3F7E"/>
    <w:rsid w:val="007F5497"/>
    <w:rsid w:val="0080576E"/>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F08"/>
    <w:rsid w:val="00880539"/>
    <w:rsid w:val="00882EC8"/>
    <w:rsid w:val="008859E8"/>
    <w:rsid w:val="0088737B"/>
    <w:rsid w:val="00892716"/>
    <w:rsid w:val="00893067"/>
    <w:rsid w:val="008933DE"/>
    <w:rsid w:val="00895FCE"/>
    <w:rsid w:val="00897F3E"/>
    <w:rsid w:val="008A086B"/>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69E"/>
    <w:rsid w:val="00920E5B"/>
    <w:rsid w:val="009249F8"/>
    <w:rsid w:val="00924C85"/>
    <w:rsid w:val="00926436"/>
    <w:rsid w:val="0093018C"/>
    <w:rsid w:val="00932CCA"/>
    <w:rsid w:val="009370AE"/>
    <w:rsid w:val="009544C0"/>
    <w:rsid w:val="00954FA4"/>
    <w:rsid w:val="00956AE9"/>
    <w:rsid w:val="00964CC6"/>
    <w:rsid w:val="0096744F"/>
    <w:rsid w:val="00974321"/>
    <w:rsid w:val="009910F2"/>
    <w:rsid w:val="00991FDA"/>
    <w:rsid w:val="009927A1"/>
    <w:rsid w:val="0099774D"/>
    <w:rsid w:val="009A310E"/>
    <w:rsid w:val="009A5F3B"/>
    <w:rsid w:val="009B0B61"/>
    <w:rsid w:val="009B28C0"/>
    <w:rsid w:val="009B395A"/>
    <w:rsid w:val="009B7136"/>
    <w:rsid w:val="009B7806"/>
    <w:rsid w:val="009C352A"/>
    <w:rsid w:val="009C3AC2"/>
    <w:rsid w:val="009D4365"/>
    <w:rsid w:val="009D4E3B"/>
    <w:rsid w:val="009D7BC9"/>
    <w:rsid w:val="009E0C5A"/>
    <w:rsid w:val="009E1982"/>
    <w:rsid w:val="009E4D2C"/>
    <w:rsid w:val="009E6CF4"/>
    <w:rsid w:val="009F0978"/>
    <w:rsid w:val="009F3AEC"/>
    <w:rsid w:val="00A00081"/>
    <w:rsid w:val="00A015F7"/>
    <w:rsid w:val="00A10D56"/>
    <w:rsid w:val="00A12AAE"/>
    <w:rsid w:val="00A16DD1"/>
    <w:rsid w:val="00A204BB"/>
    <w:rsid w:val="00A221AB"/>
    <w:rsid w:val="00A22441"/>
    <w:rsid w:val="00A23F3B"/>
    <w:rsid w:val="00A24406"/>
    <w:rsid w:val="00A25F64"/>
    <w:rsid w:val="00A27CC2"/>
    <w:rsid w:val="00A311A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5769"/>
    <w:rsid w:val="00A906AA"/>
    <w:rsid w:val="00A94C5E"/>
    <w:rsid w:val="00AA0559"/>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4856"/>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533B"/>
    <w:rsid w:val="00BA7FF1"/>
    <w:rsid w:val="00BB06CB"/>
    <w:rsid w:val="00BB261F"/>
    <w:rsid w:val="00BB2887"/>
    <w:rsid w:val="00BB5EAA"/>
    <w:rsid w:val="00BB5F11"/>
    <w:rsid w:val="00BC0401"/>
    <w:rsid w:val="00BC04FA"/>
    <w:rsid w:val="00BC0B60"/>
    <w:rsid w:val="00BC1C22"/>
    <w:rsid w:val="00BC460B"/>
    <w:rsid w:val="00BC5725"/>
    <w:rsid w:val="00BD30B1"/>
    <w:rsid w:val="00BE0F7B"/>
    <w:rsid w:val="00BE10C2"/>
    <w:rsid w:val="00BF1BE0"/>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47CC"/>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5FC7"/>
    <w:rsid w:val="00CD5D3F"/>
    <w:rsid w:val="00CE428C"/>
    <w:rsid w:val="00CF05C3"/>
    <w:rsid w:val="00CF1E90"/>
    <w:rsid w:val="00CF3DB3"/>
    <w:rsid w:val="00D03749"/>
    <w:rsid w:val="00D052BC"/>
    <w:rsid w:val="00D07026"/>
    <w:rsid w:val="00D07BAB"/>
    <w:rsid w:val="00D11C62"/>
    <w:rsid w:val="00D12D3C"/>
    <w:rsid w:val="00D22C0C"/>
    <w:rsid w:val="00D22C8F"/>
    <w:rsid w:val="00D33491"/>
    <w:rsid w:val="00D44F8E"/>
    <w:rsid w:val="00D44FD0"/>
    <w:rsid w:val="00D533D2"/>
    <w:rsid w:val="00D5733C"/>
    <w:rsid w:val="00D607EF"/>
    <w:rsid w:val="00D60BFC"/>
    <w:rsid w:val="00D60F88"/>
    <w:rsid w:val="00D625E7"/>
    <w:rsid w:val="00D646BD"/>
    <w:rsid w:val="00D70239"/>
    <w:rsid w:val="00D71201"/>
    <w:rsid w:val="00D720C7"/>
    <w:rsid w:val="00D72477"/>
    <w:rsid w:val="00D77A04"/>
    <w:rsid w:val="00D81D06"/>
    <w:rsid w:val="00D8652C"/>
    <w:rsid w:val="00D876E6"/>
    <w:rsid w:val="00DA1025"/>
    <w:rsid w:val="00DA22EC"/>
    <w:rsid w:val="00DA5860"/>
    <w:rsid w:val="00DA6739"/>
    <w:rsid w:val="00DB2767"/>
    <w:rsid w:val="00DC037F"/>
    <w:rsid w:val="00DC08B3"/>
    <w:rsid w:val="00DC4729"/>
    <w:rsid w:val="00DE556F"/>
    <w:rsid w:val="00E03B6D"/>
    <w:rsid w:val="00E0649E"/>
    <w:rsid w:val="00E16ACD"/>
    <w:rsid w:val="00E17160"/>
    <w:rsid w:val="00E211BF"/>
    <w:rsid w:val="00E22104"/>
    <w:rsid w:val="00E35BEC"/>
    <w:rsid w:val="00E50821"/>
    <w:rsid w:val="00E50EF8"/>
    <w:rsid w:val="00E51F91"/>
    <w:rsid w:val="00E5234D"/>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5D12"/>
    <w:rsid w:val="00F01F92"/>
    <w:rsid w:val="00F10A08"/>
    <w:rsid w:val="00F139CF"/>
    <w:rsid w:val="00F16D40"/>
    <w:rsid w:val="00F22AC5"/>
    <w:rsid w:val="00F254D1"/>
    <w:rsid w:val="00F32B82"/>
    <w:rsid w:val="00F4043E"/>
    <w:rsid w:val="00F40CB5"/>
    <w:rsid w:val="00F41BBC"/>
    <w:rsid w:val="00F43B9D"/>
    <w:rsid w:val="00F444F0"/>
    <w:rsid w:val="00F50847"/>
    <w:rsid w:val="00F50CD6"/>
    <w:rsid w:val="00F53F27"/>
    <w:rsid w:val="00F546D1"/>
    <w:rsid w:val="00F55409"/>
    <w:rsid w:val="00F6513F"/>
    <w:rsid w:val="00F65534"/>
    <w:rsid w:val="00F66272"/>
    <w:rsid w:val="00F6ACA0"/>
    <w:rsid w:val="00F709C0"/>
    <w:rsid w:val="00F8610A"/>
    <w:rsid w:val="00F927A1"/>
    <w:rsid w:val="00F92E4D"/>
    <w:rsid w:val="00F94392"/>
    <w:rsid w:val="00FA348B"/>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73A0"/>
    <w:rsid w:val="00FF0070"/>
    <w:rsid w:val="00FF31EC"/>
    <w:rsid w:val="00FF363E"/>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0A005692-6178-4751-BA22-2A90D8316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7808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198900">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976986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235605">
      <w:bodyDiv w:val="1"/>
      <w:marLeft w:val="0"/>
      <w:marRight w:val="0"/>
      <w:marTop w:val="0"/>
      <w:marBottom w:val="0"/>
      <w:divBdr>
        <w:top w:val="none" w:sz="0" w:space="0" w:color="auto"/>
        <w:left w:val="none" w:sz="0" w:space="0" w:color="auto"/>
        <w:bottom w:val="none" w:sz="0" w:space="0" w:color="auto"/>
        <w:right w:val="none" w:sz="0" w:space="0" w:color="auto"/>
      </w:divBdr>
    </w:div>
    <w:div w:id="1264386500">
      <w:bodyDiv w:val="1"/>
      <w:marLeft w:val="0"/>
      <w:marRight w:val="0"/>
      <w:marTop w:val="0"/>
      <w:marBottom w:val="0"/>
      <w:divBdr>
        <w:top w:val="none" w:sz="0" w:space="0" w:color="auto"/>
        <w:left w:val="none" w:sz="0" w:space="0" w:color="auto"/>
        <w:bottom w:val="none" w:sz="0" w:space="0" w:color="auto"/>
        <w:right w:val="none" w:sz="0" w:space="0" w:color="auto"/>
      </w:divBdr>
    </w:div>
    <w:div w:id="1273440745">
      <w:bodyDiv w:val="1"/>
      <w:marLeft w:val="0"/>
      <w:marRight w:val="0"/>
      <w:marTop w:val="0"/>
      <w:marBottom w:val="0"/>
      <w:divBdr>
        <w:top w:val="none" w:sz="0" w:space="0" w:color="auto"/>
        <w:left w:val="none" w:sz="0" w:space="0" w:color="auto"/>
        <w:bottom w:val="none" w:sz="0" w:space="0" w:color="auto"/>
        <w:right w:val="none" w:sz="0" w:space="0" w:color="auto"/>
      </w:divBdr>
    </w:div>
    <w:div w:id="140602642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6508526">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0731628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9</Pages>
  <Words>1522</Words>
  <Characters>9693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Ryan,Laura swp8790</cp:lastModifiedBy>
  <cp:revision>37</cp:revision>
  <cp:lastPrinted>2014-08-26T08:55:00Z</cp:lastPrinted>
  <dcterms:created xsi:type="dcterms:W3CDTF">2025-06-02T18:45:00Z</dcterms:created>
  <dcterms:modified xsi:type="dcterms:W3CDTF">2025-06-02T21:25:00Z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