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651594B" w14:textId="77777777" w:rsidR="00B7362C" w:rsidRDefault="00B7362C" w:rsidP="00B7362C">
            <w:pPr>
              <w:ind w:right="-957"/>
              <w:rPr>
                <w:rFonts w:ascii="Times New Roman" w:hAnsi="Times New Roman" w:cs="Times New Roman"/>
                <w:b/>
                <w:sz w:val="48"/>
              </w:rPr>
            </w:pPr>
            <w:r>
              <w:rPr>
                <w:rFonts w:ascii="Times New Roman" w:hAnsi="Times New Roman" w:cs="Times New Roman"/>
                <w:b/>
                <w:sz w:val="48"/>
              </w:rPr>
              <w:t xml:space="preserve">Learner’s name: Lowri Jenkins </w:t>
            </w:r>
          </w:p>
          <w:p w14:paraId="39DB7F91" w14:textId="77777777" w:rsidR="00B7362C" w:rsidRDefault="00B7362C" w:rsidP="00B7362C">
            <w:pPr>
              <w:ind w:right="-957"/>
              <w:rPr>
                <w:rFonts w:ascii="Times New Roman" w:hAnsi="Times New Roman" w:cs="Times New Roman"/>
                <w:b/>
                <w:sz w:val="48"/>
              </w:rPr>
            </w:pPr>
          </w:p>
          <w:p w14:paraId="34B9B80A" w14:textId="77777777" w:rsidR="00B7362C" w:rsidRDefault="00B7362C" w:rsidP="00B7362C">
            <w:pPr>
              <w:ind w:right="-957"/>
              <w:rPr>
                <w:rFonts w:ascii="Times New Roman" w:hAnsi="Times New Roman" w:cs="Times New Roman"/>
                <w:b/>
                <w:sz w:val="48"/>
              </w:rPr>
            </w:pPr>
            <w:r>
              <w:rPr>
                <w:rFonts w:ascii="Times New Roman" w:hAnsi="Times New Roman" w:cs="Times New Roman"/>
                <w:b/>
                <w:sz w:val="48"/>
              </w:rPr>
              <w:t xml:space="preserve">Email address: </w:t>
            </w:r>
            <w:hyperlink r:id="rId12" w:history="1">
              <w:r w:rsidRPr="005414F3">
                <w:rPr>
                  <w:rStyle w:val="Hyperlink"/>
                  <w:rFonts w:ascii="Times New Roman" w:hAnsi="Times New Roman" w:cs="Times New Roman"/>
                  <w:b/>
                  <w:sz w:val="48"/>
                </w:rPr>
                <w:t>2418504@student.uwtsd.ac.uk</w:t>
              </w:r>
            </w:hyperlink>
            <w:r>
              <w:rPr>
                <w:rFonts w:ascii="Times New Roman" w:hAnsi="Times New Roman" w:cs="Times New Roman"/>
                <w:b/>
                <w:sz w:val="48"/>
              </w:rPr>
              <w:t xml:space="preserve"> </w:t>
            </w:r>
          </w:p>
          <w:p w14:paraId="53D633B8" w14:textId="77777777" w:rsidR="00B7362C" w:rsidRDefault="00B7362C" w:rsidP="00B7362C">
            <w:pPr>
              <w:ind w:right="-957"/>
              <w:rPr>
                <w:rFonts w:ascii="Times New Roman" w:hAnsi="Times New Roman" w:cs="Times New Roman"/>
                <w:b/>
                <w:sz w:val="48"/>
              </w:rPr>
            </w:pPr>
          </w:p>
          <w:p w14:paraId="4EA8EE31" w14:textId="77777777" w:rsidR="0046295E" w:rsidRDefault="00B7362C" w:rsidP="00B7362C">
            <w:pPr>
              <w:overflowPunct/>
              <w:autoSpaceDE/>
              <w:autoSpaceDN/>
              <w:adjustRightInd/>
              <w:ind w:right="-957"/>
              <w:textAlignment w:val="auto"/>
              <w:rPr>
                <w:rFonts w:ascii="Times New Roman" w:hAnsi="Times New Roman" w:cs="Times New Roman"/>
                <w:b/>
                <w:sz w:val="48"/>
              </w:rPr>
            </w:pPr>
            <w:r w:rsidRPr="005D3F07">
              <w:rPr>
                <w:rFonts w:ascii="Times New Roman" w:hAnsi="Times New Roman" w:cs="Times New Roman"/>
                <w:b/>
                <w:sz w:val="48"/>
              </w:rPr>
              <w:t>Learner’s University Registration Number:</w:t>
            </w:r>
          </w:p>
          <w:p w14:paraId="0DE696B2" w14:textId="41C6B1FB" w:rsidR="00F927A1" w:rsidRPr="005D3F07" w:rsidRDefault="00B7362C" w:rsidP="00B7362C">
            <w:pPr>
              <w:overflowPunct/>
              <w:autoSpaceDE/>
              <w:autoSpaceDN/>
              <w:adjustRightInd/>
              <w:ind w:right="-957"/>
              <w:textAlignment w:val="auto"/>
              <w:rPr>
                <w:rFonts w:ascii="Times New Roman" w:hAnsi="Times New Roman" w:cs="Times New Roman"/>
                <w:b/>
                <w:color w:val="auto"/>
                <w:sz w:val="48"/>
              </w:rPr>
            </w:pPr>
            <w:bookmarkStart w:id="0" w:name="_GoBack"/>
            <w:bookmarkEnd w:id="0"/>
            <w:r>
              <w:rPr>
                <w:rFonts w:ascii="Times New Roman" w:hAnsi="Times New Roman" w:cs="Times New Roman"/>
                <w:b/>
                <w:sz w:val="48"/>
              </w:rPr>
              <w:t xml:space="preserve"> 2418504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sz w:val="24"/>
                <w:szCs w:val="24"/>
              </w:rPr>
            </w:pPr>
          </w:p>
          <w:p w14:paraId="49F952CD" w14:textId="422444B5" w:rsidR="00B7362C" w:rsidRDefault="00B7362C" w:rsidP="00B7362C">
            <w:pPr>
              <w:spacing w:line="276" w:lineRule="auto"/>
              <w:rPr>
                <w:iCs/>
                <w:sz w:val="24"/>
                <w:szCs w:val="24"/>
              </w:rPr>
            </w:pPr>
            <w:r w:rsidRPr="001D0794">
              <w:rPr>
                <w:iCs/>
                <w:sz w:val="24"/>
                <w:szCs w:val="24"/>
              </w:rPr>
              <w:t xml:space="preserve">I am based within a statutory adult services network team, who work with individuals who require care and support above the age of 18. I am reflecting on my role within a safeguarding intervention, where I was assigned tasks to gather further information on an </w:t>
            </w:r>
            <w:r w:rsidR="00B8118B">
              <w:rPr>
                <w:iCs/>
                <w:sz w:val="24"/>
                <w:szCs w:val="24"/>
              </w:rPr>
              <w:t>individual</w:t>
            </w:r>
            <w:r w:rsidRPr="001D0794">
              <w:rPr>
                <w:iCs/>
                <w:sz w:val="24"/>
                <w:szCs w:val="24"/>
              </w:rPr>
              <w:t xml:space="preserve"> allocated to me following the District Nursing Team submitting an Adult At Risk referral. The referral alleged that the </w:t>
            </w:r>
            <w:r w:rsidR="00B8118B">
              <w:rPr>
                <w:iCs/>
                <w:sz w:val="24"/>
                <w:szCs w:val="24"/>
              </w:rPr>
              <w:t>individual</w:t>
            </w:r>
            <w:r w:rsidRPr="001D0794">
              <w:rPr>
                <w:iCs/>
                <w:sz w:val="24"/>
                <w:szCs w:val="24"/>
              </w:rPr>
              <w:t xml:space="preserve">’s informal carer (his wife), had provided unsafe care, that this had allegedly resulted in an injury which required medical treatment. The </w:t>
            </w:r>
            <w:r w:rsidR="00B8118B">
              <w:rPr>
                <w:iCs/>
                <w:sz w:val="24"/>
                <w:szCs w:val="24"/>
              </w:rPr>
              <w:t>individual</w:t>
            </w:r>
            <w:r w:rsidRPr="001D0794">
              <w:rPr>
                <w:iCs/>
                <w:sz w:val="24"/>
                <w:szCs w:val="24"/>
              </w:rPr>
              <w:t xml:space="preserve"> had multi-faceted health conditions, including dementia and physical health conditions which have resulted in him being unable to independently reposition or transfer – requiring assistance of two care staff to complete all tasks. This </w:t>
            </w:r>
            <w:r w:rsidR="00B8118B">
              <w:rPr>
                <w:iCs/>
                <w:sz w:val="24"/>
                <w:szCs w:val="24"/>
              </w:rPr>
              <w:t>individual</w:t>
            </w:r>
            <w:r w:rsidRPr="001D0794">
              <w:rPr>
                <w:iCs/>
                <w:sz w:val="24"/>
                <w:szCs w:val="24"/>
              </w:rPr>
              <w:t xml:space="preserve"> has also been assessed to lack capacity to make decisions in relation to his care and support needs under the </w:t>
            </w:r>
            <w:r w:rsidRPr="001D0794">
              <w:rPr>
                <w:i/>
                <w:iCs/>
                <w:sz w:val="24"/>
                <w:szCs w:val="24"/>
              </w:rPr>
              <w:t>Mental Capacity Act (MCA) 2005</w:t>
            </w:r>
            <w:r w:rsidRPr="001D0794">
              <w:rPr>
                <w:iCs/>
                <w:sz w:val="24"/>
                <w:szCs w:val="24"/>
              </w:rPr>
              <w:t xml:space="preserve">. </w:t>
            </w:r>
          </w:p>
          <w:p w14:paraId="13AA008B" w14:textId="77777777" w:rsidR="00B7362C" w:rsidRPr="001D0794" w:rsidRDefault="00B7362C" w:rsidP="00B7362C">
            <w:pPr>
              <w:spacing w:line="276" w:lineRule="auto"/>
              <w:rPr>
                <w:iCs/>
                <w:sz w:val="24"/>
                <w:szCs w:val="24"/>
              </w:rPr>
            </w:pPr>
          </w:p>
          <w:p w14:paraId="7CEA5CAF" w14:textId="77777777" w:rsidR="00B7362C" w:rsidRDefault="00B7362C" w:rsidP="00B7362C">
            <w:pPr>
              <w:spacing w:line="276" w:lineRule="auto"/>
              <w:ind w:firstLine="720"/>
              <w:rPr>
                <w:sz w:val="24"/>
                <w:szCs w:val="24"/>
              </w:rPr>
            </w:pPr>
            <w:r w:rsidRPr="001D0794">
              <w:rPr>
                <w:sz w:val="24"/>
                <w:szCs w:val="24"/>
              </w:rPr>
              <w:t xml:space="preserve">I will use the ‘Four F’s model to structure my critical reflection (Making Business Matter, 2023; </w:t>
            </w:r>
            <w:proofErr w:type="spellStart"/>
            <w:r w:rsidRPr="001D0794">
              <w:rPr>
                <w:sz w:val="24"/>
                <w:szCs w:val="24"/>
              </w:rPr>
              <w:t>Vaida</w:t>
            </w:r>
            <w:proofErr w:type="spellEnd"/>
            <w:r w:rsidRPr="001D0794">
              <w:rPr>
                <w:sz w:val="24"/>
                <w:szCs w:val="24"/>
              </w:rPr>
              <w:t xml:space="preserve">, </w:t>
            </w:r>
            <w:proofErr w:type="spellStart"/>
            <w:r w:rsidRPr="001D0794">
              <w:rPr>
                <w:sz w:val="24"/>
                <w:szCs w:val="24"/>
              </w:rPr>
              <w:t>Iepure</w:t>
            </w:r>
            <w:proofErr w:type="spellEnd"/>
            <w:r w:rsidRPr="001D0794">
              <w:rPr>
                <w:sz w:val="24"/>
                <w:szCs w:val="24"/>
              </w:rPr>
              <w:t xml:space="preserve"> and Greenaway, 2015; Greenaway, 1992-1993; University of Edinburgh, </w:t>
            </w:r>
            <w:proofErr w:type="spellStart"/>
            <w:r w:rsidRPr="001D0794">
              <w:rPr>
                <w:sz w:val="24"/>
                <w:szCs w:val="24"/>
              </w:rPr>
              <w:t>n.d</w:t>
            </w:r>
            <w:proofErr w:type="spellEnd"/>
            <w:r w:rsidRPr="001D0794">
              <w:rPr>
                <w:sz w:val="24"/>
                <w:szCs w:val="24"/>
              </w:rPr>
              <w:t>). As outlined by this literature the model is made of four parts; facts, feelings, findings and future which guides structured reflection on an experience. I find this model helpful as is aids my understanding and encourages personal or professional development through reflection.</w:t>
            </w:r>
          </w:p>
          <w:p w14:paraId="3FB4BC56" w14:textId="77777777" w:rsidR="00B7362C" w:rsidRPr="001D0794" w:rsidRDefault="00B7362C" w:rsidP="00B7362C">
            <w:pPr>
              <w:spacing w:line="276" w:lineRule="auto"/>
              <w:ind w:firstLine="720"/>
              <w:rPr>
                <w:iCs/>
                <w:sz w:val="24"/>
                <w:szCs w:val="24"/>
              </w:rPr>
            </w:pPr>
          </w:p>
          <w:p w14:paraId="45F29A16" w14:textId="1B01AFB7" w:rsidR="00B7362C" w:rsidRDefault="00B7362C" w:rsidP="00B7362C">
            <w:pPr>
              <w:spacing w:line="276" w:lineRule="auto"/>
              <w:ind w:firstLine="720"/>
              <w:rPr>
                <w:iCs/>
                <w:sz w:val="24"/>
                <w:szCs w:val="24"/>
              </w:rPr>
            </w:pPr>
            <w:r w:rsidRPr="001D0794">
              <w:rPr>
                <w:iCs/>
                <w:sz w:val="24"/>
                <w:szCs w:val="24"/>
              </w:rPr>
              <w:t>My role would be completed by me undertaking a joint visit with the lead district nurse to discuss the incident with the family to then feedback to the safeguarding social worker with my views on the risk management. This information would feed into the lead safeguarding social worker’s decision as to whether this incident should escalate to require a strategy meeting and section 126 enquiries under the S</w:t>
            </w:r>
            <w:r w:rsidRPr="001D0794">
              <w:rPr>
                <w:i/>
                <w:iCs/>
                <w:sz w:val="24"/>
                <w:szCs w:val="24"/>
              </w:rPr>
              <w:t>ocial Services and Wellbeing (Wales) Act (SSWWA) 2014</w:t>
            </w:r>
            <w:r w:rsidRPr="001D0794">
              <w:rPr>
                <w:iCs/>
                <w:sz w:val="24"/>
                <w:szCs w:val="24"/>
              </w:rPr>
              <w:t xml:space="preserve">. Section 126 enquires under the </w:t>
            </w:r>
            <w:r w:rsidRPr="001D0794">
              <w:rPr>
                <w:i/>
                <w:iCs/>
                <w:sz w:val="24"/>
                <w:szCs w:val="24"/>
              </w:rPr>
              <w:t>SSWWA 2014</w:t>
            </w:r>
            <w:r w:rsidRPr="001D0794">
              <w:rPr>
                <w:iCs/>
                <w:sz w:val="24"/>
                <w:szCs w:val="24"/>
              </w:rPr>
              <w:t xml:space="preserve"> are the duties on local authorities to make enquires should they have reasonable cause to suspect an adult is at risk of abuse of neglect.  Had it been necessary, as the </w:t>
            </w:r>
            <w:r w:rsidR="00B8118B">
              <w:rPr>
                <w:iCs/>
                <w:sz w:val="24"/>
                <w:szCs w:val="24"/>
              </w:rPr>
              <w:t>individual</w:t>
            </w:r>
            <w:r w:rsidRPr="001D0794">
              <w:rPr>
                <w:iCs/>
                <w:sz w:val="24"/>
                <w:szCs w:val="24"/>
              </w:rPr>
              <w:t xml:space="preserve"> lacked capacity for care and support under the </w:t>
            </w:r>
            <w:r w:rsidRPr="001D0794">
              <w:rPr>
                <w:i/>
                <w:iCs/>
                <w:sz w:val="24"/>
                <w:szCs w:val="24"/>
              </w:rPr>
              <w:t>MCA 2005</w:t>
            </w:r>
            <w:r w:rsidRPr="001D0794">
              <w:rPr>
                <w:iCs/>
                <w:sz w:val="24"/>
                <w:szCs w:val="24"/>
              </w:rPr>
              <w:t xml:space="preserve">, an application to the Court of Protection under section 16(2) could have been sought to grant power, for example, to remove the </w:t>
            </w:r>
            <w:r w:rsidR="00B8118B">
              <w:rPr>
                <w:iCs/>
                <w:sz w:val="24"/>
                <w:szCs w:val="24"/>
              </w:rPr>
              <w:t>individual</w:t>
            </w:r>
            <w:r w:rsidRPr="001D0794">
              <w:rPr>
                <w:iCs/>
                <w:sz w:val="24"/>
                <w:szCs w:val="24"/>
              </w:rPr>
              <w:t xml:space="preserve"> from the family home. Thus reflecting the interconnected nature of capacity and safeguarding within adult social work (</w:t>
            </w:r>
            <w:r w:rsidRPr="001D0794">
              <w:rPr>
                <w:rFonts w:cs="Helvetica"/>
                <w:sz w:val="24"/>
                <w:szCs w:val="24"/>
                <w:shd w:val="clear" w:color="auto" w:fill="FFFFFF"/>
              </w:rPr>
              <w:t>Welsh Government, 2019</w:t>
            </w:r>
            <w:r w:rsidRPr="001D0794">
              <w:rPr>
                <w:iCs/>
                <w:sz w:val="24"/>
                <w:szCs w:val="24"/>
              </w:rPr>
              <w:t>). However, we had not escalated to S126 enquires at this stage, I found it reassuring that the ‘Wales Safeguarding Procedures’, provided greater practical structure in how these enquires should have been completed (</w:t>
            </w:r>
            <w:r w:rsidRPr="001D0794">
              <w:rPr>
                <w:rFonts w:cs="Helvetica"/>
                <w:sz w:val="24"/>
                <w:szCs w:val="24"/>
                <w:shd w:val="clear" w:color="auto" w:fill="FFFFFF"/>
              </w:rPr>
              <w:t>Welsh Government, 2019</w:t>
            </w:r>
            <w:r w:rsidRPr="001D0794">
              <w:rPr>
                <w:iCs/>
                <w:sz w:val="24"/>
                <w:szCs w:val="24"/>
              </w:rPr>
              <w:t>). Directing them to be timely, person centred, multi-agency and in line with a trauma informed approach (</w:t>
            </w:r>
            <w:r w:rsidRPr="001D0794">
              <w:rPr>
                <w:rFonts w:cs="Helvetica"/>
                <w:sz w:val="24"/>
                <w:szCs w:val="24"/>
                <w:shd w:val="clear" w:color="auto" w:fill="FFFFFF"/>
              </w:rPr>
              <w:t>Welsh Government, 2019</w:t>
            </w:r>
            <w:r w:rsidRPr="001D0794">
              <w:rPr>
                <w:iCs/>
                <w:sz w:val="24"/>
                <w:szCs w:val="24"/>
              </w:rPr>
              <w:t xml:space="preserve">). This in turn supported my intervention to remain focused on the relevant information, better supporting me to assess in order to apply my professional judgment on an increasingly complex situation (Social Care Wales (SCW), 2017; 2011). </w:t>
            </w:r>
          </w:p>
          <w:p w14:paraId="6ED6C0F0" w14:textId="77777777" w:rsidR="00B7362C" w:rsidRPr="001D0794" w:rsidRDefault="00B7362C" w:rsidP="00B7362C">
            <w:pPr>
              <w:spacing w:line="276" w:lineRule="auto"/>
              <w:ind w:firstLine="720"/>
              <w:rPr>
                <w:iCs/>
                <w:sz w:val="24"/>
                <w:szCs w:val="24"/>
              </w:rPr>
            </w:pPr>
          </w:p>
          <w:p w14:paraId="070E2938" w14:textId="7FA776CF" w:rsidR="00B7362C" w:rsidRDefault="00B7362C" w:rsidP="00B7362C">
            <w:pPr>
              <w:spacing w:line="276" w:lineRule="auto"/>
              <w:rPr>
                <w:iCs/>
                <w:sz w:val="24"/>
                <w:szCs w:val="24"/>
              </w:rPr>
            </w:pPr>
            <w:r w:rsidRPr="001D0794">
              <w:rPr>
                <w:iCs/>
                <w:sz w:val="24"/>
                <w:szCs w:val="24"/>
              </w:rPr>
              <w:tab/>
              <w:t xml:space="preserve">My agency policy mirrors legislation and data sharing/processing within the ‘Wales Safeguarding Procedures’ noted above in stating for refers to seek consent prior to submitting a safeguarding referral, should this not place individuals at greater risk / be </w:t>
            </w:r>
            <w:r w:rsidR="00A91F75">
              <w:rPr>
                <w:iCs/>
                <w:sz w:val="24"/>
                <w:szCs w:val="24"/>
              </w:rPr>
              <w:t>in</w:t>
            </w:r>
            <w:r w:rsidRPr="001D0794">
              <w:rPr>
                <w:iCs/>
                <w:sz w:val="24"/>
                <w:szCs w:val="24"/>
              </w:rPr>
              <w:t>appropriate (</w:t>
            </w:r>
            <w:r w:rsidRPr="001D0794">
              <w:rPr>
                <w:rFonts w:cs="Helvetica"/>
                <w:sz w:val="24"/>
                <w:szCs w:val="24"/>
                <w:shd w:val="clear" w:color="auto" w:fill="FFFFFF"/>
              </w:rPr>
              <w:t>Local Authority Anonymised, 2022; Welsh Government, 2019</w:t>
            </w:r>
            <w:r w:rsidRPr="001D0794">
              <w:rPr>
                <w:iCs/>
                <w:sz w:val="24"/>
                <w:szCs w:val="24"/>
              </w:rPr>
              <w:t xml:space="preserve">). Although the </w:t>
            </w:r>
            <w:r w:rsidR="00B8118B">
              <w:rPr>
                <w:iCs/>
                <w:sz w:val="24"/>
                <w:szCs w:val="24"/>
              </w:rPr>
              <w:t>individual</w:t>
            </w:r>
            <w:r w:rsidRPr="001D0794">
              <w:rPr>
                <w:iCs/>
                <w:sz w:val="24"/>
                <w:szCs w:val="24"/>
              </w:rPr>
              <w:t xml:space="preserve"> lacked capacity to consent, I felt disappointed that the district nursing team had not been open with the family and explained they were submitting the referral and the reasons why. To remedy this, I exercised the professional social work role in advocating for the rights of the family to understand the concerns by this team; ensuring discussions were open, and appropriate in their honesty (</w:t>
            </w:r>
            <w:r w:rsidRPr="001D0794">
              <w:rPr>
                <w:sz w:val="24"/>
                <w:szCs w:val="24"/>
              </w:rPr>
              <w:t xml:space="preserve">Cooke et al., 2019; </w:t>
            </w:r>
            <w:r w:rsidRPr="001D0794">
              <w:rPr>
                <w:iCs/>
                <w:sz w:val="24"/>
                <w:szCs w:val="24"/>
              </w:rPr>
              <w:t>SCW, 2011). Reflecting on my collaborative/ partnership working, I was pleased I had become more confident in challenging ther professionals, reflecting anti-oppressive and anti-discriminatory values within my practice (</w:t>
            </w:r>
            <w:r w:rsidRPr="001D0794">
              <w:rPr>
                <w:sz w:val="24"/>
                <w:szCs w:val="24"/>
              </w:rPr>
              <w:t>Burke, 2013</w:t>
            </w:r>
            <w:r w:rsidRPr="001D0794">
              <w:rPr>
                <w:iCs/>
                <w:sz w:val="24"/>
                <w:szCs w:val="24"/>
              </w:rPr>
              <w:t xml:space="preserve">). This approach also supported more thorough assessment of risk and resilience factors; increasing the effectiveness of the assessment of the risk of harm posed to the </w:t>
            </w:r>
            <w:r w:rsidR="00B8118B">
              <w:rPr>
                <w:iCs/>
                <w:sz w:val="24"/>
                <w:szCs w:val="24"/>
              </w:rPr>
              <w:t>individual</w:t>
            </w:r>
            <w:r w:rsidRPr="001D0794">
              <w:rPr>
                <w:iCs/>
                <w:sz w:val="24"/>
                <w:szCs w:val="24"/>
              </w:rPr>
              <w:t xml:space="preserve"> (</w:t>
            </w:r>
            <w:proofErr w:type="spellStart"/>
            <w:r w:rsidRPr="001D0794">
              <w:rPr>
                <w:sz w:val="24"/>
                <w:szCs w:val="24"/>
              </w:rPr>
              <w:t>Hwalek</w:t>
            </w:r>
            <w:proofErr w:type="spellEnd"/>
            <w:r w:rsidRPr="001D0794">
              <w:rPr>
                <w:sz w:val="24"/>
                <w:szCs w:val="24"/>
              </w:rPr>
              <w:t xml:space="preserve">, Goodrich and Quinn, 1996; </w:t>
            </w:r>
            <w:r w:rsidRPr="001D0794">
              <w:rPr>
                <w:iCs/>
                <w:sz w:val="24"/>
                <w:szCs w:val="24"/>
              </w:rPr>
              <w:t xml:space="preserve">Welsh Government, 2019; SCW, 2017). </w:t>
            </w:r>
          </w:p>
          <w:p w14:paraId="12415140" w14:textId="77777777" w:rsidR="00B7362C" w:rsidRPr="001D0794" w:rsidRDefault="00B7362C" w:rsidP="00B7362C">
            <w:pPr>
              <w:spacing w:line="276" w:lineRule="auto"/>
              <w:rPr>
                <w:iCs/>
                <w:sz w:val="24"/>
                <w:szCs w:val="24"/>
              </w:rPr>
            </w:pPr>
          </w:p>
          <w:p w14:paraId="454FFA0C" w14:textId="674CB0CA" w:rsidR="00B7362C" w:rsidRDefault="00B7362C" w:rsidP="00B7362C">
            <w:pPr>
              <w:spacing w:line="276" w:lineRule="auto"/>
              <w:rPr>
                <w:iCs/>
                <w:sz w:val="24"/>
                <w:szCs w:val="24"/>
              </w:rPr>
            </w:pPr>
            <w:r w:rsidRPr="001D0794">
              <w:rPr>
                <w:iCs/>
                <w:sz w:val="24"/>
                <w:szCs w:val="24"/>
              </w:rPr>
              <w:tab/>
              <w:t>Within adult safeguarding, capacity plays a key role in risk management and the scope of interventions, as unlike children’s safeguarding capacity is assumed (</w:t>
            </w:r>
            <w:proofErr w:type="gramStart"/>
            <w:r w:rsidRPr="001D0794">
              <w:rPr>
                <w:rStyle w:val="vkekvd"/>
                <w:color w:val="001D35"/>
                <w:sz w:val="24"/>
                <w:szCs w:val="24"/>
                <w:shd w:val="clear" w:color="auto" w:fill="FFFFFF"/>
              </w:rPr>
              <w:t>Department  of</w:t>
            </w:r>
            <w:proofErr w:type="gramEnd"/>
            <w:r w:rsidRPr="001D0794">
              <w:rPr>
                <w:rStyle w:val="vkekvd"/>
                <w:color w:val="001D35"/>
                <w:sz w:val="24"/>
                <w:szCs w:val="24"/>
                <w:shd w:val="clear" w:color="auto" w:fill="FFFFFF"/>
              </w:rPr>
              <w:t xml:space="preserve"> Constitutional Affairs, 2007; </w:t>
            </w:r>
            <w:r w:rsidRPr="001D0794">
              <w:rPr>
                <w:iCs/>
                <w:sz w:val="24"/>
                <w:szCs w:val="24"/>
              </w:rPr>
              <w:t xml:space="preserve">MCA 2005; Welsh Government, 2019). The </w:t>
            </w:r>
            <w:r w:rsidRPr="001D0794">
              <w:rPr>
                <w:i/>
                <w:iCs/>
                <w:sz w:val="24"/>
                <w:szCs w:val="24"/>
              </w:rPr>
              <w:t xml:space="preserve">MCA 2005 </w:t>
            </w:r>
            <w:r w:rsidRPr="001D0794">
              <w:rPr>
                <w:iCs/>
                <w:sz w:val="24"/>
                <w:szCs w:val="24"/>
              </w:rPr>
              <w:t xml:space="preserve">is the </w:t>
            </w:r>
            <w:r w:rsidRPr="001D0794">
              <w:rPr>
                <w:iCs/>
                <w:sz w:val="24"/>
                <w:szCs w:val="24"/>
              </w:rPr>
              <w:lastRenderedPageBreak/>
              <w:t xml:space="preserve">legislative structure for assessing and consideration of capacity in England of Wales. The principles of the </w:t>
            </w:r>
            <w:r w:rsidRPr="001D0794">
              <w:rPr>
                <w:i/>
                <w:iCs/>
                <w:sz w:val="24"/>
                <w:szCs w:val="24"/>
              </w:rPr>
              <w:t xml:space="preserve">MCA 2005 </w:t>
            </w:r>
            <w:r w:rsidRPr="001D0794">
              <w:rPr>
                <w:iCs/>
                <w:sz w:val="24"/>
                <w:szCs w:val="24"/>
              </w:rPr>
              <w:t>are; presumption of capacity, support to make a decision, the right to make an unwise decision, decision for those who lack capacity should be in their best interests, this outcome should be achieved in the least restrictive way (</w:t>
            </w:r>
            <w:r w:rsidRPr="001D0794">
              <w:rPr>
                <w:rStyle w:val="vkekvd"/>
                <w:color w:val="001D35"/>
                <w:sz w:val="24"/>
                <w:szCs w:val="24"/>
                <w:shd w:val="clear" w:color="auto" w:fill="FFFFFF"/>
              </w:rPr>
              <w:t>Department  of Constitutional Affairs, 2007; Graham and Cowley, 2015</w:t>
            </w:r>
            <w:r w:rsidRPr="001D0794">
              <w:rPr>
                <w:iCs/>
                <w:sz w:val="24"/>
                <w:szCs w:val="24"/>
              </w:rPr>
              <w:t xml:space="preserve">). I felt this was essential consideration within this intervention, as the </w:t>
            </w:r>
            <w:r w:rsidR="00B8118B">
              <w:rPr>
                <w:iCs/>
                <w:sz w:val="24"/>
                <w:szCs w:val="24"/>
              </w:rPr>
              <w:t>individual</w:t>
            </w:r>
            <w:r w:rsidRPr="001D0794">
              <w:rPr>
                <w:iCs/>
                <w:sz w:val="24"/>
                <w:szCs w:val="24"/>
              </w:rPr>
              <w:t xml:space="preserve"> lacked capacity to make decisions concerning his care and support needs, with formal support being implemented as part of a best interest decision. Thus, the individual was unable to maintain his safety should others act against his best interests – safety planning would therefore require the compliance of others to be effective. The principle of autonomy within safeguarding of adults applied in a difference format, as the individual’s voice should be valued, however, his ability to maintain and make autonomous decisions is impaired due to his cognitive decline (</w:t>
            </w:r>
            <w:proofErr w:type="gramStart"/>
            <w:r w:rsidRPr="001D0794">
              <w:rPr>
                <w:rStyle w:val="vkekvd"/>
                <w:color w:val="001D35"/>
                <w:sz w:val="24"/>
                <w:szCs w:val="24"/>
                <w:shd w:val="clear" w:color="auto" w:fill="FFFFFF"/>
              </w:rPr>
              <w:t>Department  of</w:t>
            </w:r>
            <w:proofErr w:type="gramEnd"/>
            <w:r w:rsidRPr="001D0794">
              <w:rPr>
                <w:rStyle w:val="vkekvd"/>
                <w:color w:val="001D35"/>
                <w:sz w:val="24"/>
                <w:szCs w:val="24"/>
                <w:shd w:val="clear" w:color="auto" w:fill="FFFFFF"/>
              </w:rPr>
              <w:t xml:space="preserve"> Constitutional Affairs, 2007; </w:t>
            </w:r>
            <w:proofErr w:type="spellStart"/>
            <w:r w:rsidRPr="001D0794">
              <w:rPr>
                <w:rFonts w:cs="Helvetica"/>
                <w:color w:val="3A3A3A"/>
                <w:sz w:val="24"/>
                <w:szCs w:val="24"/>
                <w:shd w:val="clear" w:color="auto" w:fill="FFFFFF"/>
              </w:rPr>
              <w:t>Manthorple</w:t>
            </w:r>
            <w:proofErr w:type="spellEnd"/>
            <w:r w:rsidRPr="001D0794">
              <w:rPr>
                <w:rFonts w:cs="Helvetica"/>
                <w:color w:val="3A3A3A"/>
                <w:sz w:val="24"/>
                <w:szCs w:val="24"/>
                <w:shd w:val="clear" w:color="auto" w:fill="FFFFFF"/>
              </w:rPr>
              <w:t xml:space="preserve">, </w:t>
            </w:r>
            <w:proofErr w:type="spellStart"/>
            <w:r w:rsidRPr="001D0794">
              <w:rPr>
                <w:rFonts w:cs="Helvetica"/>
                <w:color w:val="3A3A3A"/>
                <w:sz w:val="24"/>
                <w:szCs w:val="24"/>
                <w:shd w:val="clear" w:color="auto" w:fill="FFFFFF"/>
              </w:rPr>
              <w:t>Samsi</w:t>
            </w:r>
            <w:proofErr w:type="spellEnd"/>
            <w:r w:rsidRPr="001D0794">
              <w:rPr>
                <w:rFonts w:cs="Helvetica"/>
                <w:color w:val="3A3A3A"/>
                <w:sz w:val="24"/>
                <w:szCs w:val="24"/>
                <w:shd w:val="clear" w:color="auto" w:fill="FFFFFF"/>
              </w:rPr>
              <w:t xml:space="preserve"> and Rapaport, 2013)</w:t>
            </w:r>
            <w:r w:rsidRPr="001D0794">
              <w:rPr>
                <w:iCs/>
                <w:sz w:val="24"/>
                <w:szCs w:val="24"/>
              </w:rPr>
              <w:t xml:space="preserve">. Maintaining my knowledge of this process and the interlinking legislation was essential to contribute to the legal process and understand the remit of my professional social work role within this intervention. </w:t>
            </w:r>
          </w:p>
          <w:p w14:paraId="68B5671A" w14:textId="77777777" w:rsidR="00B7362C" w:rsidRPr="001D0794" w:rsidRDefault="00B7362C" w:rsidP="00B7362C">
            <w:pPr>
              <w:spacing w:line="276" w:lineRule="auto"/>
              <w:rPr>
                <w:iCs/>
                <w:sz w:val="24"/>
                <w:szCs w:val="24"/>
              </w:rPr>
            </w:pPr>
          </w:p>
          <w:p w14:paraId="28387ABF" w14:textId="7D05343A" w:rsidR="00B7362C" w:rsidRDefault="00B7362C" w:rsidP="00B7362C">
            <w:pPr>
              <w:spacing w:line="276" w:lineRule="auto"/>
              <w:ind w:firstLine="720"/>
              <w:rPr>
                <w:iCs/>
                <w:sz w:val="24"/>
                <w:szCs w:val="24"/>
              </w:rPr>
            </w:pPr>
            <w:r w:rsidRPr="001D0794">
              <w:rPr>
                <w:iCs/>
                <w:sz w:val="24"/>
                <w:szCs w:val="24"/>
              </w:rPr>
              <w:t xml:space="preserve">My input within the safeguarding process was initial information gathering from the family prior to decision as to whether the incident should be escalated to formal enquires, therefore maintaining accurate records to provide to the safeguarding social worker was essential. I found it reassuring to understand the broader role of social workers within safeguarding adults in Wales. That being to; identify and respond to concerns, make enquires, advocate and empower </w:t>
            </w:r>
            <w:r w:rsidR="00B8118B">
              <w:rPr>
                <w:iCs/>
                <w:sz w:val="24"/>
                <w:szCs w:val="24"/>
              </w:rPr>
              <w:t>individual</w:t>
            </w:r>
            <w:r w:rsidRPr="001D0794">
              <w:rPr>
                <w:iCs/>
                <w:sz w:val="24"/>
                <w:szCs w:val="24"/>
              </w:rPr>
              <w:t xml:space="preserve">s, collaborate within a multi-agency context, complete risk assessment / protection planning, build awareness of safeguarding within preventative services, maintain accurate and up to date records, continue our professional development and leadership (Welsh Government, 2019). A further role, although not required in this intervention, can be to report findings to relevant bodies, including within the agency or to Regional Safeguarding Boards, established under part 7 of the </w:t>
            </w:r>
            <w:r w:rsidRPr="001D0794">
              <w:rPr>
                <w:i/>
                <w:iCs/>
                <w:sz w:val="24"/>
                <w:szCs w:val="24"/>
              </w:rPr>
              <w:t>SSWWA 2014</w:t>
            </w:r>
            <w:r w:rsidRPr="001D0794">
              <w:rPr>
                <w:iCs/>
                <w:sz w:val="24"/>
                <w:szCs w:val="24"/>
              </w:rPr>
              <w:t xml:space="preserve"> (Welsh Government, 2019). As a result of this awareness, I felt more confident in structuring my record keeping to include considering of the broader safeguarding context including how risk could be minimised and acknowledging the overall challenges of implementing plans to support the </w:t>
            </w:r>
            <w:r w:rsidR="00B8118B">
              <w:rPr>
                <w:iCs/>
                <w:sz w:val="24"/>
                <w:szCs w:val="24"/>
              </w:rPr>
              <w:t>individual</w:t>
            </w:r>
            <w:r w:rsidRPr="001D0794">
              <w:rPr>
                <w:iCs/>
                <w:sz w:val="24"/>
                <w:szCs w:val="24"/>
              </w:rPr>
              <w:t xml:space="preserve">s resilience.  </w:t>
            </w:r>
          </w:p>
          <w:p w14:paraId="1B32034D" w14:textId="77777777" w:rsidR="00B7362C" w:rsidRPr="001D0794" w:rsidRDefault="00B7362C" w:rsidP="00B7362C">
            <w:pPr>
              <w:spacing w:line="276" w:lineRule="auto"/>
              <w:ind w:firstLine="720"/>
              <w:rPr>
                <w:iCs/>
                <w:sz w:val="24"/>
                <w:szCs w:val="24"/>
              </w:rPr>
            </w:pPr>
          </w:p>
          <w:p w14:paraId="19C9C9CE" w14:textId="5EC5B142" w:rsidR="00B7362C" w:rsidRDefault="00B7362C" w:rsidP="00B7362C">
            <w:pPr>
              <w:spacing w:line="276" w:lineRule="auto"/>
              <w:ind w:firstLine="720"/>
              <w:rPr>
                <w:sz w:val="24"/>
                <w:szCs w:val="24"/>
              </w:rPr>
            </w:pPr>
            <w:r w:rsidRPr="001D0794">
              <w:rPr>
                <w:sz w:val="24"/>
                <w:szCs w:val="24"/>
              </w:rPr>
              <w:t xml:space="preserve">Due to the </w:t>
            </w:r>
            <w:r w:rsidR="00B8118B">
              <w:rPr>
                <w:sz w:val="24"/>
                <w:szCs w:val="24"/>
              </w:rPr>
              <w:t>individual</w:t>
            </w:r>
            <w:r w:rsidRPr="001D0794">
              <w:rPr>
                <w:sz w:val="24"/>
                <w:szCs w:val="24"/>
              </w:rPr>
              <w:t xml:space="preserve"> lacking capacity (as detailed above) he was limited in his ability to keep himself safe. Due to the seriousness of the risk, I felt conflicted in how best to gather and maintain a central fo</w:t>
            </w:r>
            <w:r w:rsidR="00A91F75">
              <w:rPr>
                <w:sz w:val="24"/>
                <w:szCs w:val="24"/>
              </w:rPr>
              <w:t>cus on the individual when his</w:t>
            </w:r>
            <w:r w:rsidRPr="001D0794">
              <w:rPr>
                <w:sz w:val="24"/>
                <w:szCs w:val="24"/>
              </w:rPr>
              <w:t xml:space="preserve"> ability to participate was limited. To remedy this, I utilised systems theory to direct my information gathering with the </w:t>
            </w:r>
            <w:proofErr w:type="gramStart"/>
            <w:r w:rsidRPr="001D0794">
              <w:rPr>
                <w:sz w:val="24"/>
                <w:szCs w:val="24"/>
              </w:rPr>
              <w:t>individuals</w:t>
            </w:r>
            <w:proofErr w:type="gramEnd"/>
            <w:r w:rsidRPr="001D0794">
              <w:rPr>
                <w:sz w:val="24"/>
                <w:szCs w:val="24"/>
              </w:rPr>
              <w:t xml:space="preserve"> information and formal network (Howe, 2009; </w:t>
            </w:r>
            <w:r w:rsidRPr="001D0794">
              <w:rPr>
                <w:sz w:val="24"/>
                <w:szCs w:val="24"/>
                <w:shd w:val="clear" w:color="auto" w:fill="FFFFFF"/>
              </w:rPr>
              <w:t>Maclean and Harrison, 2015</w:t>
            </w:r>
            <w:r w:rsidRPr="001D0794">
              <w:rPr>
                <w:sz w:val="24"/>
                <w:szCs w:val="24"/>
              </w:rPr>
              <w:t xml:space="preserve"> </w:t>
            </w:r>
            <w:proofErr w:type="spellStart"/>
            <w:r w:rsidRPr="001D0794">
              <w:rPr>
                <w:sz w:val="24"/>
                <w:szCs w:val="24"/>
              </w:rPr>
              <w:t>Smeeton</w:t>
            </w:r>
            <w:proofErr w:type="spellEnd"/>
            <w:r w:rsidRPr="001D0794">
              <w:rPr>
                <w:sz w:val="24"/>
                <w:szCs w:val="24"/>
              </w:rPr>
              <w:t xml:space="preserve">, 2013; </w:t>
            </w:r>
            <w:r w:rsidRPr="001D0794">
              <w:rPr>
                <w:sz w:val="24"/>
                <w:szCs w:val="24"/>
                <w:shd w:val="clear" w:color="auto" w:fill="FFFFFF"/>
              </w:rPr>
              <w:t>Trevithick, 2005</w:t>
            </w:r>
            <w:r w:rsidRPr="001D0794">
              <w:rPr>
                <w:sz w:val="24"/>
                <w:szCs w:val="24"/>
              </w:rPr>
              <w:t xml:space="preserve">). These sources describe systems theory as an approach which draws on and acknowledges the complex reciprocal connections / relationships between individuals </w:t>
            </w:r>
            <w:r w:rsidRPr="001D0794">
              <w:rPr>
                <w:sz w:val="24"/>
                <w:szCs w:val="24"/>
              </w:rPr>
              <w:lastRenderedPageBreak/>
              <w:t xml:space="preserve">and their networks; both formal and informal. It further emphasises that changes within one system can influence other systems, both on a micro and macro level for example, changes within society affecting lives of individual networks within their family life (Howe, 2009; </w:t>
            </w:r>
            <w:r w:rsidRPr="001D0794">
              <w:rPr>
                <w:sz w:val="24"/>
                <w:szCs w:val="24"/>
                <w:shd w:val="clear" w:color="auto" w:fill="FFFFFF"/>
              </w:rPr>
              <w:t>Maclean and Harrison, 2015</w:t>
            </w:r>
            <w:r w:rsidRPr="001D0794">
              <w:rPr>
                <w:sz w:val="24"/>
                <w:szCs w:val="24"/>
              </w:rPr>
              <w:t xml:space="preserve"> </w:t>
            </w:r>
            <w:proofErr w:type="spellStart"/>
            <w:r w:rsidRPr="001D0794">
              <w:rPr>
                <w:sz w:val="24"/>
                <w:szCs w:val="24"/>
              </w:rPr>
              <w:t>Smeeton</w:t>
            </w:r>
            <w:proofErr w:type="spellEnd"/>
            <w:r w:rsidRPr="001D0794">
              <w:rPr>
                <w:sz w:val="24"/>
                <w:szCs w:val="24"/>
              </w:rPr>
              <w:t xml:space="preserve">, 2013; </w:t>
            </w:r>
            <w:r w:rsidRPr="001D0794">
              <w:rPr>
                <w:sz w:val="24"/>
                <w:szCs w:val="24"/>
                <w:shd w:val="clear" w:color="auto" w:fill="FFFFFF"/>
              </w:rPr>
              <w:t>Trevithick, 2005).</w:t>
            </w:r>
            <w:r w:rsidRPr="001D0794">
              <w:rPr>
                <w:sz w:val="24"/>
                <w:szCs w:val="24"/>
              </w:rPr>
              <w:t xml:space="preserve"> I found it effective in ensuring that although my enquiries and discussions necessitated speaking with people around the individual. My approach ensured I was able to do so in the context of the </w:t>
            </w:r>
            <w:proofErr w:type="gramStart"/>
            <w:r w:rsidRPr="001D0794">
              <w:rPr>
                <w:sz w:val="24"/>
                <w:szCs w:val="24"/>
              </w:rPr>
              <w:t>individuals</w:t>
            </w:r>
            <w:proofErr w:type="gramEnd"/>
            <w:r w:rsidRPr="001D0794">
              <w:rPr>
                <w:sz w:val="24"/>
                <w:szCs w:val="24"/>
              </w:rPr>
              <w:t xml:space="preserve"> value system and lived experience, for example, the </w:t>
            </w:r>
            <w:r w:rsidR="00B8118B">
              <w:rPr>
                <w:sz w:val="24"/>
                <w:szCs w:val="24"/>
              </w:rPr>
              <w:t>individual</w:t>
            </w:r>
            <w:r w:rsidRPr="001D0794">
              <w:rPr>
                <w:sz w:val="24"/>
                <w:szCs w:val="24"/>
              </w:rPr>
              <w:t xml:space="preserve"> and his family’s desire for him to remain living in their family home. As a result, I believe I was better able to make </w:t>
            </w:r>
            <w:proofErr w:type="gramStart"/>
            <w:r w:rsidRPr="001D0794">
              <w:rPr>
                <w:sz w:val="24"/>
                <w:szCs w:val="24"/>
              </w:rPr>
              <w:t>a professional judgements</w:t>
            </w:r>
            <w:proofErr w:type="gramEnd"/>
            <w:r w:rsidRPr="001D0794">
              <w:rPr>
                <w:sz w:val="24"/>
                <w:szCs w:val="24"/>
              </w:rPr>
              <w:t xml:space="preserve"> around the risks and strengths of the individuals circumstances, thus participate effectively within the safeguarding process.</w:t>
            </w:r>
          </w:p>
          <w:p w14:paraId="43D69C2B" w14:textId="77777777" w:rsidR="00B7362C" w:rsidRPr="001D0794" w:rsidRDefault="00B7362C" w:rsidP="00B7362C">
            <w:pPr>
              <w:spacing w:line="276" w:lineRule="auto"/>
              <w:ind w:firstLine="720"/>
              <w:rPr>
                <w:iCs/>
                <w:sz w:val="24"/>
                <w:szCs w:val="24"/>
              </w:rPr>
            </w:pPr>
          </w:p>
          <w:p w14:paraId="6D4FA432" w14:textId="143E23D8" w:rsidR="00B7362C" w:rsidRDefault="00B7362C" w:rsidP="00B7362C">
            <w:pPr>
              <w:spacing w:line="276" w:lineRule="auto"/>
              <w:ind w:firstLine="720"/>
              <w:rPr>
                <w:iCs/>
                <w:sz w:val="24"/>
                <w:szCs w:val="24"/>
              </w:rPr>
            </w:pPr>
            <w:r w:rsidRPr="001D0794">
              <w:rPr>
                <w:iCs/>
                <w:sz w:val="24"/>
                <w:szCs w:val="24"/>
              </w:rPr>
              <w:t>I found it challenging that is was not mine, but the lead safeguarding social workers decision as to whether to escalate to formal enquires. However, I understood that my role, in this complex situation was to contribute to this decision. Therefore it was important my records also reflected the principles and data processing guidance of the ‘Wales Safeguarding Procedures’ including being; accurate, timely, recorded and relevant (</w:t>
            </w:r>
            <w:r w:rsidRPr="001D0794">
              <w:rPr>
                <w:rFonts w:cs="Helvetica"/>
                <w:sz w:val="24"/>
                <w:szCs w:val="24"/>
                <w:shd w:val="clear" w:color="auto" w:fill="FFFFFF"/>
              </w:rPr>
              <w:t>Welsh Government, 2019</w:t>
            </w:r>
            <w:r w:rsidRPr="001D0794">
              <w:rPr>
                <w:iCs/>
                <w:sz w:val="24"/>
                <w:szCs w:val="24"/>
              </w:rPr>
              <w:t xml:space="preserve">). On returning to the office, I used dictation software to add detail to my written notes, reflecting my agency policy in using such aids in situations where individuals lacked capacity (Local Authority Anonymised, 2025; 2025b). Although, discussing artificial intelligence and only reviewing English language peer reviewed articles </w:t>
            </w:r>
            <w:r w:rsidRPr="001D0794">
              <w:rPr>
                <w:rFonts w:cs="Helvetica"/>
                <w:color w:val="3A3A3A"/>
                <w:sz w:val="24"/>
                <w:szCs w:val="24"/>
                <w:shd w:val="clear" w:color="auto" w:fill="FFFFFF"/>
              </w:rPr>
              <w:t xml:space="preserve">Li, Wang and Jian, (2025) </w:t>
            </w:r>
            <w:r w:rsidRPr="001D0794">
              <w:rPr>
                <w:iCs/>
                <w:sz w:val="24"/>
                <w:szCs w:val="24"/>
              </w:rPr>
              <w:t xml:space="preserve">notes the growing use of assistive and artificial intelligence based technology to increase efficiency within social work practice; ensuring </w:t>
            </w:r>
            <w:r w:rsidR="00A91F75">
              <w:rPr>
                <w:iCs/>
                <w:sz w:val="24"/>
                <w:szCs w:val="24"/>
              </w:rPr>
              <w:t>individuals</w:t>
            </w:r>
            <w:r w:rsidRPr="001D0794">
              <w:rPr>
                <w:iCs/>
                <w:sz w:val="24"/>
                <w:szCs w:val="24"/>
              </w:rPr>
              <w:t xml:space="preserve"> receive decisions in an efficient manner. Thus reflecting the aforementioned principles (Welsh Government, 2019). Nonetheless, utilising new technology is noted to remain ethically challenging for the profession, ensuring that consent and ethical challenges are addressed to the highest standards (</w:t>
            </w:r>
            <w:r w:rsidRPr="001D0794">
              <w:rPr>
                <w:rFonts w:cs="Helvetica"/>
                <w:color w:val="3A3A3A"/>
                <w:sz w:val="24"/>
                <w:szCs w:val="24"/>
                <w:shd w:val="clear" w:color="auto" w:fill="FFFFFF"/>
              </w:rPr>
              <w:t>Li, Wang and Jian, 2025</w:t>
            </w:r>
            <w:r w:rsidRPr="001D0794">
              <w:rPr>
                <w:iCs/>
                <w:sz w:val="24"/>
                <w:szCs w:val="24"/>
              </w:rPr>
              <w:t xml:space="preserve">). Therefore, through using new technology ethically, sensitively and in line with agency policy, I felt I was better able to capture the </w:t>
            </w:r>
            <w:proofErr w:type="gramStart"/>
            <w:r w:rsidR="00B8118B">
              <w:rPr>
                <w:iCs/>
                <w:sz w:val="24"/>
                <w:szCs w:val="24"/>
              </w:rPr>
              <w:t>individual</w:t>
            </w:r>
            <w:r w:rsidRPr="001D0794">
              <w:rPr>
                <w:iCs/>
                <w:sz w:val="24"/>
                <w:szCs w:val="24"/>
              </w:rPr>
              <w:t>s</w:t>
            </w:r>
            <w:proofErr w:type="gramEnd"/>
            <w:r w:rsidRPr="001D0794">
              <w:rPr>
                <w:iCs/>
                <w:sz w:val="24"/>
                <w:szCs w:val="24"/>
              </w:rPr>
              <w:t xml:space="preserve"> voice, outcomes and the nuances of the discussion during my visit. Thus, recording assessment information </w:t>
            </w:r>
            <w:proofErr w:type="gramStart"/>
            <w:r w:rsidRPr="001D0794">
              <w:rPr>
                <w:iCs/>
                <w:sz w:val="24"/>
                <w:szCs w:val="24"/>
              </w:rPr>
              <w:t>in an outcomes</w:t>
            </w:r>
            <w:proofErr w:type="gramEnd"/>
            <w:r w:rsidRPr="001D0794">
              <w:rPr>
                <w:iCs/>
                <w:sz w:val="24"/>
                <w:szCs w:val="24"/>
              </w:rPr>
              <w:t xml:space="preserve"> focused, risk aware format, supporting efficient decision making and thus more accountable to the </w:t>
            </w:r>
            <w:r w:rsidR="00B8118B">
              <w:rPr>
                <w:iCs/>
                <w:sz w:val="24"/>
                <w:szCs w:val="24"/>
              </w:rPr>
              <w:t>individual</w:t>
            </w:r>
            <w:r w:rsidRPr="001D0794">
              <w:rPr>
                <w:iCs/>
                <w:sz w:val="24"/>
                <w:szCs w:val="24"/>
              </w:rPr>
              <w:t xml:space="preserve"> subject to the safeguarding concerns.</w:t>
            </w:r>
          </w:p>
          <w:p w14:paraId="6A6BC7A3" w14:textId="77777777" w:rsidR="00B7362C" w:rsidRPr="001D0794" w:rsidRDefault="00B7362C" w:rsidP="00B7362C">
            <w:pPr>
              <w:spacing w:line="276" w:lineRule="auto"/>
              <w:ind w:firstLine="720"/>
              <w:rPr>
                <w:iCs/>
                <w:sz w:val="24"/>
                <w:szCs w:val="24"/>
              </w:rPr>
            </w:pPr>
          </w:p>
          <w:p w14:paraId="235B137E" w14:textId="72085F1C" w:rsidR="00B7362C" w:rsidRDefault="00B7362C" w:rsidP="00B7362C">
            <w:pPr>
              <w:spacing w:line="276" w:lineRule="auto"/>
              <w:ind w:firstLine="720"/>
              <w:rPr>
                <w:sz w:val="24"/>
                <w:szCs w:val="24"/>
              </w:rPr>
            </w:pPr>
            <w:r w:rsidRPr="001D0794">
              <w:rPr>
                <w:sz w:val="24"/>
                <w:szCs w:val="24"/>
              </w:rPr>
              <w:t xml:space="preserve">Due to my prior relationship with the individual and his family, I knew that they didn’t initially wish to accept formal care and support, I felt very apprehensive prior to the visit, as I knew the risk of the family disengaging with services were high. Under article 8 of the European Convention on Human Rights (ECHR), individuals have a conditional right to a private and family life; this includes a right to family relationships without unjustified interference, to live with or maintain contact with these relationships (Council of Europe, 1950). This is mirrored within the </w:t>
            </w:r>
            <w:r w:rsidRPr="001D0794">
              <w:rPr>
                <w:i/>
                <w:sz w:val="24"/>
                <w:szCs w:val="24"/>
              </w:rPr>
              <w:t>Human Rights Act 1998</w:t>
            </w:r>
            <w:r w:rsidRPr="001D0794">
              <w:rPr>
                <w:sz w:val="24"/>
                <w:szCs w:val="24"/>
              </w:rPr>
              <w:t xml:space="preserve">, with section 3 directing courts within the United Kingdom to interpret domestic legislation in a way which is Compatible with </w:t>
            </w:r>
            <w:r w:rsidRPr="001D0794">
              <w:rPr>
                <w:sz w:val="24"/>
                <w:szCs w:val="24"/>
              </w:rPr>
              <w:lastRenderedPageBreak/>
              <w:t>the ECHR</w:t>
            </w:r>
            <w:r w:rsidR="00A91F75">
              <w:rPr>
                <w:sz w:val="24"/>
                <w:szCs w:val="24"/>
              </w:rPr>
              <w:t xml:space="preserve"> </w:t>
            </w:r>
            <w:r w:rsidRPr="001D0794">
              <w:rPr>
                <w:sz w:val="24"/>
                <w:szCs w:val="24"/>
              </w:rPr>
              <w:t>(Council of Europe, 1950). I had interfered with this right, I believed justifiably</w:t>
            </w:r>
            <w:r w:rsidR="00A91F75">
              <w:rPr>
                <w:sz w:val="24"/>
                <w:szCs w:val="24"/>
              </w:rPr>
              <w:t>,</w:t>
            </w:r>
            <w:r w:rsidRPr="001D0794">
              <w:rPr>
                <w:sz w:val="24"/>
                <w:szCs w:val="24"/>
              </w:rPr>
              <w:t xml:space="preserve"> through the introduction of care via a Best Interest Decision, under the</w:t>
            </w:r>
            <w:r w:rsidRPr="001D0794">
              <w:rPr>
                <w:i/>
                <w:sz w:val="24"/>
                <w:szCs w:val="24"/>
              </w:rPr>
              <w:t xml:space="preserve"> MCA 2005</w:t>
            </w:r>
            <w:r w:rsidRPr="001D0794">
              <w:rPr>
                <w:sz w:val="24"/>
                <w:szCs w:val="24"/>
              </w:rPr>
              <w:t xml:space="preserve"> – as a means of maintain the individual within his family home, seeking to safely support his overall outcome of remaining at home with his family. However, understanding my role and the legislative support behind the decisions I was making was empowering within interventions with the family. Due to their reluctance in the past, I explained the legal process which informed decision making including the aforementioned legislation and also how it impacts the safeguarding process. Working openly and honestly in this way supported the family to understand my role and obligations and thus reduce their feelings of judgement when professionals were asking questions in relation to current concerns around how care was being provided t</w:t>
            </w:r>
            <w:r w:rsidR="00A91F75">
              <w:rPr>
                <w:sz w:val="24"/>
                <w:szCs w:val="24"/>
              </w:rPr>
              <w:t>o</w:t>
            </w:r>
            <w:r w:rsidRPr="001D0794">
              <w:rPr>
                <w:sz w:val="24"/>
                <w:szCs w:val="24"/>
              </w:rPr>
              <w:t xml:space="preserve"> the individual (SCW, 2017).  </w:t>
            </w:r>
          </w:p>
          <w:p w14:paraId="11685404" w14:textId="77777777" w:rsidR="00B7362C" w:rsidRPr="001D0794" w:rsidRDefault="00B7362C" w:rsidP="00B7362C">
            <w:pPr>
              <w:spacing w:line="276" w:lineRule="auto"/>
              <w:ind w:firstLine="720"/>
              <w:rPr>
                <w:sz w:val="24"/>
                <w:szCs w:val="24"/>
              </w:rPr>
            </w:pPr>
          </w:p>
          <w:p w14:paraId="78078FE1" w14:textId="3C73B2A2" w:rsidR="00B7362C" w:rsidRDefault="00A91F75" w:rsidP="00B7362C">
            <w:pPr>
              <w:spacing w:line="276" w:lineRule="auto"/>
              <w:ind w:firstLine="720"/>
              <w:rPr>
                <w:sz w:val="24"/>
                <w:szCs w:val="24"/>
              </w:rPr>
            </w:pPr>
            <w:r>
              <w:rPr>
                <w:sz w:val="24"/>
                <w:szCs w:val="24"/>
              </w:rPr>
              <w:t xml:space="preserve">Due to the </w:t>
            </w:r>
            <w:proofErr w:type="gramStart"/>
            <w:r>
              <w:rPr>
                <w:sz w:val="24"/>
                <w:szCs w:val="24"/>
              </w:rPr>
              <w:t>individuals</w:t>
            </w:r>
            <w:proofErr w:type="gramEnd"/>
            <w:r w:rsidR="00B7362C" w:rsidRPr="001D0794">
              <w:rPr>
                <w:sz w:val="24"/>
                <w:szCs w:val="24"/>
              </w:rPr>
              <w:t xml:space="preserve"> cognitive impairment and physical health needs, he sleeps for very long periods and it limited in his verbal communication. I initially was apprehensive of how to engage in ‘what matters’ discussions when the reality was the </w:t>
            </w:r>
            <w:r>
              <w:rPr>
                <w:sz w:val="24"/>
                <w:szCs w:val="24"/>
              </w:rPr>
              <w:t>individuals</w:t>
            </w:r>
            <w:r w:rsidR="00B7362C" w:rsidRPr="001D0794">
              <w:rPr>
                <w:sz w:val="24"/>
                <w:szCs w:val="24"/>
              </w:rPr>
              <w:t xml:space="preserve"> physical input would be extremely minimal (Cooke et al., 2019;</w:t>
            </w:r>
            <w:r>
              <w:rPr>
                <w:sz w:val="24"/>
                <w:szCs w:val="24"/>
              </w:rPr>
              <w:t xml:space="preserve"> </w:t>
            </w:r>
            <w:r w:rsidR="00B7362C" w:rsidRPr="001D0794">
              <w:rPr>
                <w:sz w:val="24"/>
                <w:szCs w:val="24"/>
              </w:rPr>
              <w:t xml:space="preserve">SCW, </w:t>
            </w:r>
            <w:proofErr w:type="spellStart"/>
            <w:r w:rsidR="00B7362C" w:rsidRPr="001D0794">
              <w:rPr>
                <w:sz w:val="24"/>
                <w:szCs w:val="24"/>
              </w:rPr>
              <w:t>n.d</w:t>
            </w:r>
            <w:proofErr w:type="spellEnd"/>
            <w:r w:rsidR="00B7362C" w:rsidRPr="001D0794">
              <w:rPr>
                <w:sz w:val="24"/>
                <w:szCs w:val="24"/>
              </w:rPr>
              <w:t xml:space="preserve">). There was a risk of the </w:t>
            </w:r>
            <w:r w:rsidR="00B8118B">
              <w:rPr>
                <w:sz w:val="24"/>
                <w:szCs w:val="24"/>
              </w:rPr>
              <w:t>individual</w:t>
            </w:r>
            <w:r w:rsidR="00B7362C" w:rsidRPr="001D0794">
              <w:rPr>
                <w:sz w:val="24"/>
                <w:szCs w:val="24"/>
              </w:rPr>
              <w:t xml:space="preserve"> being disempowered and oppressive practice defining the intervention should focus move to the goals of others with greater ability to express their views (Becket, Maynard and Jordan, 2017). The outcomes focused approach directed by the Welsh Government (2022) ‘More than Just Words’ and</w:t>
            </w:r>
            <w:r w:rsidR="00B7362C" w:rsidRPr="001D0794">
              <w:rPr>
                <w:i/>
                <w:sz w:val="24"/>
                <w:szCs w:val="24"/>
              </w:rPr>
              <w:t xml:space="preserve"> SSWWA 2014 </w:t>
            </w:r>
            <w:r w:rsidR="00B7362C" w:rsidRPr="001D0794">
              <w:rPr>
                <w:sz w:val="24"/>
                <w:szCs w:val="24"/>
              </w:rPr>
              <w:t xml:space="preserve">emphasises a strengths based approach where </w:t>
            </w:r>
            <w:r w:rsidR="00B8118B">
              <w:rPr>
                <w:sz w:val="24"/>
                <w:szCs w:val="24"/>
              </w:rPr>
              <w:t>individual</w:t>
            </w:r>
            <w:r w:rsidR="00B7362C" w:rsidRPr="001D0794">
              <w:rPr>
                <w:sz w:val="24"/>
                <w:szCs w:val="24"/>
              </w:rPr>
              <w:t>s should be supported to achieve their wellbeing goals,</w:t>
            </w:r>
            <w:r>
              <w:rPr>
                <w:sz w:val="24"/>
                <w:szCs w:val="24"/>
              </w:rPr>
              <w:t xml:space="preserve"> build on strengths, be co-produ</w:t>
            </w:r>
            <w:r w:rsidR="00B7362C" w:rsidRPr="001D0794">
              <w:rPr>
                <w:sz w:val="24"/>
                <w:szCs w:val="24"/>
              </w:rPr>
              <w:t>c</w:t>
            </w:r>
            <w:r>
              <w:rPr>
                <w:sz w:val="24"/>
                <w:szCs w:val="24"/>
              </w:rPr>
              <w:t>ed</w:t>
            </w:r>
            <w:r w:rsidR="00B7362C" w:rsidRPr="001D0794">
              <w:rPr>
                <w:sz w:val="24"/>
                <w:szCs w:val="24"/>
              </w:rPr>
              <w:t xml:space="preserve"> and promote voice and control</w:t>
            </w:r>
            <w:r w:rsidR="00E51617">
              <w:rPr>
                <w:sz w:val="24"/>
                <w:szCs w:val="24"/>
              </w:rPr>
              <w:t xml:space="preserve"> (Welsh Government, 2019c)</w:t>
            </w:r>
            <w:r w:rsidR="00B7362C" w:rsidRPr="001D0794">
              <w:rPr>
                <w:sz w:val="24"/>
                <w:szCs w:val="24"/>
              </w:rPr>
              <w:t xml:space="preserve">. However, in this instance, I believe I reflected this model through combining it with an understanding of other social work theory and an understanding of power in relationships. For example, the </w:t>
            </w:r>
            <w:r>
              <w:rPr>
                <w:sz w:val="24"/>
                <w:szCs w:val="24"/>
              </w:rPr>
              <w:t>individuals</w:t>
            </w:r>
            <w:r w:rsidR="00B7362C" w:rsidRPr="001D0794">
              <w:rPr>
                <w:sz w:val="24"/>
                <w:szCs w:val="24"/>
              </w:rPr>
              <w:t xml:space="preserve"> clear view he had previously expressed was to remain with his family, he felt they knew him best, therefore, with an understanding of systems theory I was able to build a more detailed picture of the </w:t>
            </w:r>
            <w:r>
              <w:rPr>
                <w:sz w:val="24"/>
                <w:szCs w:val="24"/>
              </w:rPr>
              <w:t>individuals</w:t>
            </w:r>
            <w:r w:rsidR="00B7362C" w:rsidRPr="001D0794">
              <w:rPr>
                <w:sz w:val="24"/>
                <w:szCs w:val="24"/>
              </w:rPr>
              <w:t xml:space="preserve"> outcomes, views and wishes from his network (Howe, 2009; </w:t>
            </w:r>
            <w:r w:rsidR="00B7362C" w:rsidRPr="001D0794">
              <w:rPr>
                <w:sz w:val="24"/>
                <w:szCs w:val="24"/>
                <w:shd w:val="clear" w:color="auto" w:fill="FFFFFF"/>
              </w:rPr>
              <w:t>Maclean and Harrison, 2015</w:t>
            </w:r>
            <w:r w:rsidR="00B7362C" w:rsidRPr="001D0794">
              <w:rPr>
                <w:sz w:val="24"/>
                <w:szCs w:val="24"/>
              </w:rPr>
              <w:t xml:space="preserve"> </w:t>
            </w:r>
            <w:proofErr w:type="spellStart"/>
            <w:r w:rsidR="00B7362C" w:rsidRPr="001D0794">
              <w:rPr>
                <w:sz w:val="24"/>
                <w:szCs w:val="24"/>
              </w:rPr>
              <w:t>Smeeton</w:t>
            </w:r>
            <w:proofErr w:type="spellEnd"/>
            <w:r w:rsidR="00B7362C" w:rsidRPr="001D0794">
              <w:rPr>
                <w:sz w:val="24"/>
                <w:szCs w:val="24"/>
              </w:rPr>
              <w:t xml:space="preserve">, 2013; </w:t>
            </w:r>
            <w:r w:rsidR="00B7362C" w:rsidRPr="001D0794">
              <w:rPr>
                <w:sz w:val="24"/>
                <w:szCs w:val="24"/>
                <w:shd w:val="clear" w:color="auto" w:fill="FFFFFF"/>
              </w:rPr>
              <w:t>Trevithick, 2005)</w:t>
            </w:r>
            <w:r>
              <w:rPr>
                <w:sz w:val="24"/>
                <w:szCs w:val="24"/>
              </w:rPr>
              <w:t>. I was</w:t>
            </w:r>
            <w:r w:rsidR="00B7362C" w:rsidRPr="001D0794">
              <w:rPr>
                <w:sz w:val="24"/>
                <w:szCs w:val="24"/>
              </w:rPr>
              <w:t xml:space="preserve">, through the power of my professional role, able to gather information from a number of sources within the </w:t>
            </w:r>
            <w:r>
              <w:rPr>
                <w:sz w:val="24"/>
                <w:szCs w:val="24"/>
              </w:rPr>
              <w:t>individuals</w:t>
            </w:r>
            <w:r w:rsidR="00B7362C" w:rsidRPr="001D0794">
              <w:rPr>
                <w:sz w:val="24"/>
                <w:szCs w:val="24"/>
              </w:rPr>
              <w:t xml:space="preserve"> network (formal and informal) to seek to establish how and if this outcome could be</w:t>
            </w:r>
            <w:r>
              <w:rPr>
                <w:sz w:val="24"/>
                <w:szCs w:val="24"/>
              </w:rPr>
              <w:t xml:space="preserve"> met safely (SCW, 2017; 2011). T</w:t>
            </w:r>
            <w:r w:rsidR="00B7362C" w:rsidRPr="001D0794">
              <w:rPr>
                <w:sz w:val="24"/>
                <w:szCs w:val="24"/>
              </w:rPr>
              <w:t xml:space="preserve">hrough an understanding of theory and the power of my professional role I feel I was able to maintain an anti-oppressive practice in highlighting the voice of the </w:t>
            </w:r>
            <w:r>
              <w:rPr>
                <w:sz w:val="24"/>
                <w:szCs w:val="24"/>
              </w:rPr>
              <w:t>individual</w:t>
            </w:r>
            <w:r w:rsidR="00B7362C" w:rsidRPr="001D0794">
              <w:rPr>
                <w:sz w:val="24"/>
                <w:szCs w:val="24"/>
              </w:rPr>
              <w:t xml:space="preserve"> within safeguarding discussions, thus practice within increasingly complex situations.</w:t>
            </w:r>
          </w:p>
          <w:p w14:paraId="533ACA1B" w14:textId="77777777" w:rsidR="00B7362C" w:rsidRPr="001D0794" w:rsidRDefault="00B7362C" w:rsidP="00B7362C">
            <w:pPr>
              <w:spacing w:line="276" w:lineRule="auto"/>
              <w:ind w:firstLine="720"/>
              <w:rPr>
                <w:sz w:val="24"/>
                <w:szCs w:val="24"/>
              </w:rPr>
            </w:pPr>
          </w:p>
          <w:p w14:paraId="5527930A" w14:textId="77777777" w:rsidR="00B7362C" w:rsidRDefault="00B7362C" w:rsidP="00B7362C">
            <w:pPr>
              <w:spacing w:line="276" w:lineRule="auto"/>
              <w:ind w:firstLine="720"/>
              <w:rPr>
                <w:sz w:val="24"/>
                <w:szCs w:val="24"/>
              </w:rPr>
            </w:pPr>
            <w:r w:rsidRPr="001D0794">
              <w:rPr>
                <w:sz w:val="24"/>
                <w:szCs w:val="24"/>
              </w:rPr>
              <w:t xml:space="preserve">I felt more confident completing the visit knowing that a member of the district nursing team would be attending with me. The </w:t>
            </w:r>
            <w:r w:rsidRPr="001D0794">
              <w:rPr>
                <w:i/>
                <w:sz w:val="24"/>
                <w:szCs w:val="24"/>
              </w:rPr>
              <w:t>SSWWA 2014</w:t>
            </w:r>
            <w:r w:rsidRPr="001D0794">
              <w:rPr>
                <w:sz w:val="24"/>
                <w:szCs w:val="24"/>
              </w:rPr>
              <w:t xml:space="preserve">, part 7 mandates co-operation between bodies in order to safeguard adults at risk, in addition to being noted within the ‘Procedures of effective Practice’ as part of the Wales Safeguarding procedures (Welsh Government, 2019). I believe it proved a more effective intervention as I was able to define </w:t>
            </w:r>
            <w:r w:rsidRPr="001D0794">
              <w:rPr>
                <w:sz w:val="24"/>
                <w:szCs w:val="24"/>
              </w:rPr>
              <w:lastRenderedPageBreak/>
              <w:t>my role and concerns, the district nurse mirroring this, reinforcing a consist approach to the family, facilitating open and honest discussion.  I would repeat this practice method in the future (</w:t>
            </w:r>
            <w:proofErr w:type="spellStart"/>
            <w:r w:rsidRPr="001D0794">
              <w:rPr>
                <w:sz w:val="24"/>
                <w:szCs w:val="24"/>
              </w:rPr>
              <w:t>Hwalek</w:t>
            </w:r>
            <w:proofErr w:type="spellEnd"/>
            <w:r w:rsidRPr="001D0794">
              <w:rPr>
                <w:sz w:val="24"/>
                <w:szCs w:val="24"/>
              </w:rPr>
              <w:t xml:space="preserve">, Goodrich and Quinn, 1996; </w:t>
            </w:r>
            <w:r w:rsidRPr="001D0794">
              <w:rPr>
                <w:sz w:val="24"/>
                <w:szCs w:val="24"/>
                <w:shd w:val="clear" w:color="auto" w:fill="FFFFFF"/>
              </w:rPr>
              <w:t>Trevithick, 2005</w:t>
            </w:r>
            <w:r w:rsidRPr="001D0794">
              <w:rPr>
                <w:sz w:val="24"/>
                <w:szCs w:val="24"/>
              </w:rPr>
              <w:t>). It also supported to maintain my confidence in my health, safety and wellbeing, as engaging in such challenging, complex and at tense discussion can be intimidating particularly when lone working (</w:t>
            </w:r>
            <w:proofErr w:type="spellStart"/>
            <w:r w:rsidRPr="001D0794">
              <w:rPr>
                <w:rFonts w:cs="Times New Roman"/>
                <w:sz w:val="24"/>
                <w:szCs w:val="24"/>
              </w:rPr>
              <w:t>Hasanhanoğlu</w:t>
            </w:r>
            <w:proofErr w:type="spellEnd"/>
            <w:r w:rsidRPr="001D0794">
              <w:rPr>
                <w:rFonts w:cs="Times New Roman"/>
                <w:sz w:val="24"/>
                <w:szCs w:val="24"/>
              </w:rPr>
              <w:t xml:space="preserve">, </w:t>
            </w:r>
            <w:proofErr w:type="spellStart"/>
            <w:r w:rsidRPr="001D0794">
              <w:rPr>
                <w:rFonts w:cs="Times New Roman"/>
                <w:sz w:val="24"/>
                <w:szCs w:val="24"/>
              </w:rPr>
              <w:t>Güre</w:t>
            </w:r>
            <w:proofErr w:type="spellEnd"/>
            <w:r w:rsidRPr="001D0794">
              <w:rPr>
                <w:rFonts w:cs="Times New Roman"/>
                <w:sz w:val="24"/>
                <w:szCs w:val="24"/>
              </w:rPr>
              <w:t xml:space="preserve"> and </w:t>
            </w:r>
            <w:proofErr w:type="spellStart"/>
            <w:r w:rsidRPr="001D0794">
              <w:rPr>
                <w:rFonts w:cs="Times New Roman"/>
                <w:sz w:val="24"/>
                <w:szCs w:val="24"/>
              </w:rPr>
              <w:t>Uğurlu</w:t>
            </w:r>
            <w:proofErr w:type="spellEnd"/>
            <w:r w:rsidRPr="001D0794">
              <w:rPr>
                <w:rFonts w:cs="Times New Roman"/>
                <w:sz w:val="24"/>
                <w:szCs w:val="24"/>
              </w:rPr>
              <w:t xml:space="preserve">, 2025; </w:t>
            </w:r>
            <w:proofErr w:type="spellStart"/>
            <w:r w:rsidRPr="001D0794">
              <w:rPr>
                <w:sz w:val="24"/>
                <w:szCs w:val="24"/>
              </w:rPr>
              <w:t>Koprowska</w:t>
            </w:r>
            <w:proofErr w:type="spellEnd"/>
            <w:r w:rsidRPr="001D0794">
              <w:rPr>
                <w:sz w:val="24"/>
                <w:szCs w:val="24"/>
              </w:rPr>
              <w:t>, 2020</w:t>
            </w:r>
            <w:r w:rsidRPr="001D0794">
              <w:rPr>
                <w:rFonts w:cs="Times New Roman"/>
                <w:sz w:val="24"/>
                <w:szCs w:val="24"/>
              </w:rPr>
              <w:t>)</w:t>
            </w:r>
            <w:r w:rsidRPr="001D0794">
              <w:rPr>
                <w:sz w:val="24"/>
                <w:szCs w:val="24"/>
              </w:rPr>
              <w:t xml:space="preserve">.  By demonstrating an awareness of multi-disciplinary working within legislation and practice standards as it affects safeguarding vulnerable adults, I believe I also was able to develop my skills in partnership working with individuals, professionals and their family to best facilitate their achieving of their outcomes safely (SCW, 2017).  </w:t>
            </w:r>
          </w:p>
          <w:p w14:paraId="470984DC" w14:textId="77777777" w:rsidR="00B7362C" w:rsidRPr="001D0794" w:rsidRDefault="00B7362C" w:rsidP="00B7362C">
            <w:pPr>
              <w:spacing w:line="276" w:lineRule="auto"/>
              <w:ind w:firstLine="720"/>
              <w:rPr>
                <w:sz w:val="24"/>
                <w:szCs w:val="24"/>
              </w:rPr>
            </w:pPr>
          </w:p>
          <w:p w14:paraId="6A40BA7A" w14:textId="5A409B63" w:rsidR="00B7362C" w:rsidRDefault="00B7362C" w:rsidP="00B7362C">
            <w:pPr>
              <w:spacing w:line="276" w:lineRule="auto"/>
              <w:ind w:firstLine="720"/>
              <w:rPr>
                <w:sz w:val="24"/>
                <w:szCs w:val="24"/>
              </w:rPr>
            </w:pPr>
            <w:r w:rsidRPr="001D0794">
              <w:rPr>
                <w:sz w:val="24"/>
                <w:szCs w:val="24"/>
              </w:rPr>
              <w:t>During the first few mi</w:t>
            </w:r>
            <w:r w:rsidR="00A91F75">
              <w:rPr>
                <w:sz w:val="24"/>
                <w:szCs w:val="24"/>
              </w:rPr>
              <w:t>nutes of our visit, the individuals</w:t>
            </w:r>
            <w:r w:rsidRPr="001D0794">
              <w:rPr>
                <w:sz w:val="24"/>
                <w:szCs w:val="24"/>
              </w:rPr>
              <w:t xml:space="preserve"> primary carer, his wife, became distressed when recounting seeing the bleeding with the district nurses and waiting for emergency services to attend. I felt this demonstrated the complexity of the </w:t>
            </w:r>
            <w:r w:rsidR="00B8118B">
              <w:rPr>
                <w:sz w:val="24"/>
                <w:szCs w:val="24"/>
              </w:rPr>
              <w:t>individual</w:t>
            </w:r>
            <w:r w:rsidRPr="001D0794">
              <w:rPr>
                <w:sz w:val="24"/>
                <w:szCs w:val="24"/>
              </w:rPr>
              <w:t xml:space="preserve">s circumstances, as although allegations where against the </w:t>
            </w:r>
            <w:r w:rsidR="00B8118B">
              <w:rPr>
                <w:sz w:val="24"/>
                <w:szCs w:val="24"/>
              </w:rPr>
              <w:t>individual</w:t>
            </w:r>
            <w:r w:rsidRPr="001D0794">
              <w:rPr>
                <w:sz w:val="24"/>
                <w:szCs w:val="24"/>
              </w:rPr>
              <w:t>s wife, the experience had also been traumatic for her. Therefore, a trauma informed approach was essential as it is a strengths based approach which acknowledges the impact of trauma can be widespread, (</w:t>
            </w:r>
            <w:r w:rsidRPr="001D0794">
              <w:rPr>
                <w:rFonts w:cs="Helvetica"/>
                <w:color w:val="3A3A3A"/>
                <w:sz w:val="24"/>
                <w:szCs w:val="24"/>
                <w:shd w:val="clear" w:color="auto" w:fill="FFFFFF"/>
              </w:rPr>
              <w:t xml:space="preserve">Levenson, 2017; </w:t>
            </w:r>
            <w:r w:rsidRPr="001D0794">
              <w:rPr>
                <w:rFonts w:eastAsia="Calibri" w:cs="Times New Roman"/>
                <w:sz w:val="24"/>
                <w:szCs w:val="24"/>
              </w:rPr>
              <w:t xml:space="preserve">Smyth &amp; </w:t>
            </w:r>
            <w:proofErr w:type="spellStart"/>
            <w:r w:rsidRPr="001D0794">
              <w:rPr>
                <w:rFonts w:eastAsia="Calibri" w:cs="Times New Roman"/>
                <w:sz w:val="24"/>
                <w:szCs w:val="24"/>
              </w:rPr>
              <w:t>Greyber</w:t>
            </w:r>
            <w:proofErr w:type="spellEnd"/>
            <w:r w:rsidRPr="001D0794">
              <w:rPr>
                <w:rFonts w:eastAsia="Calibri" w:cs="Times New Roman"/>
                <w:sz w:val="24"/>
                <w:szCs w:val="24"/>
              </w:rPr>
              <w:t>, 2013</w:t>
            </w:r>
            <w:r w:rsidRPr="001D0794">
              <w:rPr>
                <w:sz w:val="24"/>
                <w:szCs w:val="24"/>
              </w:rPr>
              <w:t>). The key principles of this approach are safety, trustworthiness/transparency, choice/empowerment, collaboration and a culturally sensitive response (</w:t>
            </w:r>
            <w:r w:rsidRPr="001D0794">
              <w:rPr>
                <w:rFonts w:cs="Helvetica"/>
                <w:color w:val="3A3A3A"/>
                <w:sz w:val="24"/>
                <w:szCs w:val="24"/>
                <w:shd w:val="clear" w:color="auto" w:fill="FFFFFF"/>
              </w:rPr>
              <w:t xml:space="preserve">Levenson, 2017; </w:t>
            </w:r>
            <w:r w:rsidRPr="001D0794">
              <w:rPr>
                <w:rFonts w:eastAsia="Calibri" w:cs="Times New Roman"/>
                <w:sz w:val="24"/>
                <w:szCs w:val="24"/>
              </w:rPr>
              <w:t xml:space="preserve">Smyth &amp; </w:t>
            </w:r>
            <w:proofErr w:type="spellStart"/>
            <w:r w:rsidRPr="001D0794">
              <w:rPr>
                <w:rFonts w:eastAsia="Calibri" w:cs="Times New Roman"/>
                <w:sz w:val="24"/>
                <w:szCs w:val="24"/>
              </w:rPr>
              <w:t>Greyber</w:t>
            </w:r>
            <w:proofErr w:type="spellEnd"/>
            <w:r w:rsidRPr="001D0794">
              <w:rPr>
                <w:rFonts w:eastAsia="Calibri" w:cs="Times New Roman"/>
                <w:sz w:val="24"/>
                <w:szCs w:val="24"/>
              </w:rPr>
              <w:t>, 2013</w:t>
            </w:r>
            <w:r w:rsidRPr="001D0794">
              <w:rPr>
                <w:sz w:val="24"/>
                <w:szCs w:val="24"/>
              </w:rPr>
              <w:t xml:space="preserve">).  A further helpful tool was awareness of Eric Berne’s transactional analysis theory, which explored individual reactions through 3 ego states; parent, adult and child (Cornell. et al., 2016; Mitra, 2017; </w:t>
            </w:r>
            <w:r w:rsidRPr="001D0794">
              <w:rPr>
                <w:noProof/>
                <w:sz w:val="24"/>
                <w:szCs w:val="24"/>
              </w:rPr>
              <w:t>Pitman, 1982; Solomon, 2003</w:t>
            </w:r>
            <w:r w:rsidRPr="001D0794">
              <w:rPr>
                <w:sz w:val="24"/>
                <w:szCs w:val="24"/>
              </w:rPr>
              <w:t xml:space="preserve">). Thus through adjusting my communication to illicit adult to adult responses I was able to gain logical responses within a challenging and emotive topic (Cornell. et al., 2016; Mitra, 2017; </w:t>
            </w:r>
            <w:r w:rsidRPr="001D0794">
              <w:rPr>
                <w:noProof/>
                <w:sz w:val="24"/>
                <w:szCs w:val="24"/>
              </w:rPr>
              <w:t>Pitman, 1982; Solomon, 2003</w:t>
            </w:r>
            <w:r w:rsidRPr="001D0794">
              <w:rPr>
                <w:sz w:val="24"/>
                <w:szCs w:val="24"/>
              </w:rPr>
              <w:t xml:space="preserve">). Therefore, using both approaches was important as it allowed me to acknowledge the challenging experiences of the family, but to maintain person centred practice, with a focus on the </w:t>
            </w:r>
            <w:r w:rsidR="00B8118B">
              <w:rPr>
                <w:sz w:val="24"/>
                <w:szCs w:val="24"/>
              </w:rPr>
              <w:t>individual</w:t>
            </w:r>
            <w:r w:rsidRPr="001D0794">
              <w:rPr>
                <w:sz w:val="24"/>
                <w:szCs w:val="24"/>
              </w:rPr>
              <w:t xml:space="preserve"> who remained my priority (</w:t>
            </w:r>
            <w:r w:rsidRPr="001D0794">
              <w:rPr>
                <w:rFonts w:cs="Times New Roman"/>
                <w:sz w:val="24"/>
                <w:szCs w:val="24"/>
              </w:rPr>
              <w:t>Washburn and Grossman, 2017</w:t>
            </w:r>
            <w:r w:rsidRPr="001D0794">
              <w:rPr>
                <w:sz w:val="24"/>
                <w:szCs w:val="24"/>
              </w:rPr>
              <w:t>). Through practicing in this way I was able to link theoretical perspectives to my practice and communicate effectively within carers of individual</w:t>
            </w:r>
            <w:r w:rsidR="00B8118B">
              <w:rPr>
                <w:sz w:val="24"/>
                <w:szCs w:val="24"/>
              </w:rPr>
              <w:t xml:space="preserve">s in need of care and support, </w:t>
            </w:r>
            <w:r w:rsidRPr="001D0794">
              <w:rPr>
                <w:sz w:val="24"/>
                <w:szCs w:val="24"/>
              </w:rPr>
              <w:t xml:space="preserve">supporting them to participate in the decision making process (SCW, 2017; 2011).  </w:t>
            </w:r>
          </w:p>
          <w:p w14:paraId="173428AF" w14:textId="77777777" w:rsidR="00B7362C" w:rsidRPr="001D0794" w:rsidRDefault="00B7362C" w:rsidP="00B7362C">
            <w:pPr>
              <w:spacing w:line="276" w:lineRule="auto"/>
              <w:ind w:firstLine="720"/>
              <w:rPr>
                <w:rFonts w:cs="Helvetica"/>
                <w:color w:val="3A3A3A"/>
                <w:sz w:val="24"/>
                <w:szCs w:val="24"/>
                <w:shd w:val="clear" w:color="auto" w:fill="FFFFFF"/>
              </w:rPr>
            </w:pPr>
          </w:p>
          <w:p w14:paraId="503EBDF9" w14:textId="00EF595A" w:rsidR="00B7362C" w:rsidRDefault="00B7362C" w:rsidP="00B7362C">
            <w:pPr>
              <w:spacing w:line="276" w:lineRule="auto"/>
              <w:ind w:firstLine="720"/>
              <w:rPr>
                <w:sz w:val="24"/>
                <w:szCs w:val="24"/>
              </w:rPr>
            </w:pPr>
            <w:r w:rsidRPr="001D0794">
              <w:rPr>
                <w:sz w:val="24"/>
                <w:szCs w:val="24"/>
              </w:rPr>
              <w:t xml:space="preserve">During the visit, the </w:t>
            </w:r>
            <w:r w:rsidR="00B8118B">
              <w:rPr>
                <w:sz w:val="24"/>
                <w:szCs w:val="24"/>
              </w:rPr>
              <w:t>individual</w:t>
            </w:r>
            <w:r w:rsidRPr="001D0794">
              <w:rPr>
                <w:sz w:val="24"/>
                <w:szCs w:val="24"/>
              </w:rPr>
              <w:t xml:space="preserve">s family members were initially very defensive when it was explained why we had visited and we had outlined our concerns. I felt very apprehensive as although the </w:t>
            </w:r>
            <w:proofErr w:type="gramStart"/>
            <w:r w:rsidR="00B8118B">
              <w:rPr>
                <w:sz w:val="24"/>
                <w:szCs w:val="24"/>
              </w:rPr>
              <w:t>individuals</w:t>
            </w:r>
            <w:proofErr w:type="gramEnd"/>
            <w:r w:rsidRPr="001D0794">
              <w:rPr>
                <w:sz w:val="24"/>
                <w:szCs w:val="24"/>
              </w:rPr>
              <w:t xml:space="preserve"> wishes were central, any plan required the support of his family to work due to his complex health needs. To seek to remedy this I utilised social work communication models such as reflective listening to validate their feelings, without agreeing with their views (</w:t>
            </w:r>
            <w:proofErr w:type="spellStart"/>
            <w:r w:rsidRPr="001D0794">
              <w:rPr>
                <w:sz w:val="24"/>
                <w:szCs w:val="24"/>
              </w:rPr>
              <w:t>Koprowska</w:t>
            </w:r>
            <w:proofErr w:type="spellEnd"/>
            <w:r w:rsidRPr="001D0794">
              <w:rPr>
                <w:sz w:val="24"/>
                <w:szCs w:val="24"/>
              </w:rPr>
              <w:t xml:space="preserve">, 2020; Miller &amp; </w:t>
            </w:r>
            <w:proofErr w:type="spellStart"/>
            <w:r w:rsidRPr="001D0794">
              <w:rPr>
                <w:sz w:val="24"/>
                <w:szCs w:val="24"/>
              </w:rPr>
              <w:t>Rollnick</w:t>
            </w:r>
            <w:proofErr w:type="spellEnd"/>
            <w:r w:rsidRPr="001D0794">
              <w:rPr>
                <w:sz w:val="24"/>
                <w:szCs w:val="24"/>
              </w:rPr>
              <w:t xml:space="preserve">, 2002). Using such techniques therefore promoted an ethically accountable and anti-oppressive practice, as it allowed effective open communication whilst not ignoring the uncertainties; ensuring purposeful </w:t>
            </w:r>
            <w:r w:rsidRPr="001D0794">
              <w:rPr>
                <w:sz w:val="24"/>
                <w:szCs w:val="24"/>
              </w:rPr>
              <w:lastRenderedPageBreak/>
              <w:t>communication (</w:t>
            </w:r>
            <w:r w:rsidRPr="001D0794">
              <w:rPr>
                <w:sz w:val="24"/>
                <w:szCs w:val="24"/>
                <w:shd w:val="clear" w:color="auto" w:fill="FFFFFF"/>
              </w:rPr>
              <w:t>Trevithick, 2005</w:t>
            </w:r>
            <w:r w:rsidRPr="001D0794">
              <w:rPr>
                <w:sz w:val="24"/>
                <w:szCs w:val="24"/>
              </w:rPr>
              <w:t xml:space="preserve">). It also supported the principles of trauma informed practice, ensuring that transparency, collaboration and safety were promoted for the </w:t>
            </w:r>
            <w:r w:rsidR="00B8118B">
              <w:rPr>
                <w:sz w:val="24"/>
                <w:szCs w:val="24"/>
              </w:rPr>
              <w:t>individual</w:t>
            </w:r>
            <w:r w:rsidRPr="001D0794">
              <w:rPr>
                <w:sz w:val="24"/>
                <w:szCs w:val="24"/>
              </w:rPr>
              <w:t xml:space="preserve"> and the family (</w:t>
            </w:r>
            <w:r w:rsidRPr="001D0794">
              <w:rPr>
                <w:rFonts w:cs="Helvetica"/>
                <w:color w:val="3A3A3A"/>
                <w:sz w:val="24"/>
                <w:szCs w:val="24"/>
                <w:shd w:val="clear" w:color="auto" w:fill="FFFFFF"/>
              </w:rPr>
              <w:t xml:space="preserve">Levenson, 2017; </w:t>
            </w:r>
            <w:r w:rsidRPr="001D0794">
              <w:rPr>
                <w:rFonts w:eastAsia="Calibri" w:cs="Times New Roman"/>
                <w:sz w:val="24"/>
                <w:szCs w:val="24"/>
              </w:rPr>
              <w:t xml:space="preserve">Smyth &amp; </w:t>
            </w:r>
            <w:proofErr w:type="spellStart"/>
            <w:r w:rsidRPr="001D0794">
              <w:rPr>
                <w:rFonts w:eastAsia="Calibri" w:cs="Times New Roman"/>
                <w:sz w:val="24"/>
                <w:szCs w:val="24"/>
              </w:rPr>
              <w:t>Greyber</w:t>
            </w:r>
            <w:proofErr w:type="spellEnd"/>
            <w:r w:rsidRPr="001D0794">
              <w:rPr>
                <w:rFonts w:eastAsia="Calibri" w:cs="Times New Roman"/>
                <w:sz w:val="24"/>
                <w:szCs w:val="24"/>
              </w:rPr>
              <w:t>, 2013</w:t>
            </w:r>
            <w:r w:rsidRPr="001D0794">
              <w:rPr>
                <w:sz w:val="24"/>
                <w:szCs w:val="24"/>
              </w:rPr>
              <w:t xml:space="preserve">). Therefore, I was able to direct discussions purposefully whilst acknowledging the views of the family, thus supporting my communication, maintaining </w:t>
            </w:r>
            <w:proofErr w:type="gramStart"/>
            <w:r w:rsidRPr="001D0794">
              <w:rPr>
                <w:sz w:val="24"/>
                <w:szCs w:val="24"/>
              </w:rPr>
              <w:t>an outcomes</w:t>
            </w:r>
            <w:proofErr w:type="gramEnd"/>
            <w:r w:rsidRPr="001D0794">
              <w:rPr>
                <w:sz w:val="24"/>
                <w:szCs w:val="24"/>
              </w:rPr>
              <w:t xml:space="preserve"> focused approach in increasingly complex dynamics and social work interventions. </w:t>
            </w:r>
          </w:p>
          <w:p w14:paraId="3512397C" w14:textId="77777777" w:rsidR="00B7362C" w:rsidRPr="001D0794" w:rsidRDefault="00B7362C" w:rsidP="00B7362C">
            <w:pPr>
              <w:spacing w:line="276" w:lineRule="auto"/>
              <w:ind w:firstLine="720"/>
              <w:rPr>
                <w:sz w:val="24"/>
                <w:szCs w:val="24"/>
              </w:rPr>
            </w:pPr>
          </w:p>
          <w:p w14:paraId="120AE9A1" w14:textId="79439175" w:rsidR="00B7362C" w:rsidRDefault="00B7362C" w:rsidP="00B7362C">
            <w:pPr>
              <w:spacing w:line="276" w:lineRule="auto"/>
              <w:rPr>
                <w:sz w:val="24"/>
                <w:szCs w:val="24"/>
              </w:rPr>
            </w:pPr>
            <w:r w:rsidRPr="001D0794">
              <w:rPr>
                <w:sz w:val="24"/>
                <w:szCs w:val="24"/>
              </w:rPr>
              <w:tab/>
              <w:t xml:space="preserve">When I sat in the armchair in the family lounge, I was conscious of the contrast in the body languages of the family and professionals, suggesting the rising tension within the room; family posture being taught and arms crossed. I felt proud I was able to read and be aware of this situation early in the visit. Although older and concerning encounters between two people, </w:t>
            </w:r>
            <w:proofErr w:type="spellStart"/>
            <w:r w:rsidRPr="001D0794">
              <w:rPr>
                <w:sz w:val="24"/>
                <w:szCs w:val="24"/>
              </w:rPr>
              <w:t>Birdwhistell’s</w:t>
            </w:r>
            <w:proofErr w:type="spellEnd"/>
            <w:r w:rsidRPr="001D0794">
              <w:rPr>
                <w:sz w:val="24"/>
                <w:szCs w:val="24"/>
              </w:rPr>
              <w:t xml:space="preserve"> study (1970, cited in Trevithick, 2013, p.120) highlights the significance of non-verbal communication as compromising up to two thirds of the transmission of communication. However, communication can also be affected by cultural norms and its interpretations tarnished by </w:t>
            </w:r>
            <w:proofErr w:type="spellStart"/>
            <w:r w:rsidRPr="001D0794">
              <w:rPr>
                <w:sz w:val="24"/>
                <w:szCs w:val="24"/>
              </w:rPr>
              <w:t>ones</w:t>
            </w:r>
            <w:proofErr w:type="spellEnd"/>
            <w:r w:rsidRPr="001D0794">
              <w:rPr>
                <w:sz w:val="24"/>
                <w:szCs w:val="24"/>
              </w:rPr>
              <w:t xml:space="preserve"> own assumptions (</w:t>
            </w:r>
            <w:proofErr w:type="spellStart"/>
            <w:r w:rsidRPr="001D0794">
              <w:rPr>
                <w:sz w:val="24"/>
                <w:szCs w:val="24"/>
              </w:rPr>
              <w:t>Koprowska</w:t>
            </w:r>
            <w:proofErr w:type="spellEnd"/>
            <w:r w:rsidRPr="001D0794">
              <w:rPr>
                <w:sz w:val="24"/>
                <w:szCs w:val="24"/>
              </w:rPr>
              <w:t xml:space="preserve">, 2020; </w:t>
            </w:r>
            <w:r w:rsidRPr="001D0794">
              <w:rPr>
                <w:sz w:val="24"/>
                <w:szCs w:val="24"/>
                <w:shd w:val="clear" w:color="auto" w:fill="FFFFFF"/>
              </w:rPr>
              <w:t>Trevithick, 2005</w:t>
            </w:r>
            <w:r w:rsidRPr="001D0794">
              <w:rPr>
                <w:sz w:val="24"/>
                <w:szCs w:val="24"/>
              </w:rPr>
              <w:t>). However, as I had engaged in challenging discussions with the family in the past, I felt more confident in interpreting their meanings and thus promoting an ant</w:t>
            </w:r>
            <w:r w:rsidR="00B8118B">
              <w:rPr>
                <w:sz w:val="24"/>
                <w:szCs w:val="24"/>
              </w:rPr>
              <w:t>i</w:t>
            </w:r>
            <w:r w:rsidRPr="001D0794">
              <w:rPr>
                <w:sz w:val="24"/>
                <w:szCs w:val="24"/>
              </w:rPr>
              <w:t xml:space="preserve">-oppressive and anti-discriminatory practice. Therefore, I feel I have developed my skills and increased confidence in communicating with individuals and carers in need of care and support. </w:t>
            </w:r>
          </w:p>
          <w:p w14:paraId="5D12CB68" w14:textId="77777777" w:rsidR="00B7362C" w:rsidRPr="001D0794" w:rsidRDefault="00B7362C" w:rsidP="00B7362C">
            <w:pPr>
              <w:spacing w:line="276" w:lineRule="auto"/>
              <w:rPr>
                <w:sz w:val="24"/>
                <w:szCs w:val="24"/>
              </w:rPr>
            </w:pPr>
          </w:p>
          <w:p w14:paraId="47B175BE" w14:textId="7B2CAF2C" w:rsidR="00B7362C" w:rsidRDefault="00B7362C" w:rsidP="00B7362C">
            <w:pPr>
              <w:spacing w:line="276" w:lineRule="auto"/>
              <w:ind w:firstLine="720"/>
              <w:rPr>
                <w:sz w:val="24"/>
                <w:szCs w:val="24"/>
              </w:rPr>
            </w:pPr>
            <w:r w:rsidRPr="001D0794">
              <w:rPr>
                <w:sz w:val="24"/>
                <w:szCs w:val="24"/>
              </w:rPr>
              <w:t xml:space="preserve">The individual and their family did not initially wish to accept formal care and support services. However, during the visit, </w:t>
            </w:r>
            <w:proofErr w:type="gramStart"/>
            <w:r w:rsidRPr="001D0794">
              <w:rPr>
                <w:sz w:val="24"/>
                <w:szCs w:val="24"/>
              </w:rPr>
              <w:t>they</w:t>
            </w:r>
            <w:r w:rsidR="00B8118B">
              <w:rPr>
                <w:sz w:val="24"/>
                <w:szCs w:val="24"/>
              </w:rPr>
              <w:t>,</w:t>
            </w:r>
            <w:proofErr w:type="gramEnd"/>
            <w:r w:rsidRPr="001D0794">
              <w:rPr>
                <w:sz w:val="24"/>
                <w:szCs w:val="24"/>
              </w:rPr>
              <w:t xml:space="preserve"> raised how positively they have found their in</w:t>
            </w:r>
            <w:r w:rsidR="00B8118B">
              <w:rPr>
                <w:sz w:val="24"/>
                <w:szCs w:val="24"/>
              </w:rPr>
              <w:t xml:space="preserve">teractions with the care staff; </w:t>
            </w:r>
            <w:r w:rsidRPr="001D0794">
              <w:rPr>
                <w:sz w:val="24"/>
                <w:szCs w:val="24"/>
              </w:rPr>
              <w:t>the individual wife</w:t>
            </w:r>
            <w:r w:rsidR="00B8118B">
              <w:rPr>
                <w:sz w:val="24"/>
                <w:szCs w:val="24"/>
              </w:rPr>
              <w:t xml:space="preserve"> agreeing</w:t>
            </w:r>
            <w:r w:rsidRPr="001D0794">
              <w:rPr>
                <w:sz w:val="24"/>
                <w:szCs w:val="24"/>
              </w:rPr>
              <w:t>, who was most r</w:t>
            </w:r>
            <w:r w:rsidR="00B8118B">
              <w:rPr>
                <w:sz w:val="24"/>
                <w:szCs w:val="24"/>
              </w:rPr>
              <w:t>eluctant to accept support</w:t>
            </w:r>
            <w:r w:rsidRPr="001D0794">
              <w:rPr>
                <w:sz w:val="24"/>
                <w:szCs w:val="24"/>
              </w:rPr>
              <w:t xml:space="preserve">. The family feeling that it was due to the care staff building this relationship they had felt comfortable to step back in their caring role. Although not a peer reviewed source, online articles such as that by Clifton and Thomas (2024) reflect the public interest in the topic, they reference the pressures upon social care services, in particular the challenging of recruiting domiciliary care workers. Nonetheless, Welsh Government (2015) survey notes within its surveys that although satisfaction levels with services are generally below 50%, when asked more specifically about the people </w:t>
            </w:r>
            <w:proofErr w:type="gramStart"/>
            <w:r w:rsidRPr="001D0794">
              <w:rPr>
                <w:sz w:val="24"/>
                <w:szCs w:val="24"/>
              </w:rPr>
              <w:t>which</w:t>
            </w:r>
            <w:proofErr w:type="gramEnd"/>
            <w:r w:rsidRPr="001D0794">
              <w:rPr>
                <w:sz w:val="24"/>
                <w:szCs w:val="24"/>
              </w:rPr>
              <w:t xml:space="preserve"> directly provide support, respondents were more positive. An acknowledgement of the significant of the relationship built between care staff and the family was </w:t>
            </w:r>
            <w:proofErr w:type="gramStart"/>
            <w:r w:rsidRPr="001D0794">
              <w:rPr>
                <w:sz w:val="24"/>
                <w:szCs w:val="24"/>
              </w:rPr>
              <w:t>key</w:t>
            </w:r>
            <w:proofErr w:type="gramEnd"/>
            <w:r w:rsidRPr="001D0794">
              <w:rPr>
                <w:sz w:val="24"/>
                <w:szCs w:val="24"/>
              </w:rPr>
              <w:t xml:space="preserve"> in how I structured the intervention as it allowed an open discussion of the strengths of the family engaging with support in addition to professional concerns. </w:t>
            </w:r>
          </w:p>
          <w:p w14:paraId="084869E2" w14:textId="77777777" w:rsidR="00B7362C" w:rsidRPr="001D0794" w:rsidRDefault="00B7362C" w:rsidP="00B7362C">
            <w:pPr>
              <w:spacing w:line="276" w:lineRule="auto"/>
              <w:ind w:firstLine="720"/>
              <w:rPr>
                <w:sz w:val="24"/>
                <w:szCs w:val="24"/>
              </w:rPr>
            </w:pPr>
          </w:p>
          <w:p w14:paraId="7DFED2F6" w14:textId="22FAFE25" w:rsidR="00B7362C" w:rsidRDefault="00B7362C" w:rsidP="00B7362C">
            <w:pPr>
              <w:spacing w:line="276" w:lineRule="auto"/>
              <w:ind w:firstLine="720"/>
              <w:rPr>
                <w:iCs/>
                <w:sz w:val="24"/>
                <w:szCs w:val="24"/>
              </w:rPr>
            </w:pPr>
            <w:r w:rsidRPr="001D0794">
              <w:rPr>
                <w:iCs/>
                <w:sz w:val="24"/>
                <w:szCs w:val="24"/>
              </w:rPr>
              <w:t xml:space="preserve">The support package for this </w:t>
            </w:r>
            <w:r w:rsidR="00B8118B">
              <w:rPr>
                <w:iCs/>
                <w:sz w:val="24"/>
                <w:szCs w:val="24"/>
              </w:rPr>
              <w:t>individual</w:t>
            </w:r>
            <w:r w:rsidRPr="001D0794">
              <w:rPr>
                <w:iCs/>
                <w:sz w:val="24"/>
                <w:szCs w:val="24"/>
              </w:rPr>
              <w:t xml:space="preserve"> to remain at home within the community only remained effective with the support of his informal care network, as it is unsafe for the </w:t>
            </w:r>
            <w:r w:rsidR="00B8118B">
              <w:rPr>
                <w:iCs/>
                <w:sz w:val="24"/>
                <w:szCs w:val="24"/>
              </w:rPr>
              <w:t>individual</w:t>
            </w:r>
            <w:r w:rsidRPr="001D0794">
              <w:rPr>
                <w:iCs/>
                <w:sz w:val="24"/>
                <w:szCs w:val="24"/>
              </w:rPr>
              <w:t xml:space="preserve"> to be left alone for any length of time. I was acutely aware that I needed to maintain a relationship with the family, despite the raised concerns in order to continue to </w:t>
            </w:r>
            <w:r w:rsidRPr="001D0794">
              <w:rPr>
                <w:iCs/>
                <w:sz w:val="24"/>
                <w:szCs w:val="24"/>
              </w:rPr>
              <w:lastRenderedPageBreak/>
              <w:t>safely facilitate the individuals wishes (</w:t>
            </w:r>
            <w:r w:rsidRPr="001D0794">
              <w:rPr>
                <w:sz w:val="24"/>
                <w:szCs w:val="24"/>
              </w:rPr>
              <w:t>Caulfield et al., 2022; Cooke et al., 2019 Huang et al., 2021a; 2021b; Lee, 2009)</w:t>
            </w:r>
            <w:r w:rsidRPr="001D0794">
              <w:rPr>
                <w:iCs/>
                <w:sz w:val="24"/>
                <w:szCs w:val="24"/>
              </w:rPr>
              <w:t xml:space="preserve">. The significance of informal networks of support within my intervention reflects the broader context in Wales of the role of informal carers, my Local Authority area has </w:t>
            </w:r>
            <w:r w:rsidR="00F027F2">
              <w:rPr>
                <w:iCs/>
                <w:sz w:val="24"/>
                <w:szCs w:val="24"/>
              </w:rPr>
              <w:t xml:space="preserve">amongst </w:t>
            </w:r>
            <w:r w:rsidRPr="001D0794">
              <w:rPr>
                <w:iCs/>
                <w:sz w:val="24"/>
                <w:szCs w:val="24"/>
              </w:rPr>
              <w:t>the highest level</w:t>
            </w:r>
            <w:r w:rsidR="00F027F2">
              <w:rPr>
                <w:iCs/>
                <w:sz w:val="24"/>
                <w:szCs w:val="24"/>
              </w:rPr>
              <w:t>s</w:t>
            </w:r>
            <w:r w:rsidRPr="001D0794">
              <w:rPr>
                <w:iCs/>
                <w:sz w:val="24"/>
                <w:szCs w:val="24"/>
              </w:rPr>
              <w:t xml:space="preserve"> of informal carers in the </w:t>
            </w:r>
            <w:r w:rsidR="00F027F2">
              <w:rPr>
                <w:iCs/>
                <w:sz w:val="24"/>
                <w:szCs w:val="24"/>
              </w:rPr>
              <w:t>United Kingdon</w:t>
            </w:r>
            <w:r w:rsidRPr="001D0794">
              <w:rPr>
                <w:iCs/>
                <w:sz w:val="24"/>
                <w:szCs w:val="24"/>
              </w:rPr>
              <w:t xml:space="preserve"> (</w:t>
            </w:r>
            <w:r w:rsidRPr="001D0794">
              <w:rPr>
                <w:sz w:val="24"/>
                <w:szCs w:val="24"/>
              </w:rPr>
              <w:t>Office for National Statistics, 2013</w:t>
            </w:r>
            <w:r w:rsidRPr="001D0794">
              <w:rPr>
                <w:iCs/>
                <w:sz w:val="24"/>
                <w:szCs w:val="24"/>
              </w:rPr>
              <w:t xml:space="preserve">). In Wales, the </w:t>
            </w:r>
            <w:r w:rsidRPr="001D0794">
              <w:rPr>
                <w:i/>
                <w:iCs/>
                <w:sz w:val="24"/>
                <w:szCs w:val="24"/>
              </w:rPr>
              <w:t>SSWWA 2014,</w:t>
            </w:r>
            <w:r w:rsidRPr="001D0794">
              <w:rPr>
                <w:iCs/>
                <w:sz w:val="24"/>
                <w:szCs w:val="24"/>
              </w:rPr>
              <w:t xml:space="preserve"> states their right to assessment under section 24-26, although this had been declined the duty remains to ensure their appropriate including in care planning in addition to a duty to maintain their wellbeing. Therefore, through awareness of this context, I felt I was more effectively able to work and exercise my professional judgment in a culturally sensitive manner with specific understanding of the context of practice in Wales, in particular the increased pressures on the informal care network (</w:t>
            </w:r>
            <w:r w:rsidRPr="001D0794">
              <w:rPr>
                <w:sz w:val="24"/>
                <w:szCs w:val="24"/>
              </w:rPr>
              <w:t>Cooke et al., 2019</w:t>
            </w:r>
            <w:r w:rsidR="00E51617">
              <w:rPr>
                <w:sz w:val="24"/>
                <w:szCs w:val="24"/>
              </w:rPr>
              <w:t>; Welsh Government, 2019c</w:t>
            </w:r>
            <w:r w:rsidRPr="001D0794">
              <w:rPr>
                <w:iCs/>
                <w:sz w:val="24"/>
                <w:szCs w:val="24"/>
              </w:rPr>
              <w:t xml:space="preserve">). Thus more effectively gather the required information as part of the safeguarding process, accurately recording my views on the risks and possible resilience strategies which could be implemented with the family. For example returning to discuss with the lead safeguarding social worker beneficial training opportunities the family felt positively about engaging in, such as additional manual handling and equipment guidance. I believe this also demonstrated anti-oppressive practice through, both acknowledging the risks, strengths and knowledge pool of the </w:t>
            </w:r>
            <w:r w:rsidR="00B8118B">
              <w:rPr>
                <w:iCs/>
                <w:sz w:val="24"/>
                <w:szCs w:val="24"/>
              </w:rPr>
              <w:t>individual</w:t>
            </w:r>
            <w:r w:rsidRPr="001D0794">
              <w:rPr>
                <w:iCs/>
                <w:sz w:val="24"/>
                <w:szCs w:val="24"/>
              </w:rPr>
              <w:t xml:space="preserve">s informal care network, harnessing this to support the </w:t>
            </w:r>
            <w:r w:rsidR="00B8118B">
              <w:rPr>
                <w:iCs/>
                <w:sz w:val="24"/>
                <w:szCs w:val="24"/>
              </w:rPr>
              <w:t>individual</w:t>
            </w:r>
            <w:r w:rsidRPr="001D0794">
              <w:rPr>
                <w:iCs/>
                <w:sz w:val="24"/>
                <w:szCs w:val="24"/>
              </w:rPr>
              <w:t xml:space="preserve"> to meet his outcome of remaining at home. </w:t>
            </w:r>
          </w:p>
          <w:p w14:paraId="748AB4D6" w14:textId="77777777" w:rsidR="00B7362C" w:rsidRPr="001D0794" w:rsidRDefault="00B7362C" w:rsidP="00B7362C">
            <w:pPr>
              <w:spacing w:line="276" w:lineRule="auto"/>
              <w:ind w:firstLine="720"/>
              <w:rPr>
                <w:iCs/>
                <w:sz w:val="24"/>
                <w:szCs w:val="24"/>
              </w:rPr>
            </w:pPr>
          </w:p>
          <w:p w14:paraId="33F01883" w14:textId="698E3561" w:rsidR="00B7362C" w:rsidRDefault="00B7362C" w:rsidP="00B7362C">
            <w:pPr>
              <w:spacing w:line="276" w:lineRule="auto"/>
              <w:ind w:firstLine="720"/>
              <w:rPr>
                <w:iCs/>
                <w:sz w:val="24"/>
                <w:szCs w:val="24"/>
              </w:rPr>
            </w:pPr>
            <w:r w:rsidRPr="001D0794">
              <w:rPr>
                <w:iCs/>
                <w:sz w:val="24"/>
                <w:szCs w:val="24"/>
              </w:rPr>
              <w:t xml:space="preserve">None of the family </w:t>
            </w:r>
            <w:proofErr w:type="gramStart"/>
            <w:r w:rsidRPr="001D0794">
              <w:rPr>
                <w:iCs/>
                <w:sz w:val="24"/>
                <w:szCs w:val="24"/>
              </w:rPr>
              <w:t>were</w:t>
            </w:r>
            <w:proofErr w:type="gramEnd"/>
            <w:r w:rsidRPr="001D0794">
              <w:rPr>
                <w:iCs/>
                <w:sz w:val="24"/>
                <w:szCs w:val="24"/>
              </w:rPr>
              <w:t xml:space="preserve"> Welsh speakers, therefore communication was conducted in English, their language of choice. However, as a Welsh speaker, I still feel passionately about the importance of the ‘Active Offer’ as outlined within the ‘More than just words’ paper,  as directed by the </w:t>
            </w:r>
            <w:r w:rsidRPr="001D0794">
              <w:rPr>
                <w:i/>
                <w:iCs/>
                <w:sz w:val="24"/>
                <w:szCs w:val="24"/>
              </w:rPr>
              <w:t xml:space="preserve">Welsh Language Measure 2011 </w:t>
            </w:r>
            <w:r w:rsidRPr="001D0794">
              <w:rPr>
                <w:iCs/>
                <w:sz w:val="24"/>
                <w:szCs w:val="24"/>
              </w:rPr>
              <w:t xml:space="preserve"> – I had completed this during the assessment with the </w:t>
            </w:r>
            <w:r w:rsidR="00B8118B">
              <w:rPr>
                <w:iCs/>
                <w:sz w:val="24"/>
                <w:szCs w:val="24"/>
              </w:rPr>
              <w:t>individual</w:t>
            </w:r>
            <w:r w:rsidRPr="001D0794">
              <w:rPr>
                <w:iCs/>
                <w:sz w:val="24"/>
                <w:szCs w:val="24"/>
              </w:rPr>
              <w:t xml:space="preserve"> and his family (</w:t>
            </w:r>
            <w:r w:rsidRPr="001D0794">
              <w:rPr>
                <w:sz w:val="24"/>
                <w:szCs w:val="24"/>
              </w:rPr>
              <w:t>Welsh Government, 2022)</w:t>
            </w:r>
            <w:r w:rsidRPr="001D0794">
              <w:rPr>
                <w:iCs/>
                <w:sz w:val="24"/>
                <w:szCs w:val="24"/>
              </w:rPr>
              <w:t>. Ensuring that individuals have the opportunity to express their feelings, views and wishes in their preferred language is essential within the safeguarding arena to ensure information is gathered accurately thus risk managed effectively (Welsh Government, 2019). It also supports a trauma informed practice in acknowledging the significance and different linguistic relationships held by individuals (</w:t>
            </w:r>
            <w:r w:rsidRPr="001D0794">
              <w:rPr>
                <w:rFonts w:cs="Helvetica"/>
                <w:color w:val="3A3A3A"/>
                <w:sz w:val="24"/>
                <w:szCs w:val="24"/>
                <w:shd w:val="clear" w:color="auto" w:fill="FFFFFF"/>
              </w:rPr>
              <w:t xml:space="preserve">Levenson, 2017; </w:t>
            </w:r>
            <w:r w:rsidRPr="001D0794">
              <w:rPr>
                <w:rFonts w:eastAsia="Calibri" w:cs="Times New Roman"/>
                <w:sz w:val="24"/>
                <w:szCs w:val="24"/>
              </w:rPr>
              <w:t xml:space="preserve">Smyth and </w:t>
            </w:r>
            <w:proofErr w:type="spellStart"/>
            <w:r w:rsidRPr="001D0794">
              <w:rPr>
                <w:rFonts w:eastAsia="Calibri" w:cs="Times New Roman"/>
                <w:sz w:val="24"/>
                <w:szCs w:val="24"/>
              </w:rPr>
              <w:t>Greyber</w:t>
            </w:r>
            <w:proofErr w:type="spellEnd"/>
            <w:r w:rsidRPr="001D0794">
              <w:rPr>
                <w:rFonts w:eastAsia="Calibri" w:cs="Times New Roman"/>
                <w:sz w:val="24"/>
                <w:szCs w:val="24"/>
              </w:rPr>
              <w:t>, 2013</w:t>
            </w:r>
            <w:r w:rsidRPr="001D0794">
              <w:rPr>
                <w:iCs/>
                <w:sz w:val="24"/>
                <w:szCs w:val="24"/>
              </w:rPr>
              <w:t xml:space="preserve">). Therefore, although not utilised during this specific visit, an awareness of the policy and legislative framework was important to ensure I was able to maintain anti-discriminatory practice, ensuring the rights of </w:t>
            </w:r>
            <w:r w:rsidR="00B8118B">
              <w:rPr>
                <w:iCs/>
                <w:sz w:val="24"/>
                <w:szCs w:val="24"/>
              </w:rPr>
              <w:t>individual</w:t>
            </w:r>
            <w:r w:rsidRPr="001D0794">
              <w:rPr>
                <w:iCs/>
                <w:sz w:val="24"/>
                <w:szCs w:val="24"/>
              </w:rPr>
              <w:t xml:space="preserve">s were respected and their views heard. </w:t>
            </w:r>
          </w:p>
          <w:p w14:paraId="21FCA676" w14:textId="77777777" w:rsidR="00B7362C" w:rsidRPr="001D0794" w:rsidRDefault="00B7362C" w:rsidP="00B7362C">
            <w:pPr>
              <w:spacing w:line="276" w:lineRule="auto"/>
              <w:ind w:firstLine="720"/>
              <w:rPr>
                <w:iCs/>
                <w:sz w:val="24"/>
                <w:szCs w:val="24"/>
              </w:rPr>
            </w:pPr>
          </w:p>
          <w:p w14:paraId="1CE917B5" w14:textId="1290D3F8" w:rsidR="00B7362C" w:rsidRDefault="00B7362C" w:rsidP="00B7362C">
            <w:pPr>
              <w:spacing w:line="276" w:lineRule="auto"/>
              <w:ind w:firstLine="720"/>
              <w:rPr>
                <w:iCs/>
                <w:sz w:val="24"/>
                <w:szCs w:val="24"/>
              </w:rPr>
            </w:pPr>
            <w:r w:rsidRPr="001D0794">
              <w:rPr>
                <w:iCs/>
                <w:sz w:val="24"/>
                <w:szCs w:val="24"/>
              </w:rPr>
              <w:t xml:space="preserve">Although the incident didn’t progress further within safeguarding, it was challenging to consider how to manage the risks and complexity associated with the </w:t>
            </w:r>
            <w:r w:rsidR="00B8118B">
              <w:rPr>
                <w:iCs/>
                <w:sz w:val="24"/>
                <w:szCs w:val="24"/>
              </w:rPr>
              <w:t>individual</w:t>
            </w:r>
            <w:r w:rsidRPr="001D0794">
              <w:rPr>
                <w:iCs/>
                <w:sz w:val="24"/>
                <w:szCs w:val="24"/>
              </w:rPr>
              <w:t xml:space="preserve"> remaining the in the community. The </w:t>
            </w:r>
            <w:r w:rsidR="00B8118B">
              <w:rPr>
                <w:iCs/>
                <w:sz w:val="24"/>
                <w:szCs w:val="24"/>
              </w:rPr>
              <w:t>individual</w:t>
            </w:r>
            <w:r w:rsidRPr="001D0794">
              <w:rPr>
                <w:iCs/>
                <w:sz w:val="24"/>
                <w:szCs w:val="24"/>
              </w:rPr>
              <w:t xml:space="preserve"> met the definition of disability under the E</w:t>
            </w:r>
            <w:r w:rsidRPr="001D0794">
              <w:rPr>
                <w:i/>
                <w:iCs/>
                <w:sz w:val="24"/>
                <w:szCs w:val="24"/>
              </w:rPr>
              <w:t>quality Act 2010</w:t>
            </w:r>
            <w:r w:rsidRPr="001D0794">
              <w:rPr>
                <w:iCs/>
                <w:sz w:val="24"/>
                <w:szCs w:val="24"/>
              </w:rPr>
              <w:t xml:space="preserve">, as his condition had a substantial and long term impact on his ability to complete day to day tasks. The </w:t>
            </w:r>
            <w:r w:rsidRPr="001D0794">
              <w:rPr>
                <w:i/>
                <w:iCs/>
                <w:sz w:val="24"/>
                <w:szCs w:val="24"/>
              </w:rPr>
              <w:t>SSWWA 2014</w:t>
            </w:r>
            <w:r w:rsidRPr="001D0794">
              <w:rPr>
                <w:iCs/>
                <w:sz w:val="24"/>
                <w:szCs w:val="24"/>
              </w:rPr>
              <w:t xml:space="preserve"> reflects the principles of the </w:t>
            </w:r>
            <w:r w:rsidRPr="001D0794">
              <w:rPr>
                <w:i/>
                <w:iCs/>
                <w:sz w:val="24"/>
                <w:szCs w:val="24"/>
              </w:rPr>
              <w:t xml:space="preserve">Equality Act 2010 </w:t>
            </w:r>
            <w:r w:rsidRPr="001D0794">
              <w:rPr>
                <w:iCs/>
                <w:sz w:val="24"/>
                <w:szCs w:val="24"/>
              </w:rPr>
              <w:t xml:space="preserve">and international frameworks, adopted by the United Kingdom, such as the United Nations </w:t>
            </w:r>
            <w:r w:rsidRPr="001D0794">
              <w:rPr>
                <w:iCs/>
                <w:sz w:val="24"/>
                <w:szCs w:val="24"/>
              </w:rPr>
              <w:lastRenderedPageBreak/>
              <w:t xml:space="preserve">(2006) Convention on the Rights of Persons with Disabilities. Article 16 of the aforementioned convention, raises the importance of protection from all forms of abuse and neglect, however, also emphasises the importance of raising awareness, staff training and monitoring to facilitate this. I found such principles helpful in co-producing an assessment strategy with the safeguarding social worker of how the risks would be managed, including providing additional training for the family, redrafting care plan paperwork and an agreement for more frequent monitoring. I believe this reflected an anti-oppressive and anti-discriminatory practice, as the </w:t>
            </w:r>
            <w:r w:rsidR="00B8118B">
              <w:rPr>
                <w:iCs/>
                <w:sz w:val="24"/>
                <w:szCs w:val="24"/>
              </w:rPr>
              <w:t>individual</w:t>
            </w:r>
            <w:r w:rsidRPr="001D0794">
              <w:rPr>
                <w:iCs/>
                <w:sz w:val="24"/>
                <w:szCs w:val="24"/>
              </w:rPr>
              <w:t>’s outcome was respected, however, the reality of the risk was confronted, thus minimised in order for him to reach this outcome (</w:t>
            </w:r>
            <w:r w:rsidRPr="001D0794">
              <w:rPr>
                <w:sz w:val="24"/>
                <w:szCs w:val="24"/>
              </w:rPr>
              <w:t xml:space="preserve">Biggs, Phillipson and Kingston, 1995; Burke, 2013; </w:t>
            </w:r>
            <w:proofErr w:type="spellStart"/>
            <w:r w:rsidRPr="001D0794">
              <w:rPr>
                <w:sz w:val="24"/>
                <w:szCs w:val="24"/>
              </w:rPr>
              <w:t>Hwalek</w:t>
            </w:r>
            <w:proofErr w:type="spellEnd"/>
            <w:r w:rsidRPr="001D0794">
              <w:rPr>
                <w:sz w:val="24"/>
                <w:szCs w:val="24"/>
              </w:rPr>
              <w:t>, Goodrich and Quinn, 1996</w:t>
            </w:r>
            <w:r w:rsidRPr="001D0794">
              <w:rPr>
                <w:iCs/>
                <w:sz w:val="24"/>
                <w:szCs w:val="24"/>
              </w:rPr>
              <w:t xml:space="preserve">). I believe this reflected my ability to make maintain </w:t>
            </w:r>
            <w:proofErr w:type="gramStart"/>
            <w:r w:rsidRPr="001D0794">
              <w:rPr>
                <w:iCs/>
                <w:sz w:val="24"/>
                <w:szCs w:val="24"/>
              </w:rPr>
              <w:t>an outcomes</w:t>
            </w:r>
            <w:proofErr w:type="gramEnd"/>
            <w:r w:rsidRPr="001D0794">
              <w:rPr>
                <w:iCs/>
                <w:sz w:val="24"/>
                <w:szCs w:val="24"/>
              </w:rPr>
              <w:t xml:space="preserve"> focused </w:t>
            </w:r>
            <w:r w:rsidR="00B8118B">
              <w:rPr>
                <w:iCs/>
                <w:sz w:val="24"/>
                <w:szCs w:val="24"/>
              </w:rPr>
              <w:t>individual</w:t>
            </w:r>
            <w:r w:rsidRPr="001D0794">
              <w:rPr>
                <w:iCs/>
                <w:sz w:val="24"/>
                <w:szCs w:val="24"/>
              </w:rPr>
              <w:t xml:space="preserve"> centred approach within my assessment to support his wellbeing, whilst contributing to the legal process within the safeguarding process (SCW, 2017; 2011).</w:t>
            </w:r>
          </w:p>
          <w:p w14:paraId="6EB146F9" w14:textId="77777777" w:rsidR="00B7362C" w:rsidRPr="001D0794" w:rsidRDefault="00B7362C" w:rsidP="00B7362C">
            <w:pPr>
              <w:spacing w:line="276" w:lineRule="auto"/>
              <w:ind w:firstLine="720"/>
              <w:rPr>
                <w:iCs/>
                <w:sz w:val="24"/>
                <w:szCs w:val="24"/>
              </w:rPr>
            </w:pPr>
          </w:p>
          <w:p w14:paraId="353F447C" w14:textId="45B90CA1" w:rsidR="00B7362C" w:rsidRPr="001D0794" w:rsidRDefault="00B7362C" w:rsidP="00B7362C">
            <w:pPr>
              <w:spacing w:line="276" w:lineRule="auto"/>
              <w:ind w:firstLine="720"/>
              <w:rPr>
                <w:iCs/>
                <w:sz w:val="24"/>
                <w:szCs w:val="24"/>
              </w:rPr>
            </w:pPr>
            <w:r w:rsidRPr="001D0794">
              <w:rPr>
                <w:iCs/>
                <w:sz w:val="24"/>
                <w:szCs w:val="24"/>
              </w:rPr>
              <w:t xml:space="preserve">In conclusion, this intervention reflects the multi-disciplinary nature of assessment within adult safeguarding in Wales (Welsh Government, 2019). It also highlights the social work role and its deployment within complex interventions, when used appropriately to support a person centred approach to keeping vulnerable </w:t>
            </w:r>
            <w:r w:rsidR="00B8118B">
              <w:rPr>
                <w:iCs/>
                <w:sz w:val="24"/>
                <w:szCs w:val="24"/>
              </w:rPr>
              <w:t>individual</w:t>
            </w:r>
            <w:r w:rsidRPr="001D0794">
              <w:rPr>
                <w:iCs/>
                <w:sz w:val="24"/>
                <w:szCs w:val="24"/>
              </w:rPr>
              <w:t>s safe (</w:t>
            </w:r>
            <w:r w:rsidRPr="001D0794">
              <w:rPr>
                <w:sz w:val="24"/>
                <w:szCs w:val="24"/>
              </w:rPr>
              <w:t xml:space="preserve">Howe, 2009; </w:t>
            </w:r>
            <w:r w:rsidRPr="001D0794">
              <w:rPr>
                <w:sz w:val="24"/>
                <w:szCs w:val="24"/>
                <w:shd w:val="clear" w:color="auto" w:fill="FFFFFF"/>
              </w:rPr>
              <w:t>Maclean and Harrison, 2015</w:t>
            </w:r>
            <w:r w:rsidRPr="001D0794">
              <w:rPr>
                <w:iCs/>
                <w:sz w:val="24"/>
                <w:szCs w:val="24"/>
              </w:rPr>
              <w:t xml:space="preserve">). However, in order to achieve this, relating theories to practice is essential as part of completing interventions; as this supports building relationships in challenging situations, which in turn provides a more holistic mapping of risk as resilience factors for at risk </w:t>
            </w:r>
            <w:r w:rsidR="00B8118B">
              <w:rPr>
                <w:iCs/>
                <w:sz w:val="24"/>
                <w:szCs w:val="24"/>
              </w:rPr>
              <w:t>individual</w:t>
            </w:r>
            <w:r w:rsidRPr="001D0794">
              <w:rPr>
                <w:iCs/>
                <w:sz w:val="24"/>
                <w:szCs w:val="24"/>
              </w:rPr>
              <w:t>s (</w:t>
            </w:r>
            <w:proofErr w:type="spellStart"/>
            <w:r w:rsidRPr="001D0794">
              <w:rPr>
                <w:sz w:val="24"/>
                <w:szCs w:val="24"/>
              </w:rPr>
              <w:t>Koprowska</w:t>
            </w:r>
            <w:proofErr w:type="spellEnd"/>
            <w:r w:rsidRPr="001D0794">
              <w:rPr>
                <w:sz w:val="24"/>
                <w:szCs w:val="24"/>
              </w:rPr>
              <w:t xml:space="preserve">, 2020; </w:t>
            </w:r>
            <w:r w:rsidRPr="001D0794">
              <w:rPr>
                <w:sz w:val="24"/>
                <w:szCs w:val="24"/>
                <w:shd w:val="clear" w:color="auto" w:fill="FFFFFF"/>
              </w:rPr>
              <w:t>Maclean and Harrison, 2015</w:t>
            </w:r>
            <w:r w:rsidRPr="001D0794">
              <w:rPr>
                <w:iCs/>
                <w:sz w:val="24"/>
                <w:szCs w:val="24"/>
              </w:rPr>
              <w:t xml:space="preserve">). I believe the intervention I have reflected upon demonstrates the complex and contextual nature of safeguarding in Wales, where the professional role is of increased import to ensure an outcomes focused approach in the context of more stringent budgetary constraints. </w:t>
            </w:r>
          </w:p>
          <w:p w14:paraId="573318B2" w14:textId="77777777" w:rsidR="00B7362C" w:rsidRPr="001D0794" w:rsidRDefault="00B7362C" w:rsidP="00B7362C">
            <w:pPr>
              <w:spacing w:line="276" w:lineRule="auto"/>
              <w:rPr>
                <w:b/>
                <w:iCs/>
                <w:sz w:val="24"/>
                <w:szCs w:val="24"/>
                <w:u w:val="single"/>
              </w:rPr>
            </w:pPr>
          </w:p>
          <w:p w14:paraId="479F6BDA" w14:textId="00E2D87A" w:rsidR="00B7362C" w:rsidRPr="00B7362C" w:rsidRDefault="00D31B9B" w:rsidP="00FF7EBB">
            <w:pPr>
              <w:jc w:val="both"/>
              <w:rPr>
                <w:sz w:val="24"/>
                <w:szCs w:val="24"/>
              </w:rPr>
            </w:pPr>
            <w:r>
              <w:rPr>
                <w:sz w:val="24"/>
                <w:szCs w:val="24"/>
              </w:rPr>
              <w:t>WORD COUNT: 3954</w:t>
            </w:r>
            <w:r w:rsidR="00B7362C">
              <w:rPr>
                <w:sz w:val="24"/>
                <w:szCs w:val="24"/>
              </w:rPr>
              <w:t xml:space="preserve"> </w:t>
            </w: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63788B" w14:textId="77777777" w:rsidR="003F251E" w:rsidRDefault="003F251E">
      <w:r>
        <w:separator/>
      </w:r>
    </w:p>
  </w:endnote>
  <w:endnote w:type="continuationSeparator" w:id="0">
    <w:p w14:paraId="0E1DC279" w14:textId="77777777" w:rsidR="003F251E" w:rsidRDefault="003F25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DengXian Light">
    <w:altName w:val="Arial Unicode MS"/>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A3DEAF" w14:textId="311829FB" w:rsidR="00A5656A" w:rsidRDefault="00A5656A">
    <w:pPr>
      <w:pStyle w:val="Footer"/>
      <w:jc w:val="right"/>
    </w:pPr>
    <w:r>
      <w:fldChar w:fldCharType="begin"/>
    </w:r>
    <w:r>
      <w:instrText xml:space="preserve"> PAGE   \* MERGEFORMAT </w:instrText>
    </w:r>
    <w:r>
      <w:fldChar w:fldCharType="separate"/>
    </w:r>
    <w:r w:rsidR="0046295E">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0E787D" w14:textId="77777777" w:rsidR="003F251E" w:rsidRDefault="003F251E">
      <w:r>
        <w:separator/>
      </w:r>
    </w:p>
  </w:footnote>
  <w:footnote w:type="continuationSeparator" w:id="0">
    <w:p w14:paraId="0590D9B9" w14:textId="77777777" w:rsidR="003F251E" w:rsidRDefault="003F251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BF7"/>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C6795"/>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51E"/>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295E"/>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66C5"/>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F75"/>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62C"/>
    <w:rsid w:val="00B7502A"/>
    <w:rsid w:val="00B77305"/>
    <w:rsid w:val="00B774BD"/>
    <w:rsid w:val="00B8118B"/>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1B9B"/>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617"/>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7F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vkekvd">
    <w:name w:val="vkekvd"/>
    <w:basedOn w:val="DefaultParagraphFont"/>
    <w:rsid w:val="00B7362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vkekvd">
    <w:name w:val="vkekvd"/>
    <w:basedOn w:val="DefaultParagraphFont"/>
    <w:rsid w:val="00B736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2418504@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AC3492-DF9A-4C3E-96EE-AEAEFC78B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10</Pages>
  <Words>4141</Words>
  <Characters>23608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27694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Lowri Jenkins</cp:lastModifiedBy>
  <cp:revision>6</cp:revision>
  <cp:lastPrinted>2020-02-11T19:20:00Z</cp:lastPrinted>
  <dcterms:created xsi:type="dcterms:W3CDTF">2025-10-05T14:33:00Z</dcterms:created>
  <dcterms:modified xsi:type="dcterms:W3CDTF">2025-10-06T16:32:00Z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