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9243"/>
      </w:tblGrid>
      <w:tr w:rsidR="00745FF2" w:rsidRPr="00745FF2" w:rsidTr="00745FF2">
        <w:tc>
          <w:tcPr>
            <w:tcW w:w="9243" w:type="dxa"/>
          </w:tcPr>
          <w:p w:rsidR="00745FF2" w:rsidRPr="00745FF2" w:rsidRDefault="00745FF2" w:rsidP="00745FF2">
            <w:pPr>
              <w:spacing w:line="360" w:lineRule="auto"/>
              <w:jc w:val="center"/>
              <w:rPr>
                <w:rFonts w:ascii="Arial" w:hAnsi="Arial" w:cs="Arial"/>
                <w:b/>
                <w:bCs/>
              </w:rPr>
            </w:pPr>
            <w:r w:rsidRPr="00745FF2">
              <w:rPr>
                <w:rFonts w:ascii="Arial" w:hAnsi="Arial" w:cs="Arial"/>
                <w:b/>
                <w:bCs/>
              </w:rPr>
              <w:t>BMHP5016: Principles of Health and Social Care</w:t>
            </w:r>
          </w:p>
        </w:tc>
      </w:tr>
      <w:tr w:rsidR="00745FF2" w:rsidRPr="00745FF2" w:rsidTr="00745FF2">
        <w:tc>
          <w:tcPr>
            <w:tcW w:w="9243" w:type="dxa"/>
          </w:tcPr>
          <w:p w:rsidR="00745FF2" w:rsidRPr="00745FF2" w:rsidRDefault="00745FF2" w:rsidP="00745FF2">
            <w:pPr>
              <w:spacing w:line="360" w:lineRule="auto"/>
              <w:jc w:val="center"/>
              <w:rPr>
                <w:rFonts w:ascii="Arial" w:hAnsi="Arial" w:cs="Arial"/>
              </w:rPr>
            </w:pPr>
            <w:r w:rsidRPr="00745FF2">
              <w:rPr>
                <w:rFonts w:ascii="Arial" w:hAnsi="Arial" w:cs="Arial"/>
                <w:b/>
                <w:bCs/>
              </w:rPr>
              <w:t>Assignment Title:</w:t>
            </w:r>
            <w:r w:rsidRPr="00745FF2">
              <w:rPr>
                <w:rFonts w:ascii="Arial" w:hAnsi="Arial" w:cs="Arial"/>
              </w:rPr>
              <w:t xml:space="preserve"> Applying Principles of Health and Social Care to Robyn’s Story</w:t>
            </w:r>
          </w:p>
        </w:tc>
      </w:tr>
      <w:tr w:rsidR="00745FF2" w:rsidRPr="00745FF2" w:rsidTr="00745FF2">
        <w:tc>
          <w:tcPr>
            <w:tcW w:w="9243" w:type="dxa"/>
          </w:tcPr>
          <w:p w:rsidR="00745FF2" w:rsidRPr="00745FF2" w:rsidRDefault="00745FF2" w:rsidP="00745FF2">
            <w:pPr>
              <w:spacing w:line="360" w:lineRule="auto"/>
              <w:jc w:val="center"/>
              <w:rPr>
                <w:rFonts w:ascii="Arial" w:hAnsi="Arial" w:cs="Arial"/>
              </w:rPr>
            </w:pPr>
            <w:r w:rsidRPr="00745FF2">
              <w:rPr>
                <w:rFonts w:ascii="Arial" w:hAnsi="Arial" w:cs="Arial"/>
                <w:b/>
                <w:bCs/>
              </w:rPr>
              <w:t>Student Name:</w:t>
            </w:r>
            <w:r>
              <w:rPr>
                <w:rFonts w:ascii="Arial" w:hAnsi="Arial" w:cs="Arial"/>
              </w:rPr>
              <w:t xml:space="preserve"> </w:t>
            </w:r>
            <w:proofErr w:type="spellStart"/>
            <w:r w:rsidRPr="00745FF2">
              <w:rPr>
                <w:rFonts w:ascii="Arial" w:hAnsi="Arial" w:cs="Arial"/>
              </w:rPr>
              <w:t>Zatoon</w:t>
            </w:r>
            <w:proofErr w:type="spellEnd"/>
            <w:r w:rsidRPr="00745FF2">
              <w:rPr>
                <w:rFonts w:ascii="Arial" w:hAnsi="Arial" w:cs="Arial"/>
              </w:rPr>
              <w:t xml:space="preserve"> Ali</w:t>
            </w:r>
          </w:p>
        </w:tc>
      </w:tr>
      <w:tr w:rsidR="00745FF2" w:rsidRPr="00745FF2" w:rsidTr="00745FF2">
        <w:tc>
          <w:tcPr>
            <w:tcW w:w="9243" w:type="dxa"/>
          </w:tcPr>
          <w:p w:rsidR="00745FF2" w:rsidRPr="00745FF2" w:rsidRDefault="00745FF2" w:rsidP="00745FF2">
            <w:pPr>
              <w:spacing w:line="360" w:lineRule="auto"/>
              <w:jc w:val="center"/>
              <w:rPr>
                <w:rFonts w:ascii="Arial" w:hAnsi="Arial" w:cs="Arial"/>
              </w:rPr>
            </w:pPr>
            <w:r w:rsidRPr="00745FF2">
              <w:rPr>
                <w:rFonts w:ascii="Arial" w:hAnsi="Arial" w:cs="Arial"/>
                <w:b/>
                <w:bCs/>
              </w:rPr>
              <w:t>Student ID:</w:t>
            </w:r>
            <w:r>
              <w:rPr>
                <w:rFonts w:ascii="Arial" w:hAnsi="Arial" w:cs="Arial"/>
              </w:rPr>
              <w:t xml:space="preserve"> </w:t>
            </w:r>
            <w:r w:rsidRPr="00745FF2">
              <w:rPr>
                <w:rFonts w:ascii="Arial" w:hAnsi="Arial" w:cs="Arial"/>
              </w:rPr>
              <w:t>2427957</w:t>
            </w:r>
          </w:p>
        </w:tc>
      </w:tr>
      <w:tr w:rsidR="00745FF2" w:rsidRPr="00745FF2" w:rsidTr="00745FF2">
        <w:tc>
          <w:tcPr>
            <w:tcW w:w="9243" w:type="dxa"/>
          </w:tcPr>
          <w:p w:rsidR="00745FF2" w:rsidRPr="00745FF2" w:rsidRDefault="00745FF2" w:rsidP="00745FF2">
            <w:pPr>
              <w:spacing w:line="360" w:lineRule="auto"/>
              <w:jc w:val="center"/>
              <w:rPr>
                <w:rFonts w:ascii="Arial" w:hAnsi="Arial" w:cs="Arial"/>
              </w:rPr>
            </w:pPr>
            <w:r w:rsidRPr="00745FF2">
              <w:rPr>
                <w:rFonts w:ascii="Arial" w:hAnsi="Arial" w:cs="Arial"/>
                <w:b/>
                <w:bCs/>
              </w:rPr>
              <w:t>Module Code:</w:t>
            </w:r>
            <w:r w:rsidRPr="00745FF2">
              <w:rPr>
                <w:rFonts w:ascii="Arial" w:hAnsi="Arial" w:cs="Arial"/>
              </w:rPr>
              <w:t xml:space="preserve"> BMHP5016</w:t>
            </w:r>
          </w:p>
        </w:tc>
      </w:tr>
      <w:tr w:rsidR="00745FF2" w:rsidRPr="00745FF2" w:rsidTr="00745FF2">
        <w:tc>
          <w:tcPr>
            <w:tcW w:w="9243" w:type="dxa"/>
          </w:tcPr>
          <w:p w:rsidR="00745FF2" w:rsidRPr="00745FF2" w:rsidRDefault="00745FF2" w:rsidP="00745FF2">
            <w:pPr>
              <w:spacing w:line="360" w:lineRule="auto"/>
              <w:jc w:val="center"/>
              <w:rPr>
                <w:rFonts w:ascii="Arial" w:hAnsi="Arial" w:cs="Arial"/>
              </w:rPr>
            </w:pPr>
            <w:r w:rsidRPr="00745FF2">
              <w:rPr>
                <w:rFonts w:ascii="Arial" w:hAnsi="Arial" w:cs="Arial"/>
                <w:b/>
                <w:bCs/>
              </w:rPr>
              <w:t>Module Title:</w:t>
            </w:r>
            <w:r w:rsidRPr="00745FF2">
              <w:rPr>
                <w:rFonts w:ascii="Arial" w:hAnsi="Arial" w:cs="Arial"/>
              </w:rPr>
              <w:t xml:space="preserve"> Principles of Health and Social Care</w:t>
            </w:r>
          </w:p>
        </w:tc>
      </w:tr>
      <w:tr w:rsidR="00745FF2" w:rsidRPr="00745FF2" w:rsidTr="00745FF2">
        <w:tc>
          <w:tcPr>
            <w:tcW w:w="9243" w:type="dxa"/>
          </w:tcPr>
          <w:p w:rsidR="00745FF2" w:rsidRPr="00745FF2" w:rsidRDefault="00745FF2" w:rsidP="00745FF2">
            <w:pPr>
              <w:spacing w:line="360" w:lineRule="auto"/>
              <w:jc w:val="center"/>
              <w:rPr>
                <w:rFonts w:ascii="Arial" w:hAnsi="Arial" w:cs="Arial"/>
              </w:rPr>
            </w:pPr>
            <w:r w:rsidRPr="00745FF2">
              <w:rPr>
                <w:rFonts w:ascii="Arial" w:hAnsi="Arial" w:cs="Arial"/>
                <w:b/>
                <w:bCs/>
              </w:rPr>
              <w:t>Assignment Type:</w:t>
            </w:r>
            <w:r w:rsidRPr="00745FF2">
              <w:rPr>
                <w:rFonts w:ascii="Arial" w:hAnsi="Arial" w:cs="Arial"/>
              </w:rPr>
              <w:t xml:space="preserve"> Reflective Report and Case Study Analysis</w:t>
            </w:r>
          </w:p>
        </w:tc>
      </w:tr>
      <w:tr w:rsidR="00745FF2" w:rsidRPr="00745FF2" w:rsidTr="00745FF2">
        <w:tc>
          <w:tcPr>
            <w:tcW w:w="9243" w:type="dxa"/>
          </w:tcPr>
          <w:p w:rsidR="00745FF2" w:rsidRPr="00745FF2" w:rsidRDefault="00745FF2" w:rsidP="00745FF2">
            <w:pPr>
              <w:spacing w:line="360" w:lineRule="auto"/>
              <w:jc w:val="center"/>
              <w:rPr>
                <w:rFonts w:ascii="Arial" w:hAnsi="Arial" w:cs="Arial"/>
              </w:rPr>
            </w:pPr>
            <w:r w:rsidRPr="00745FF2">
              <w:rPr>
                <w:rFonts w:ascii="Arial" w:hAnsi="Arial" w:cs="Arial"/>
                <w:b/>
                <w:bCs/>
              </w:rPr>
              <w:t>Case Study:</w:t>
            </w:r>
            <w:r w:rsidRPr="00745FF2">
              <w:rPr>
                <w:rFonts w:ascii="Arial" w:hAnsi="Arial" w:cs="Arial"/>
              </w:rPr>
              <w:t xml:space="preserve"> Robyn’s Story — NHS England</w:t>
            </w:r>
          </w:p>
        </w:tc>
      </w:tr>
      <w:tr w:rsidR="00745FF2" w:rsidRPr="00745FF2" w:rsidTr="00745FF2">
        <w:tc>
          <w:tcPr>
            <w:tcW w:w="9243" w:type="dxa"/>
          </w:tcPr>
          <w:p w:rsidR="00745FF2" w:rsidRPr="00745FF2" w:rsidRDefault="00745FF2" w:rsidP="00745FF2">
            <w:pPr>
              <w:spacing w:line="360" w:lineRule="auto"/>
              <w:jc w:val="center"/>
              <w:rPr>
                <w:rFonts w:ascii="Arial" w:hAnsi="Arial" w:cs="Arial"/>
              </w:rPr>
            </w:pPr>
            <w:r w:rsidRPr="00745FF2">
              <w:rPr>
                <w:rFonts w:ascii="Arial" w:hAnsi="Arial" w:cs="Arial"/>
                <w:b/>
                <w:bCs/>
              </w:rPr>
              <w:t>Tutor’s Name:</w:t>
            </w:r>
            <w:r>
              <w:rPr>
                <w:rFonts w:ascii="Arial" w:hAnsi="Arial" w:cs="Arial"/>
              </w:rPr>
              <w:t xml:space="preserve"> </w:t>
            </w:r>
            <w:proofErr w:type="spellStart"/>
            <w:r w:rsidRPr="00745FF2">
              <w:rPr>
                <w:rFonts w:ascii="Arial" w:hAnsi="Arial" w:cs="Arial"/>
              </w:rPr>
              <w:t>Azida</w:t>
            </w:r>
            <w:proofErr w:type="spellEnd"/>
            <w:r w:rsidRPr="00745FF2">
              <w:rPr>
                <w:rFonts w:ascii="Arial" w:hAnsi="Arial" w:cs="Arial"/>
              </w:rPr>
              <w:t xml:space="preserve"> </w:t>
            </w:r>
            <w:proofErr w:type="spellStart"/>
            <w:r w:rsidRPr="00745FF2">
              <w:rPr>
                <w:rFonts w:ascii="Arial" w:hAnsi="Arial" w:cs="Arial"/>
              </w:rPr>
              <w:t>Zainol</w:t>
            </w:r>
            <w:proofErr w:type="spellEnd"/>
          </w:p>
        </w:tc>
      </w:tr>
    </w:tbl>
    <w:p w:rsidR="001640D8" w:rsidRPr="00745FF2" w:rsidRDefault="001640D8" w:rsidP="00745FF2">
      <w:pPr>
        <w:spacing w:line="360" w:lineRule="auto"/>
        <w:jc w:val="center"/>
        <w:rPr>
          <w:rFonts w:ascii="Arial" w:hAnsi="Arial" w:cs="Arial"/>
        </w:rPr>
      </w:pPr>
    </w:p>
    <w:p w:rsidR="00A701C8" w:rsidRPr="00745FF2" w:rsidRDefault="00A701C8" w:rsidP="00745FF2">
      <w:pPr>
        <w:spacing w:line="360" w:lineRule="auto"/>
        <w:jc w:val="center"/>
        <w:rPr>
          <w:rFonts w:ascii="Arial" w:hAnsi="Arial" w:cs="Arial"/>
        </w:rPr>
      </w:pPr>
    </w:p>
    <w:p w:rsidR="00A701C8" w:rsidRPr="00745FF2" w:rsidRDefault="00A701C8" w:rsidP="00745FF2">
      <w:pPr>
        <w:spacing w:line="360" w:lineRule="auto"/>
        <w:jc w:val="center"/>
        <w:rPr>
          <w:rFonts w:ascii="Arial" w:hAnsi="Arial" w:cs="Arial"/>
        </w:rPr>
      </w:pPr>
    </w:p>
    <w:p w:rsidR="00A701C8" w:rsidRPr="00745FF2" w:rsidRDefault="00A701C8" w:rsidP="00745FF2">
      <w:pPr>
        <w:spacing w:line="360" w:lineRule="auto"/>
        <w:jc w:val="center"/>
        <w:rPr>
          <w:rFonts w:ascii="Arial" w:hAnsi="Arial" w:cs="Arial"/>
        </w:rPr>
      </w:pPr>
    </w:p>
    <w:p w:rsidR="00A701C8" w:rsidRPr="00745FF2" w:rsidRDefault="00A701C8" w:rsidP="00745FF2">
      <w:pPr>
        <w:spacing w:line="360" w:lineRule="auto"/>
        <w:jc w:val="center"/>
        <w:rPr>
          <w:rFonts w:ascii="Arial" w:hAnsi="Arial" w:cs="Arial"/>
        </w:rPr>
      </w:pPr>
    </w:p>
    <w:p w:rsidR="00A701C8" w:rsidRPr="00745FF2" w:rsidRDefault="00A701C8" w:rsidP="00745FF2">
      <w:pPr>
        <w:spacing w:line="360" w:lineRule="auto"/>
        <w:jc w:val="center"/>
        <w:rPr>
          <w:rFonts w:ascii="Arial" w:hAnsi="Arial" w:cs="Arial"/>
        </w:rPr>
      </w:pPr>
    </w:p>
    <w:p w:rsidR="00A701C8" w:rsidRPr="00745FF2" w:rsidRDefault="00A701C8" w:rsidP="00745FF2">
      <w:pPr>
        <w:spacing w:line="360" w:lineRule="auto"/>
        <w:jc w:val="center"/>
        <w:rPr>
          <w:rFonts w:ascii="Arial" w:hAnsi="Arial" w:cs="Arial"/>
        </w:rPr>
      </w:pPr>
    </w:p>
    <w:p w:rsidR="00A701C8" w:rsidRPr="00745FF2" w:rsidRDefault="00A701C8" w:rsidP="00745FF2">
      <w:pPr>
        <w:spacing w:line="360" w:lineRule="auto"/>
        <w:jc w:val="center"/>
        <w:rPr>
          <w:rFonts w:ascii="Arial" w:hAnsi="Arial" w:cs="Arial"/>
        </w:rPr>
      </w:pPr>
    </w:p>
    <w:p w:rsidR="00A701C8" w:rsidRPr="00745FF2" w:rsidRDefault="00A701C8" w:rsidP="00745FF2">
      <w:pPr>
        <w:spacing w:line="360" w:lineRule="auto"/>
        <w:jc w:val="center"/>
        <w:rPr>
          <w:rFonts w:ascii="Arial" w:hAnsi="Arial" w:cs="Arial"/>
        </w:rPr>
      </w:pPr>
    </w:p>
    <w:p w:rsidR="00A701C8" w:rsidRPr="00745FF2" w:rsidRDefault="00A701C8" w:rsidP="00745FF2">
      <w:pPr>
        <w:spacing w:line="360" w:lineRule="auto"/>
        <w:jc w:val="center"/>
        <w:rPr>
          <w:rFonts w:ascii="Arial" w:hAnsi="Arial" w:cs="Arial"/>
        </w:rPr>
      </w:pPr>
    </w:p>
    <w:p w:rsidR="00A701C8" w:rsidRPr="00745FF2" w:rsidRDefault="00A701C8" w:rsidP="00745FF2">
      <w:pPr>
        <w:spacing w:line="360" w:lineRule="auto"/>
        <w:jc w:val="center"/>
        <w:rPr>
          <w:rFonts w:ascii="Arial" w:hAnsi="Arial" w:cs="Arial"/>
        </w:rPr>
      </w:pPr>
    </w:p>
    <w:p w:rsidR="00A701C8" w:rsidRPr="00745FF2" w:rsidRDefault="00A701C8" w:rsidP="00745FF2">
      <w:pPr>
        <w:spacing w:line="360" w:lineRule="auto"/>
        <w:jc w:val="center"/>
        <w:rPr>
          <w:rFonts w:ascii="Arial" w:hAnsi="Arial" w:cs="Arial"/>
        </w:rPr>
      </w:pPr>
    </w:p>
    <w:p w:rsidR="00A701C8" w:rsidRPr="00745FF2" w:rsidRDefault="00A701C8" w:rsidP="00745FF2">
      <w:pPr>
        <w:spacing w:line="360" w:lineRule="auto"/>
        <w:jc w:val="center"/>
        <w:rPr>
          <w:rFonts w:ascii="Arial" w:hAnsi="Arial" w:cs="Arial"/>
        </w:rPr>
      </w:pPr>
    </w:p>
    <w:p w:rsidR="00A701C8" w:rsidRDefault="00A701C8" w:rsidP="00745FF2">
      <w:pPr>
        <w:spacing w:line="360" w:lineRule="auto"/>
        <w:jc w:val="center"/>
        <w:rPr>
          <w:rFonts w:ascii="Arial" w:hAnsi="Arial" w:cs="Arial"/>
        </w:rPr>
      </w:pPr>
    </w:p>
    <w:p w:rsidR="00745FF2" w:rsidRDefault="00745FF2" w:rsidP="00745FF2">
      <w:pPr>
        <w:spacing w:line="360" w:lineRule="auto"/>
        <w:jc w:val="center"/>
        <w:rPr>
          <w:rFonts w:ascii="Arial" w:hAnsi="Arial" w:cs="Arial"/>
        </w:rPr>
      </w:pPr>
    </w:p>
    <w:p w:rsidR="00745FF2" w:rsidRDefault="00745FF2" w:rsidP="00745FF2">
      <w:pPr>
        <w:spacing w:line="360" w:lineRule="auto"/>
        <w:jc w:val="center"/>
        <w:rPr>
          <w:rFonts w:ascii="Arial" w:hAnsi="Arial" w:cs="Arial"/>
        </w:rPr>
      </w:pPr>
    </w:p>
    <w:p w:rsidR="00745FF2" w:rsidRPr="00745FF2" w:rsidRDefault="00745FF2" w:rsidP="00745FF2">
      <w:pPr>
        <w:spacing w:line="360" w:lineRule="auto"/>
        <w:jc w:val="center"/>
        <w:rPr>
          <w:rFonts w:ascii="Arial" w:hAnsi="Arial" w:cs="Arial"/>
        </w:rPr>
      </w:pPr>
    </w:p>
    <w:p w:rsidR="00A701C8" w:rsidRPr="00745FF2" w:rsidRDefault="00A701C8" w:rsidP="00745FF2">
      <w:pPr>
        <w:spacing w:line="360" w:lineRule="auto"/>
        <w:jc w:val="center"/>
        <w:rPr>
          <w:rFonts w:ascii="Arial" w:hAnsi="Arial" w:cs="Arial"/>
        </w:rPr>
      </w:pPr>
    </w:p>
    <w:p w:rsidR="00A701C8" w:rsidRPr="00745FF2" w:rsidRDefault="00A701C8" w:rsidP="00745FF2">
      <w:pPr>
        <w:spacing w:line="360" w:lineRule="auto"/>
        <w:jc w:val="center"/>
        <w:rPr>
          <w:rFonts w:ascii="Arial" w:hAnsi="Arial" w:cs="Arial"/>
          <w:b/>
          <w:bCs/>
        </w:rPr>
      </w:pPr>
      <w:r w:rsidRPr="00745FF2">
        <w:rPr>
          <w:rFonts w:ascii="Arial" w:hAnsi="Arial" w:cs="Arial"/>
          <w:b/>
          <w:bCs/>
        </w:rPr>
        <w:lastRenderedPageBreak/>
        <w:t>Task 1: Why principles matter in health and social care</w:t>
      </w:r>
    </w:p>
    <w:p w:rsidR="004E5476" w:rsidRPr="00745FF2" w:rsidRDefault="00745FF2" w:rsidP="00745FF2">
      <w:pPr>
        <w:spacing w:line="360" w:lineRule="auto"/>
        <w:rPr>
          <w:rFonts w:ascii="Arial" w:hAnsi="Arial" w:cs="Arial"/>
        </w:rPr>
      </w:pPr>
      <w:r w:rsidRPr="00745FF2">
        <w:rPr>
          <w:rFonts w:ascii="Arial" w:hAnsi="Arial" w:cs="Arial"/>
          <w:b/>
        </w:rPr>
        <w:t>Introduction</w:t>
      </w:r>
    </w:p>
    <w:p w:rsidR="004E5476" w:rsidRPr="00745FF2" w:rsidRDefault="00745FF2" w:rsidP="00745FF2">
      <w:pPr>
        <w:spacing w:line="360" w:lineRule="auto"/>
        <w:rPr>
          <w:rFonts w:ascii="Arial" w:hAnsi="Arial" w:cs="Arial"/>
        </w:rPr>
      </w:pPr>
      <w:r w:rsidRPr="00745FF2">
        <w:rPr>
          <w:rFonts w:ascii="Arial" w:hAnsi="Arial" w:cs="Arial"/>
        </w:rPr>
        <w:t>Health and social care should help people maintain wellbeing, independence and dignity. Some people need substantial assistance, but they still have preferences, relationships and ambitions. Person-centred care, partnership working and ethical practice help services recognise each individual rather than treating everyone in the same way. These principles also provide a basis for judging whether support is respectful, safe and effective.</w:t>
      </w:r>
    </w:p>
    <w:p w:rsidR="004E5476" w:rsidRPr="00745FF2" w:rsidRDefault="00745FF2" w:rsidP="00745FF2">
      <w:pPr>
        <w:spacing w:line="360" w:lineRule="auto"/>
        <w:rPr>
          <w:rFonts w:ascii="Arial" w:hAnsi="Arial" w:cs="Arial"/>
        </w:rPr>
      </w:pPr>
      <w:r w:rsidRPr="00745FF2">
        <w:rPr>
          <w:rFonts w:ascii="Arial" w:hAnsi="Arial" w:cs="Arial"/>
          <w:b/>
        </w:rPr>
        <w:t>Person-centred care</w:t>
      </w:r>
    </w:p>
    <w:p w:rsidR="004E5476" w:rsidRPr="00745FF2" w:rsidRDefault="00745FF2" w:rsidP="00745FF2">
      <w:pPr>
        <w:spacing w:line="360" w:lineRule="auto"/>
        <w:rPr>
          <w:rFonts w:ascii="Arial" w:hAnsi="Arial" w:cs="Arial"/>
        </w:rPr>
      </w:pPr>
      <w:r w:rsidRPr="00745FF2">
        <w:rPr>
          <w:rFonts w:ascii="Arial" w:hAnsi="Arial" w:cs="Arial"/>
        </w:rPr>
        <w:t>Person-centred care means involving people in decisions about their support instead of assuming professionals always know what is best. The Care Quality Commission explains that care should reflect individual needs and preferences (CQC, 2025). A care plan should therefore consider what matters to the person, not only the tasks that need to be completed.</w:t>
      </w:r>
    </w:p>
    <w:p w:rsidR="004E5476" w:rsidRPr="00745FF2" w:rsidRDefault="00745FF2" w:rsidP="00745FF2">
      <w:pPr>
        <w:spacing w:line="360" w:lineRule="auto"/>
        <w:rPr>
          <w:rFonts w:ascii="Arial" w:hAnsi="Arial" w:cs="Arial"/>
        </w:rPr>
      </w:pPr>
      <w:r w:rsidRPr="00745FF2">
        <w:rPr>
          <w:rFonts w:ascii="Arial" w:hAnsi="Arial" w:cs="Arial"/>
        </w:rPr>
        <w:t>For example, someone with a physical disability may need help with washing, dressing or moving around but may also want to work, see friends or continue a hobby. These goals should be discussed when support is planned. The Care Act 2014 identifies wellbeing, dignity and control over daily life as important aspects of adult social care (UK Government, 2014a).</w:t>
      </w:r>
    </w:p>
    <w:p w:rsidR="004E5476" w:rsidRPr="00745FF2" w:rsidRDefault="00745FF2" w:rsidP="00745FF2">
      <w:pPr>
        <w:spacing w:line="360" w:lineRule="auto"/>
        <w:rPr>
          <w:rFonts w:ascii="Arial" w:hAnsi="Arial" w:cs="Arial"/>
        </w:rPr>
      </w:pPr>
      <w:r w:rsidRPr="00745FF2">
        <w:rPr>
          <w:rFonts w:ascii="Arial" w:hAnsi="Arial" w:cs="Arial"/>
        </w:rPr>
        <w:t>Person-centred care does not mean every request can automatically be met. Staff may need to explain risks or practical limits, but should discuss these openly and look for reasonable alternatives with the person.</w:t>
      </w:r>
    </w:p>
    <w:p w:rsidR="004E5476" w:rsidRPr="00745FF2" w:rsidRDefault="00745FF2" w:rsidP="00745FF2">
      <w:pPr>
        <w:spacing w:line="360" w:lineRule="auto"/>
        <w:rPr>
          <w:rFonts w:ascii="Arial" w:hAnsi="Arial" w:cs="Arial"/>
        </w:rPr>
      </w:pPr>
      <w:r w:rsidRPr="00745FF2">
        <w:rPr>
          <w:rFonts w:ascii="Arial" w:hAnsi="Arial" w:cs="Arial"/>
          <w:b/>
        </w:rPr>
        <w:t>Partnership working</w:t>
      </w:r>
    </w:p>
    <w:p w:rsidR="004E5476" w:rsidRPr="00745FF2" w:rsidRDefault="00745FF2" w:rsidP="00745FF2">
      <w:pPr>
        <w:spacing w:line="360" w:lineRule="auto"/>
        <w:rPr>
          <w:rFonts w:ascii="Arial" w:hAnsi="Arial" w:cs="Arial"/>
        </w:rPr>
      </w:pPr>
      <w:r w:rsidRPr="00745FF2">
        <w:rPr>
          <w:rFonts w:ascii="Arial" w:hAnsi="Arial" w:cs="Arial"/>
        </w:rPr>
        <w:t xml:space="preserve">Partnership working involves health professionals, social care staff, </w:t>
      </w:r>
      <w:proofErr w:type="gramStart"/>
      <w:r w:rsidRPr="00745FF2">
        <w:rPr>
          <w:rFonts w:ascii="Arial" w:hAnsi="Arial" w:cs="Arial"/>
        </w:rPr>
        <w:t>family</w:t>
      </w:r>
      <w:proofErr w:type="gramEnd"/>
      <w:r w:rsidRPr="00745FF2">
        <w:rPr>
          <w:rFonts w:ascii="Arial" w:hAnsi="Arial" w:cs="Arial"/>
        </w:rPr>
        <w:t xml:space="preserve"> members where appropriate, and other relevant services cooperating to support an individual. Clear communication can prevent misunderstandings, reduce gaps in care and help everyone understand their responsibilities.</w:t>
      </w:r>
    </w:p>
    <w:p w:rsidR="004E5476" w:rsidRPr="00745FF2" w:rsidRDefault="00745FF2" w:rsidP="00745FF2">
      <w:pPr>
        <w:spacing w:line="360" w:lineRule="auto"/>
        <w:rPr>
          <w:rFonts w:ascii="Arial" w:hAnsi="Arial" w:cs="Arial"/>
        </w:rPr>
      </w:pPr>
      <w:r w:rsidRPr="00745FF2">
        <w:rPr>
          <w:rFonts w:ascii="Arial" w:hAnsi="Arial" w:cs="Arial"/>
        </w:rPr>
        <w:t>The World Health Organization supports services that are coordinated around people's needs (WHO, 2016). In practice, this may involve sharing relevant information appropriately, keeping accurate records, arranging reviews and agreeing who will follow up on concerns. The person receiving support should remain involved in these discussions rather than simply being told what others have decided.</w:t>
      </w:r>
    </w:p>
    <w:p w:rsidR="004E5476" w:rsidRPr="00745FF2" w:rsidRDefault="00745FF2" w:rsidP="00745FF2">
      <w:pPr>
        <w:spacing w:line="360" w:lineRule="auto"/>
        <w:rPr>
          <w:rFonts w:ascii="Arial" w:hAnsi="Arial" w:cs="Arial"/>
        </w:rPr>
      </w:pPr>
      <w:r w:rsidRPr="00745FF2">
        <w:rPr>
          <w:rFonts w:ascii="Arial" w:hAnsi="Arial" w:cs="Arial"/>
        </w:rPr>
        <w:lastRenderedPageBreak/>
        <w:t>Partnership working can be difficult when services are busy or professionals disagree. Clear records, respectful discussion and escalation where necessary can help.</w:t>
      </w:r>
    </w:p>
    <w:p w:rsidR="004E5476" w:rsidRPr="00745FF2" w:rsidRDefault="00745FF2" w:rsidP="00745FF2">
      <w:pPr>
        <w:spacing w:line="360" w:lineRule="auto"/>
        <w:rPr>
          <w:rFonts w:ascii="Arial" w:hAnsi="Arial" w:cs="Arial"/>
        </w:rPr>
      </w:pPr>
      <w:r w:rsidRPr="00745FF2">
        <w:rPr>
          <w:rFonts w:ascii="Arial" w:hAnsi="Arial" w:cs="Arial"/>
          <w:b/>
        </w:rPr>
        <w:t>Ethical practice</w:t>
      </w:r>
    </w:p>
    <w:p w:rsidR="004E5476" w:rsidRPr="00745FF2" w:rsidRDefault="00745FF2" w:rsidP="00745FF2">
      <w:pPr>
        <w:spacing w:line="360" w:lineRule="auto"/>
        <w:rPr>
          <w:rFonts w:ascii="Arial" w:hAnsi="Arial" w:cs="Arial"/>
        </w:rPr>
      </w:pPr>
      <w:r w:rsidRPr="00745FF2">
        <w:rPr>
          <w:rFonts w:ascii="Arial" w:hAnsi="Arial" w:cs="Arial"/>
        </w:rPr>
        <w:t>Ethical practice involves respecting rights, promoting wellbeing, avoiding unnecessary harm and treating people fairly. Autonomy concerns personal choice, beneficence means promoting wellbeing, non-maleficence means avoiding harm, and justice involves fairness.</w:t>
      </w:r>
    </w:p>
    <w:p w:rsidR="004E5476" w:rsidRPr="00745FF2" w:rsidRDefault="00745FF2" w:rsidP="00745FF2">
      <w:pPr>
        <w:spacing w:line="360" w:lineRule="auto"/>
        <w:rPr>
          <w:rFonts w:ascii="Arial" w:hAnsi="Arial" w:cs="Arial"/>
        </w:rPr>
      </w:pPr>
      <w:r w:rsidRPr="00745FF2">
        <w:rPr>
          <w:rFonts w:ascii="Arial" w:hAnsi="Arial" w:cs="Arial"/>
        </w:rPr>
        <w:t>The Mental Capacity Act 2005 states that adults must be presumed to have capacity unless it is established otherwise. It also requires support for decision-making and makes clear that an unwise decision does not, by itself, mean a person lacks capacity (UK Government, 2005). Staff should explain choices accessibly and respect a person's decisions where legally appropriate.</w:t>
      </w:r>
    </w:p>
    <w:p w:rsidR="004E5476" w:rsidRPr="00745FF2" w:rsidRDefault="00745FF2" w:rsidP="00745FF2">
      <w:pPr>
        <w:spacing w:line="360" w:lineRule="auto"/>
        <w:rPr>
          <w:rFonts w:ascii="Arial" w:hAnsi="Arial" w:cs="Arial"/>
        </w:rPr>
      </w:pPr>
      <w:r w:rsidRPr="00745FF2">
        <w:rPr>
          <w:rFonts w:ascii="Arial" w:hAnsi="Arial" w:cs="Arial"/>
        </w:rPr>
        <w:t>Professionals must respect consent and confidentiality while reporting safeguarding concerns appropriately. The Equality Act 2010 protects people from unlawful discrimination (UK Government, 2010). Ethical practice means considering how actions affect dignity, safety and participation.</w:t>
      </w:r>
    </w:p>
    <w:p w:rsidR="004E5476" w:rsidRPr="00745FF2" w:rsidRDefault="00745FF2" w:rsidP="00745FF2">
      <w:pPr>
        <w:spacing w:line="360" w:lineRule="auto"/>
        <w:rPr>
          <w:rFonts w:ascii="Arial" w:hAnsi="Arial" w:cs="Arial"/>
        </w:rPr>
      </w:pPr>
      <w:r w:rsidRPr="00745FF2">
        <w:rPr>
          <w:rFonts w:ascii="Arial" w:hAnsi="Arial" w:cs="Arial"/>
          <w:b/>
        </w:rPr>
        <w:t>Conclusion</w:t>
      </w:r>
    </w:p>
    <w:p w:rsidR="004E5476" w:rsidRPr="00745FF2" w:rsidRDefault="00745FF2" w:rsidP="00745FF2">
      <w:pPr>
        <w:spacing w:line="360" w:lineRule="auto"/>
        <w:rPr>
          <w:rFonts w:ascii="Arial" w:hAnsi="Arial" w:cs="Arial"/>
        </w:rPr>
      </w:pPr>
      <w:r w:rsidRPr="00745FF2">
        <w:rPr>
          <w:rFonts w:ascii="Arial" w:hAnsi="Arial" w:cs="Arial"/>
        </w:rPr>
        <w:t>These principles support respectful and effective care. Person-centred practice recognises individual priorities, partnership working improves coordination, and ethical practice protects rights and wellbeing. When applied together, they help services provide support that is safe, consistent and responsive to the person’s life and goals.</w:t>
      </w:r>
    </w:p>
    <w:p w:rsidR="00A701C8" w:rsidRPr="00745FF2" w:rsidRDefault="00A701C8" w:rsidP="00745FF2">
      <w:pPr>
        <w:spacing w:line="360" w:lineRule="auto"/>
        <w:jc w:val="center"/>
        <w:rPr>
          <w:rFonts w:ascii="Arial" w:hAnsi="Arial" w:cs="Arial"/>
          <w:b/>
          <w:bCs/>
        </w:rPr>
      </w:pPr>
      <w:r w:rsidRPr="00745FF2">
        <w:rPr>
          <w:rFonts w:ascii="Arial" w:hAnsi="Arial" w:cs="Arial"/>
          <w:b/>
          <w:bCs/>
        </w:rPr>
        <w:t>Task 2: Applying the principles to Robyn’s story</w:t>
      </w:r>
    </w:p>
    <w:p w:rsidR="004E5476" w:rsidRPr="00745FF2" w:rsidRDefault="00745FF2" w:rsidP="00745FF2">
      <w:pPr>
        <w:spacing w:line="360" w:lineRule="auto"/>
        <w:rPr>
          <w:rFonts w:ascii="Arial" w:hAnsi="Arial" w:cs="Arial"/>
        </w:rPr>
      </w:pPr>
      <w:r w:rsidRPr="00745FF2">
        <w:rPr>
          <w:rFonts w:ascii="Arial" w:hAnsi="Arial" w:cs="Arial"/>
          <w:b/>
        </w:rPr>
        <w:t>Case study overview</w:t>
      </w:r>
    </w:p>
    <w:p w:rsidR="004E5476" w:rsidRPr="00745FF2" w:rsidRDefault="00745FF2" w:rsidP="00745FF2">
      <w:pPr>
        <w:spacing w:line="360" w:lineRule="auto"/>
        <w:rPr>
          <w:rFonts w:ascii="Arial" w:hAnsi="Arial" w:cs="Arial"/>
        </w:rPr>
      </w:pPr>
      <w:r w:rsidRPr="00745FF2">
        <w:rPr>
          <w:rFonts w:ascii="Arial" w:hAnsi="Arial" w:cs="Arial"/>
        </w:rPr>
        <w:t>NHS England describes Robyn, who became tetraplegic after a spinal injury at age 21 and required continuous care. Her care agency struggled to provide suitable and consistent personal assistants. Robyn eventually moved to a personal health budget so she could arrange support that better matched her needs and lifestyle (NHS England, n.d.-a).</w:t>
      </w:r>
    </w:p>
    <w:p w:rsidR="004E5476" w:rsidRPr="00745FF2" w:rsidRDefault="00745FF2" w:rsidP="00745FF2">
      <w:pPr>
        <w:spacing w:line="360" w:lineRule="auto"/>
        <w:rPr>
          <w:rFonts w:ascii="Arial" w:hAnsi="Arial" w:cs="Arial"/>
        </w:rPr>
      </w:pPr>
      <w:r w:rsidRPr="00745FF2">
        <w:rPr>
          <w:rFonts w:ascii="Arial" w:hAnsi="Arial" w:cs="Arial"/>
          <w:b/>
        </w:rPr>
        <w:t>Person-centred care in Robyn’s experience</w:t>
      </w:r>
    </w:p>
    <w:p w:rsidR="004E5476" w:rsidRPr="00745FF2" w:rsidRDefault="00745FF2" w:rsidP="00745FF2">
      <w:pPr>
        <w:spacing w:line="360" w:lineRule="auto"/>
        <w:rPr>
          <w:rFonts w:ascii="Arial" w:hAnsi="Arial" w:cs="Arial"/>
        </w:rPr>
      </w:pPr>
      <w:r w:rsidRPr="00745FF2">
        <w:rPr>
          <w:rFonts w:ascii="Arial" w:hAnsi="Arial" w:cs="Arial"/>
        </w:rPr>
        <w:t>The agency struggled to provide assistants suited to Robyn's circumstances. In one year, 36 different assistants supported her. Some could not drive or were uncomfortable around animals, making visits to her ponies difficult. Frequent changes also made it harder for her to plan activities reliably (NHS England, n.d.-a).</w:t>
      </w:r>
    </w:p>
    <w:p w:rsidR="004E5476" w:rsidRPr="00745FF2" w:rsidRDefault="00745FF2" w:rsidP="00745FF2">
      <w:pPr>
        <w:spacing w:line="360" w:lineRule="auto"/>
        <w:rPr>
          <w:rFonts w:ascii="Arial" w:hAnsi="Arial" w:cs="Arial"/>
        </w:rPr>
      </w:pPr>
      <w:r w:rsidRPr="00745FF2">
        <w:rPr>
          <w:rFonts w:ascii="Arial" w:hAnsi="Arial" w:cs="Arial"/>
        </w:rPr>
        <w:lastRenderedPageBreak/>
        <w:t>This shows that completing basic tasks does not necessarily provide good-quality support. Robyn wanted to maintain her interests, work and social life as well as receive physical assistance, so care needed to consider her whole life.</w:t>
      </w:r>
    </w:p>
    <w:p w:rsidR="004E5476" w:rsidRPr="00745FF2" w:rsidRDefault="00745FF2" w:rsidP="00745FF2">
      <w:pPr>
        <w:spacing w:line="360" w:lineRule="auto"/>
        <w:rPr>
          <w:rFonts w:ascii="Arial" w:hAnsi="Arial" w:cs="Arial"/>
        </w:rPr>
      </w:pPr>
      <w:r w:rsidRPr="00745FF2">
        <w:rPr>
          <w:rFonts w:ascii="Arial" w:hAnsi="Arial" w:cs="Arial"/>
        </w:rPr>
        <w:t>Her personal health budget allowed her to choose assistants and arrange more consistent support. NHS England (n.d.-b) explains that budgets can give people greater choice and control through an agreed care and support plan. However, Robyn later rewrote her initial plan herself, showing that personalisation requires genuine involvement, not just paperwork. NICE (2021) also emphasises involving people in care decisions.</w:t>
      </w:r>
    </w:p>
    <w:p w:rsidR="004E5476" w:rsidRPr="00745FF2" w:rsidRDefault="00745FF2" w:rsidP="00745FF2">
      <w:pPr>
        <w:spacing w:line="360" w:lineRule="auto"/>
        <w:rPr>
          <w:rFonts w:ascii="Arial" w:hAnsi="Arial" w:cs="Arial"/>
        </w:rPr>
      </w:pPr>
      <w:r w:rsidRPr="00745FF2">
        <w:rPr>
          <w:rFonts w:ascii="Arial" w:hAnsi="Arial" w:cs="Arial"/>
          <w:b/>
        </w:rPr>
        <w:t>Partnership working</w:t>
      </w:r>
    </w:p>
    <w:p w:rsidR="004E5476" w:rsidRPr="00745FF2" w:rsidRDefault="00745FF2" w:rsidP="00745FF2">
      <w:pPr>
        <w:spacing w:line="360" w:lineRule="auto"/>
        <w:rPr>
          <w:rFonts w:ascii="Arial" w:hAnsi="Arial" w:cs="Arial"/>
        </w:rPr>
      </w:pPr>
      <w:r w:rsidRPr="00745FF2">
        <w:rPr>
          <w:rFonts w:ascii="Arial" w:hAnsi="Arial" w:cs="Arial"/>
        </w:rPr>
        <w:t>Robyn received support from a continuing healthcare nurse and a Personal Budget Support Service. Help with recruitment, payroll and legal responsibilities made employing assistants more manageable (NHS England, n.d.-a). Direct payments can provide control but also bring duties such as arranging cover and meeting employment responsibilities (NHS England, 2022).</w:t>
      </w:r>
    </w:p>
    <w:p w:rsidR="004E5476" w:rsidRPr="00745FF2" w:rsidRDefault="00745FF2" w:rsidP="00745FF2">
      <w:pPr>
        <w:spacing w:line="360" w:lineRule="auto"/>
        <w:rPr>
          <w:rFonts w:ascii="Arial" w:hAnsi="Arial" w:cs="Arial"/>
        </w:rPr>
      </w:pPr>
      <w:r w:rsidRPr="00745FF2">
        <w:rPr>
          <w:rFonts w:ascii="Arial" w:hAnsi="Arial" w:cs="Arial"/>
        </w:rPr>
        <w:t>Nevertheless, Robyn's transition took approximately 18 months, with periods without updates. She felt that speaking with other budget holders would have helped. Services should provide regular communication and practical guidance.</w:t>
      </w:r>
    </w:p>
    <w:p w:rsidR="004E5476" w:rsidRPr="00745FF2" w:rsidRDefault="00745FF2" w:rsidP="00745FF2">
      <w:pPr>
        <w:spacing w:line="360" w:lineRule="auto"/>
        <w:rPr>
          <w:rFonts w:ascii="Arial" w:hAnsi="Arial" w:cs="Arial"/>
        </w:rPr>
      </w:pPr>
      <w:r w:rsidRPr="00745FF2">
        <w:rPr>
          <w:rFonts w:ascii="Arial" w:hAnsi="Arial" w:cs="Arial"/>
          <w:b/>
        </w:rPr>
        <w:t>Ethical practice and evaluation</w:t>
      </w:r>
    </w:p>
    <w:p w:rsidR="004E5476" w:rsidRPr="00745FF2" w:rsidRDefault="00745FF2" w:rsidP="00745FF2">
      <w:pPr>
        <w:spacing w:line="360" w:lineRule="auto"/>
        <w:rPr>
          <w:rFonts w:ascii="Arial" w:hAnsi="Arial" w:cs="Arial"/>
        </w:rPr>
      </w:pPr>
      <w:r w:rsidRPr="00745FF2">
        <w:rPr>
          <w:rFonts w:ascii="Arial" w:hAnsi="Arial" w:cs="Arial"/>
        </w:rPr>
        <w:t>Robyn wanted to choose who entered her home and provided personal assistance. Respecting this preference supported her autonomy and recognised her knowledge of her own needs. Having a disability did not remove her right to participate in decisions. The Care Act 2014 emphasises wellbeing and control over daily life, while Regulation 9 requires care to reflect people's needs and preferences (UK Government, 2014a; UK Government, 2014b).</w:t>
      </w:r>
    </w:p>
    <w:p w:rsidR="004E5476" w:rsidRPr="00745FF2" w:rsidRDefault="00745FF2" w:rsidP="00745FF2">
      <w:pPr>
        <w:spacing w:line="360" w:lineRule="auto"/>
        <w:rPr>
          <w:rFonts w:ascii="Arial" w:hAnsi="Arial" w:cs="Arial"/>
        </w:rPr>
      </w:pPr>
      <w:r w:rsidRPr="00745FF2">
        <w:rPr>
          <w:rFonts w:ascii="Arial" w:hAnsi="Arial" w:cs="Arial"/>
        </w:rPr>
        <w:t>After changing her arrangements, Robyn returned to part-time work, developed an animal-related business and resumed social and sporting activities. Her story suggests that consistent support can improve participation and quality of life, not just physical care. However, personal health budgets will not be equally easy for everyone to manage. Employing assistants requires time, organisation and an understanding of employment responsibilities, so some people may need more support.</w:t>
      </w:r>
    </w:p>
    <w:p w:rsidR="004E5476" w:rsidRPr="00745FF2" w:rsidRDefault="00745FF2" w:rsidP="00745FF2">
      <w:pPr>
        <w:spacing w:line="360" w:lineRule="auto"/>
        <w:rPr>
          <w:rFonts w:ascii="Arial" w:hAnsi="Arial" w:cs="Arial"/>
        </w:rPr>
      </w:pPr>
      <w:r w:rsidRPr="00745FF2">
        <w:rPr>
          <w:rFonts w:ascii="Arial" w:hAnsi="Arial" w:cs="Arial"/>
        </w:rPr>
        <w:t xml:space="preserve">People should be offered different ways to manage care funding. Direct payments may suit someone who wants to employ assistants, while another person may prefer the budget to be </w:t>
      </w:r>
      <w:r w:rsidRPr="00745FF2">
        <w:rPr>
          <w:rFonts w:ascii="Arial" w:hAnsi="Arial" w:cs="Arial"/>
        </w:rPr>
        <w:lastRenderedPageBreak/>
        <w:t>managed on their behalf. NHS England (2023) explains that personal health budgets have different management arrangements. Professionals should discuss options so choice does not create unnecessary pressure.</w:t>
      </w:r>
    </w:p>
    <w:p w:rsidR="004E5476" w:rsidRPr="00745FF2" w:rsidRDefault="00745FF2" w:rsidP="00745FF2">
      <w:pPr>
        <w:spacing w:line="360" w:lineRule="auto"/>
        <w:rPr>
          <w:rFonts w:ascii="Arial" w:hAnsi="Arial" w:cs="Arial"/>
        </w:rPr>
      </w:pPr>
      <w:r w:rsidRPr="00745FF2">
        <w:rPr>
          <w:rFonts w:ascii="Arial" w:hAnsi="Arial" w:cs="Arial"/>
          <w:b/>
        </w:rPr>
        <w:t>Conclusion</w:t>
      </w:r>
    </w:p>
    <w:p w:rsidR="00745FF2" w:rsidRDefault="00745FF2" w:rsidP="00745FF2">
      <w:pPr>
        <w:spacing w:line="360" w:lineRule="auto"/>
        <w:rPr>
          <w:rFonts w:ascii="Arial" w:hAnsi="Arial" w:cs="Arial"/>
        </w:rPr>
      </w:pPr>
      <w:r w:rsidRPr="00745FF2">
        <w:rPr>
          <w:rFonts w:ascii="Arial" w:hAnsi="Arial" w:cs="Arial"/>
        </w:rPr>
        <w:t>Robyn's story shows the benefits of greater control over care, alongside the challenges of arranging it. Services should consider personal goals, timely communication and reliable support.</w:t>
      </w:r>
      <w:bookmarkStart w:id="0" w:name="_GoBack"/>
      <w:bookmarkEnd w:id="0"/>
    </w:p>
    <w:p w:rsidR="00B12661" w:rsidRPr="00B12661" w:rsidRDefault="00B12661" w:rsidP="00B12661">
      <w:pPr>
        <w:spacing w:line="360" w:lineRule="auto"/>
        <w:jc w:val="center"/>
        <w:rPr>
          <w:rFonts w:ascii="Arial" w:hAnsi="Arial" w:cs="Arial"/>
          <w:b/>
          <w:bCs/>
        </w:rPr>
      </w:pPr>
      <w:r w:rsidRPr="00B12661">
        <w:rPr>
          <w:rFonts w:ascii="Arial" w:hAnsi="Arial" w:cs="Arial"/>
          <w:b/>
          <w:bCs/>
        </w:rPr>
        <w:t>Task 3: Reflecting on My Past Experience and Future Practice in Health and Social Care</w:t>
      </w:r>
    </w:p>
    <w:p w:rsidR="00B12661" w:rsidRPr="00B12661" w:rsidRDefault="00B12661" w:rsidP="00B12661">
      <w:pPr>
        <w:spacing w:line="360" w:lineRule="auto"/>
        <w:rPr>
          <w:rFonts w:ascii="Arial" w:hAnsi="Arial" w:cs="Arial"/>
          <w:bCs/>
        </w:rPr>
      </w:pPr>
      <w:r w:rsidRPr="00B12661">
        <w:rPr>
          <w:rFonts w:ascii="Arial" w:hAnsi="Arial" w:cs="Arial"/>
          <w:bCs/>
        </w:rPr>
        <w:t>In this reflection, I use Gibbs’ Reflective Cycle (Gibbs, 1988) to consider my learning experience, identify areas for improvement and plan how I would apply person-</w:t>
      </w:r>
      <w:proofErr w:type="spellStart"/>
      <w:r w:rsidRPr="00B12661">
        <w:rPr>
          <w:rFonts w:ascii="Arial" w:hAnsi="Arial" w:cs="Arial"/>
          <w:bCs/>
        </w:rPr>
        <w:t>centred</w:t>
      </w:r>
      <w:proofErr w:type="spellEnd"/>
      <w:r w:rsidRPr="00B12661">
        <w:rPr>
          <w:rFonts w:ascii="Arial" w:hAnsi="Arial" w:cs="Arial"/>
          <w:bCs/>
        </w:rPr>
        <w:t xml:space="preserve"> care, partnership working and ethical practice in my future health and social care role.</w:t>
      </w:r>
    </w:p>
    <w:p w:rsidR="00B12661" w:rsidRPr="00B12661" w:rsidRDefault="00B12661" w:rsidP="00B12661">
      <w:pPr>
        <w:spacing w:line="360" w:lineRule="auto"/>
        <w:rPr>
          <w:rFonts w:ascii="Arial" w:hAnsi="Arial" w:cs="Arial"/>
          <w:b/>
          <w:bCs/>
        </w:rPr>
      </w:pPr>
      <w:r w:rsidRPr="00B12661">
        <w:rPr>
          <w:rFonts w:ascii="Arial" w:hAnsi="Arial" w:cs="Arial"/>
          <w:b/>
          <w:bCs/>
        </w:rPr>
        <w:t>Step 1: Description of My Past Experience</w:t>
      </w:r>
    </w:p>
    <w:p w:rsidR="00B12661" w:rsidRPr="00B12661" w:rsidRDefault="00B12661" w:rsidP="00B12661">
      <w:pPr>
        <w:spacing w:line="360" w:lineRule="auto"/>
        <w:rPr>
          <w:rFonts w:ascii="Arial" w:hAnsi="Arial" w:cs="Arial"/>
        </w:rPr>
      </w:pPr>
      <w:r w:rsidRPr="00B12661">
        <w:rPr>
          <w:rFonts w:ascii="Arial" w:hAnsi="Arial" w:cs="Arial"/>
        </w:rPr>
        <w:t>During a previous learning experience involving the support of an older adult, I learned how important it is to provide care that respects individual needs and promotes independence. The situation involved considering how a person who needed help with daily activities could still make choices about their routine and the support they received. This experience helped me understand that health and social care is not simply about completing tasks but also about protecting dignity and emotional wellbeing.</w:t>
      </w:r>
    </w:p>
    <w:p w:rsidR="00B12661" w:rsidRPr="00B12661" w:rsidRDefault="00B12661" w:rsidP="00B12661">
      <w:pPr>
        <w:spacing w:line="360" w:lineRule="auto"/>
        <w:rPr>
          <w:rFonts w:ascii="Arial" w:hAnsi="Arial" w:cs="Arial"/>
        </w:rPr>
      </w:pPr>
      <w:r w:rsidRPr="00B12661">
        <w:rPr>
          <w:rFonts w:ascii="Arial" w:hAnsi="Arial" w:cs="Arial"/>
        </w:rPr>
        <w:t xml:space="preserve">I </w:t>
      </w:r>
      <w:proofErr w:type="spellStart"/>
      <w:r w:rsidRPr="00B12661">
        <w:rPr>
          <w:rFonts w:ascii="Arial" w:hAnsi="Arial" w:cs="Arial"/>
        </w:rPr>
        <w:t>recognised</w:t>
      </w:r>
      <w:proofErr w:type="spellEnd"/>
      <w:r w:rsidRPr="00B12661">
        <w:rPr>
          <w:rFonts w:ascii="Arial" w:hAnsi="Arial" w:cs="Arial"/>
        </w:rPr>
        <w:t xml:space="preserve"> that an older person might need assistance with preparing meals, maintaining personal hygiene or </w:t>
      </w:r>
      <w:proofErr w:type="spellStart"/>
      <w:r w:rsidRPr="00B12661">
        <w:rPr>
          <w:rFonts w:ascii="Arial" w:hAnsi="Arial" w:cs="Arial"/>
        </w:rPr>
        <w:t>organising</w:t>
      </w:r>
      <w:proofErr w:type="spellEnd"/>
      <w:r w:rsidRPr="00B12661">
        <w:rPr>
          <w:rFonts w:ascii="Arial" w:hAnsi="Arial" w:cs="Arial"/>
        </w:rPr>
        <w:t xml:space="preserve"> daily activities. However, I should not assume that they are unable to do everything independently. I would first ask what help they needed and encourage them to participate in activities they could manage safely. This experience helped me consider how my communication and </w:t>
      </w:r>
      <w:proofErr w:type="spellStart"/>
      <w:r w:rsidRPr="00B12661">
        <w:rPr>
          <w:rFonts w:ascii="Arial" w:hAnsi="Arial" w:cs="Arial"/>
        </w:rPr>
        <w:t>behaviour</w:t>
      </w:r>
      <w:proofErr w:type="spellEnd"/>
      <w:r w:rsidRPr="00B12661">
        <w:rPr>
          <w:rFonts w:ascii="Arial" w:hAnsi="Arial" w:cs="Arial"/>
        </w:rPr>
        <w:t xml:space="preserve"> could influence a person's confidence and comfort.</w:t>
      </w:r>
    </w:p>
    <w:p w:rsidR="00B12661" w:rsidRPr="00B12661" w:rsidRDefault="00B12661" w:rsidP="00B12661">
      <w:pPr>
        <w:spacing w:line="360" w:lineRule="auto"/>
        <w:rPr>
          <w:rFonts w:ascii="Arial" w:hAnsi="Arial" w:cs="Arial"/>
          <w:b/>
          <w:bCs/>
        </w:rPr>
      </w:pPr>
      <w:r w:rsidRPr="00B12661">
        <w:rPr>
          <w:rFonts w:ascii="Arial" w:hAnsi="Arial" w:cs="Arial"/>
          <w:b/>
          <w:bCs/>
        </w:rPr>
        <w:t>Step 2: My Personal Responses and Feelings</w:t>
      </w:r>
    </w:p>
    <w:p w:rsidR="00B12661" w:rsidRPr="00B12661" w:rsidRDefault="00B12661" w:rsidP="00B12661">
      <w:pPr>
        <w:spacing w:line="360" w:lineRule="auto"/>
        <w:rPr>
          <w:rFonts w:ascii="Arial" w:hAnsi="Arial" w:cs="Arial"/>
        </w:rPr>
      </w:pPr>
      <w:r w:rsidRPr="00B12661">
        <w:rPr>
          <w:rFonts w:ascii="Arial" w:hAnsi="Arial" w:cs="Arial"/>
        </w:rPr>
        <w:t>When reflecting on this experience, I felt that supporting someone who needed care required patience, understanding and responsibility. I understood that needing assistance could sometimes make a person feel frustrated or less independent. I would want the person to feel respected rather than embarrassed about receiving help.</w:t>
      </w:r>
    </w:p>
    <w:p w:rsidR="00B12661" w:rsidRPr="00B12661" w:rsidRDefault="00B12661" w:rsidP="00B12661">
      <w:pPr>
        <w:spacing w:line="360" w:lineRule="auto"/>
        <w:rPr>
          <w:rFonts w:ascii="Arial" w:hAnsi="Arial" w:cs="Arial"/>
        </w:rPr>
      </w:pPr>
      <w:r w:rsidRPr="00B12661">
        <w:rPr>
          <w:rFonts w:ascii="Arial" w:hAnsi="Arial" w:cs="Arial"/>
        </w:rPr>
        <w:lastRenderedPageBreak/>
        <w:t xml:space="preserve">I also </w:t>
      </w:r>
      <w:proofErr w:type="spellStart"/>
      <w:r w:rsidRPr="00B12661">
        <w:rPr>
          <w:rFonts w:ascii="Arial" w:hAnsi="Arial" w:cs="Arial"/>
        </w:rPr>
        <w:t>realised</w:t>
      </w:r>
      <w:proofErr w:type="spellEnd"/>
      <w:r w:rsidRPr="00B12661">
        <w:rPr>
          <w:rFonts w:ascii="Arial" w:hAnsi="Arial" w:cs="Arial"/>
        </w:rPr>
        <w:t xml:space="preserve"> that I might feel uncertain if the person's needs changed or if I did not know how to respond to a particular situation. Instead of pretending to know everything, I would ask an experienced colleague or supervisor for guidance. I believe that </w:t>
      </w:r>
      <w:proofErr w:type="spellStart"/>
      <w:r w:rsidRPr="00B12661">
        <w:rPr>
          <w:rFonts w:ascii="Arial" w:hAnsi="Arial" w:cs="Arial"/>
        </w:rPr>
        <w:t>recognising</w:t>
      </w:r>
      <w:proofErr w:type="spellEnd"/>
      <w:r w:rsidRPr="00B12661">
        <w:rPr>
          <w:rFonts w:ascii="Arial" w:hAnsi="Arial" w:cs="Arial"/>
        </w:rPr>
        <w:t xml:space="preserve"> my limitations is an important part of becoming a responsible health and social care professional.</w:t>
      </w:r>
    </w:p>
    <w:p w:rsidR="00B12661" w:rsidRPr="00B12661" w:rsidRDefault="00B12661" w:rsidP="00B12661">
      <w:pPr>
        <w:spacing w:line="360" w:lineRule="auto"/>
        <w:rPr>
          <w:rFonts w:ascii="Arial" w:hAnsi="Arial" w:cs="Arial"/>
        </w:rPr>
      </w:pPr>
      <w:r w:rsidRPr="00B12661">
        <w:rPr>
          <w:rFonts w:ascii="Arial" w:hAnsi="Arial" w:cs="Arial"/>
        </w:rPr>
        <w:t>This experience encouraged me to think more carefully about how I speak to people and respond to their concerns. I would listen without interrupting, explain what I intended to do and allow the person time to express their preferences. I learned that respectful communication can help build trust between a care worker and the person receiving support.</w:t>
      </w:r>
    </w:p>
    <w:p w:rsidR="00B12661" w:rsidRPr="00B12661" w:rsidRDefault="00B12661" w:rsidP="00B12661">
      <w:pPr>
        <w:spacing w:line="360" w:lineRule="auto"/>
        <w:rPr>
          <w:rFonts w:ascii="Arial" w:hAnsi="Arial" w:cs="Arial"/>
          <w:b/>
          <w:bCs/>
        </w:rPr>
      </w:pPr>
      <w:r w:rsidRPr="00B12661">
        <w:rPr>
          <w:rFonts w:ascii="Arial" w:hAnsi="Arial" w:cs="Arial"/>
          <w:b/>
          <w:bCs/>
        </w:rPr>
        <w:t>Step 3: Reviewing the Positive Aspects and Challenges</w:t>
      </w:r>
    </w:p>
    <w:p w:rsidR="00B12661" w:rsidRPr="00B12661" w:rsidRDefault="00B12661" w:rsidP="00B12661">
      <w:pPr>
        <w:spacing w:line="360" w:lineRule="auto"/>
        <w:rPr>
          <w:rFonts w:ascii="Arial" w:hAnsi="Arial" w:cs="Arial"/>
        </w:rPr>
      </w:pPr>
      <w:r w:rsidRPr="00B12661">
        <w:rPr>
          <w:rFonts w:ascii="Arial" w:hAnsi="Arial" w:cs="Arial"/>
        </w:rPr>
        <w:t xml:space="preserve">One positive lesson from this experience </w:t>
      </w:r>
      <w:proofErr w:type="gramStart"/>
      <w:r w:rsidRPr="00B12661">
        <w:rPr>
          <w:rFonts w:ascii="Arial" w:hAnsi="Arial" w:cs="Arial"/>
        </w:rPr>
        <w:t>was understanding</w:t>
      </w:r>
      <w:proofErr w:type="gramEnd"/>
      <w:r w:rsidRPr="00B12661">
        <w:rPr>
          <w:rFonts w:ascii="Arial" w:hAnsi="Arial" w:cs="Arial"/>
        </w:rPr>
        <w:t xml:space="preserve"> the importance of encouraging independence. I </w:t>
      </w:r>
      <w:proofErr w:type="spellStart"/>
      <w:r w:rsidRPr="00B12661">
        <w:rPr>
          <w:rFonts w:ascii="Arial" w:hAnsi="Arial" w:cs="Arial"/>
        </w:rPr>
        <w:t>realised</w:t>
      </w:r>
      <w:proofErr w:type="spellEnd"/>
      <w:r w:rsidRPr="00B12661">
        <w:rPr>
          <w:rFonts w:ascii="Arial" w:hAnsi="Arial" w:cs="Arial"/>
        </w:rPr>
        <w:t xml:space="preserve"> that providing too much assistance could prevent someone from participating in their own daily activities. For example, if an older person could safely complete part of a task, I would encourage them to do so rather than automatically taking over. This could help maintain their confidence and sense of control.</w:t>
      </w:r>
    </w:p>
    <w:p w:rsidR="00B12661" w:rsidRPr="00B12661" w:rsidRDefault="00B12661" w:rsidP="00B12661">
      <w:pPr>
        <w:spacing w:line="360" w:lineRule="auto"/>
        <w:rPr>
          <w:rFonts w:ascii="Arial" w:hAnsi="Arial" w:cs="Arial"/>
        </w:rPr>
      </w:pPr>
      <w:r w:rsidRPr="00B12661">
        <w:rPr>
          <w:rFonts w:ascii="Arial" w:hAnsi="Arial" w:cs="Arial"/>
        </w:rPr>
        <w:t xml:space="preserve">I also </w:t>
      </w:r>
      <w:proofErr w:type="spellStart"/>
      <w:r w:rsidRPr="00B12661">
        <w:rPr>
          <w:rFonts w:ascii="Arial" w:hAnsi="Arial" w:cs="Arial"/>
        </w:rPr>
        <w:t>recognised</w:t>
      </w:r>
      <w:proofErr w:type="spellEnd"/>
      <w:r w:rsidRPr="00B12661">
        <w:rPr>
          <w:rFonts w:ascii="Arial" w:hAnsi="Arial" w:cs="Arial"/>
        </w:rPr>
        <w:t xml:space="preserve"> that listening to the person could help identify problems with their care arrangements. If their usual routine was uncomfortable or unsuitable, I would discuss their concerns and communicate them to the appropriate staff member.</w:t>
      </w:r>
    </w:p>
    <w:p w:rsidR="00B12661" w:rsidRPr="00B12661" w:rsidRDefault="00B12661" w:rsidP="00B12661">
      <w:pPr>
        <w:spacing w:line="360" w:lineRule="auto"/>
        <w:rPr>
          <w:rFonts w:ascii="Arial" w:hAnsi="Arial" w:cs="Arial"/>
        </w:rPr>
      </w:pPr>
      <w:r w:rsidRPr="00B12661">
        <w:rPr>
          <w:rFonts w:ascii="Arial" w:hAnsi="Arial" w:cs="Arial"/>
        </w:rPr>
        <w:t>However, I identified areas in which I would need further development. I would need to improve my understanding of safeguarding, confidentiality and safe care procedures. I would also need to learn how to respond appropriately if someone became unwell or refused assistance. Rather than making decisions without sufficient knowledge, I would follow workplace procedures and seek professional guidance. This reflection showed me that good care requires both a caring attitude and appropriate practical knowledge.</w:t>
      </w:r>
    </w:p>
    <w:p w:rsidR="00B12661" w:rsidRPr="00B12661" w:rsidRDefault="00B12661" w:rsidP="00B12661">
      <w:pPr>
        <w:spacing w:line="360" w:lineRule="auto"/>
        <w:rPr>
          <w:rFonts w:ascii="Arial" w:hAnsi="Arial" w:cs="Arial"/>
          <w:b/>
          <w:bCs/>
        </w:rPr>
      </w:pPr>
      <w:r w:rsidRPr="00B12661">
        <w:rPr>
          <w:rFonts w:ascii="Arial" w:hAnsi="Arial" w:cs="Arial"/>
          <w:b/>
          <w:bCs/>
        </w:rPr>
        <w:t>Step 4: Linking My Learning to Health and Social Care Principles</w:t>
      </w:r>
    </w:p>
    <w:p w:rsidR="00B12661" w:rsidRPr="00B12661" w:rsidRDefault="00B12661" w:rsidP="00B12661">
      <w:pPr>
        <w:spacing w:line="360" w:lineRule="auto"/>
        <w:rPr>
          <w:rFonts w:ascii="Arial" w:hAnsi="Arial" w:cs="Arial"/>
        </w:rPr>
      </w:pPr>
      <w:r w:rsidRPr="00B12661">
        <w:rPr>
          <w:rFonts w:ascii="Arial" w:hAnsi="Arial" w:cs="Arial"/>
        </w:rPr>
        <w:t>This experience helped me understand person-</w:t>
      </w:r>
      <w:proofErr w:type="spellStart"/>
      <w:r w:rsidRPr="00B12661">
        <w:rPr>
          <w:rFonts w:ascii="Arial" w:hAnsi="Arial" w:cs="Arial"/>
        </w:rPr>
        <w:t>centred</w:t>
      </w:r>
      <w:proofErr w:type="spellEnd"/>
      <w:r w:rsidRPr="00B12661">
        <w:rPr>
          <w:rFonts w:ascii="Arial" w:hAnsi="Arial" w:cs="Arial"/>
        </w:rPr>
        <w:t xml:space="preserve"> care. I would consider each person's preferences, abilities and personal goals instead of treating everyone in the same way. The Care Act 2014 highlights wellbeing, dignity and control over daily life in England (UK Government, 2014</w:t>
      </w:r>
      <w:r>
        <w:rPr>
          <w:rFonts w:ascii="Arial" w:hAnsi="Arial" w:cs="Arial"/>
        </w:rPr>
        <w:t>a</w:t>
      </w:r>
      <w:r w:rsidRPr="00B12661">
        <w:rPr>
          <w:rFonts w:ascii="Arial" w:hAnsi="Arial" w:cs="Arial"/>
        </w:rPr>
        <w:t>). I would apply these principles by involving people in decisions about their support and respecting their preferences wherever possible.</w:t>
      </w:r>
    </w:p>
    <w:p w:rsidR="00B12661" w:rsidRPr="00B12661" w:rsidRDefault="00B12661" w:rsidP="00B12661">
      <w:pPr>
        <w:spacing w:line="360" w:lineRule="auto"/>
        <w:rPr>
          <w:rFonts w:ascii="Arial" w:hAnsi="Arial" w:cs="Arial"/>
        </w:rPr>
      </w:pPr>
      <w:r w:rsidRPr="00B12661">
        <w:rPr>
          <w:rFonts w:ascii="Arial" w:hAnsi="Arial" w:cs="Arial"/>
        </w:rPr>
        <w:t xml:space="preserve">Maslow's Hierarchy of Needs also helped me understand that people need more than physical assistance. Maslow (1943) discussed needs associated with safety, belonging, </w:t>
      </w:r>
      <w:r w:rsidRPr="00B12661">
        <w:rPr>
          <w:rFonts w:ascii="Arial" w:hAnsi="Arial" w:cs="Arial"/>
        </w:rPr>
        <w:lastRenderedPageBreak/>
        <w:t xml:space="preserve">esteem and personal development. In my future role, I would consider whether the person feels safe, respected and included, as well as whether their practical needs are being met. I would </w:t>
      </w:r>
      <w:proofErr w:type="spellStart"/>
      <w:r w:rsidRPr="00B12661">
        <w:rPr>
          <w:rFonts w:ascii="Arial" w:hAnsi="Arial" w:cs="Arial"/>
        </w:rPr>
        <w:t>recognise</w:t>
      </w:r>
      <w:proofErr w:type="spellEnd"/>
      <w:r w:rsidRPr="00B12661">
        <w:rPr>
          <w:rFonts w:ascii="Arial" w:hAnsi="Arial" w:cs="Arial"/>
        </w:rPr>
        <w:t xml:space="preserve"> that social relationships and meaningful activities can contribute to wellbeing.</w:t>
      </w:r>
    </w:p>
    <w:p w:rsidR="00B12661" w:rsidRPr="00B12661" w:rsidRDefault="00B12661" w:rsidP="00B12661">
      <w:pPr>
        <w:spacing w:line="360" w:lineRule="auto"/>
        <w:rPr>
          <w:rFonts w:ascii="Arial" w:hAnsi="Arial" w:cs="Arial"/>
        </w:rPr>
      </w:pPr>
      <w:r w:rsidRPr="00B12661">
        <w:rPr>
          <w:rFonts w:ascii="Arial" w:hAnsi="Arial" w:cs="Arial"/>
        </w:rPr>
        <w:t>Partnership working is another important principle. I would communicate appropriately with colleagues and other professionals involved in a person's care. If I noticed a change in someone's condition or daily needs, I would report my observations and maintain accurate records. I would not attempt to diagnose a medical problem outside my responsibilities. Effective communication could help ensure that the person receives appropriate and consistent support.</w:t>
      </w:r>
    </w:p>
    <w:p w:rsidR="00B12661" w:rsidRPr="00B12661" w:rsidRDefault="00B12661" w:rsidP="00B12661">
      <w:pPr>
        <w:spacing w:line="360" w:lineRule="auto"/>
        <w:rPr>
          <w:rFonts w:ascii="Arial" w:hAnsi="Arial" w:cs="Arial"/>
        </w:rPr>
      </w:pPr>
      <w:r w:rsidRPr="00B12661">
        <w:rPr>
          <w:rFonts w:ascii="Arial" w:hAnsi="Arial" w:cs="Arial"/>
        </w:rPr>
        <w:t>Ethical practice would guide my decisions about consent, privacy and dignity. The Mental Capacity Act 2005 establishes principles for supporting adults who may have difficulty making particular decisions (UK Government, 2005). I would not assume that someone lacked capacity simply because they were older or needed assistance. I would support their decision-making and seek guidance if concerns arose.</w:t>
      </w:r>
    </w:p>
    <w:p w:rsidR="00B12661" w:rsidRPr="00B12661" w:rsidRDefault="00B12661" w:rsidP="00B12661">
      <w:pPr>
        <w:spacing w:line="360" w:lineRule="auto"/>
        <w:rPr>
          <w:rFonts w:ascii="Arial" w:hAnsi="Arial" w:cs="Arial"/>
        </w:rPr>
      </w:pPr>
      <w:r w:rsidRPr="00B12661">
        <w:rPr>
          <w:rFonts w:ascii="Arial" w:hAnsi="Arial" w:cs="Arial"/>
        </w:rPr>
        <w:t>I would also take safeguarding seriously. If I suspected abuse or neglect, I would report the concern through the correct procedures. The Equality Act 2010 provides protection against unlawful discrimination (UK Government, 2010). I would therefore aim to treat people fairly, respect individual differences and avoid making assumptions about their abilities. These principles would help me provide safer and more respectful support.</w:t>
      </w:r>
    </w:p>
    <w:p w:rsidR="00B12661" w:rsidRPr="00B12661" w:rsidRDefault="00B12661" w:rsidP="00B12661">
      <w:pPr>
        <w:spacing w:line="360" w:lineRule="auto"/>
        <w:rPr>
          <w:rFonts w:ascii="Arial" w:hAnsi="Arial" w:cs="Arial"/>
          <w:b/>
          <w:bCs/>
        </w:rPr>
      </w:pPr>
      <w:r w:rsidRPr="00B12661">
        <w:rPr>
          <w:rFonts w:ascii="Arial" w:hAnsi="Arial" w:cs="Arial"/>
          <w:b/>
          <w:bCs/>
        </w:rPr>
        <w:t>Step 5: Conclusion and Future Action Plan</w:t>
      </w:r>
    </w:p>
    <w:p w:rsidR="00B12661" w:rsidRPr="00B12661" w:rsidRDefault="00B12661" w:rsidP="00B12661">
      <w:pPr>
        <w:spacing w:line="360" w:lineRule="auto"/>
        <w:rPr>
          <w:rFonts w:ascii="Arial" w:hAnsi="Arial" w:cs="Arial"/>
        </w:rPr>
      </w:pPr>
      <w:r w:rsidRPr="00B12661">
        <w:rPr>
          <w:rFonts w:ascii="Arial" w:hAnsi="Arial" w:cs="Arial"/>
        </w:rPr>
        <w:t>Reflecting on this experience has helped me understand that effective care involves supporting independence, dignity and wellbeing rather than focusing only on practical tasks. I have learned that listening, patience and communication are important strengths, but I also need to develop my professional knowledge and confidence.</w:t>
      </w:r>
    </w:p>
    <w:p w:rsidR="00B12661" w:rsidRPr="00B12661" w:rsidRDefault="00B12661" w:rsidP="00B12661">
      <w:pPr>
        <w:spacing w:line="360" w:lineRule="auto"/>
        <w:rPr>
          <w:rFonts w:ascii="Arial" w:hAnsi="Arial" w:cs="Arial"/>
        </w:rPr>
      </w:pPr>
      <w:r w:rsidRPr="00B12661">
        <w:rPr>
          <w:rFonts w:ascii="Arial" w:hAnsi="Arial" w:cs="Arial"/>
        </w:rPr>
        <w:t>To improve my future practice, I would undertake relevant training in safeguarding, confidentiality, communication and person-</w:t>
      </w:r>
      <w:proofErr w:type="spellStart"/>
      <w:r w:rsidRPr="00B12661">
        <w:rPr>
          <w:rFonts w:ascii="Arial" w:hAnsi="Arial" w:cs="Arial"/>
        </w:rPr>
        <w:t>centred</w:t>
      </w:r>
      <w:proofErr w:type="spellEnd"/>
      <w:r w:rsidRPr="00B12661">
        <w:rPr>
          <w:rFonts w:ascii="Arial" w:hAnsi="Arial" w:cs="Arial"/>
        </w:rPr>
        <w:t xml:space="preserve"> care. I would read workplace policies and ask supervisors for clarification whenever I was uncertain about my responsibilities. I would also seek feedback to identify areas where my practice could improve.</w:t>
      </w:r>
    </w:p>
    <w:p w:rsidR="00B12661" w:rsidRPr="00B12661" w:rsidRDefault="00B12661" w:rsidP="00B12661">
      <w:pPr>
        <w:spacing w:line="360" w:lineRule="auto"/>
        <w:rPr>
          <w:rFonts w:ascii="Arial" w:hAnsi="Arial" w:cs="Arial"/>
        </w:rPr>
      </w:pPr>
      <w:r w:rsidRPr="00B12661">
        <w:rPr>
          <w:rFonts w:ascii="Arial" w:hAnsi="Arial" w:cs="Arial"/>
        </w:rPr>
        <w:t>Another goal would be to improve my ability to record observations accurately and communicate concerns clearly. I would reflect after challenging situations by considering what went well, what could have been handled differently and what I learned from the experience. I would review my progress regularly and set further development goals.</w:t>
      </w:r>
    </w:p>
    <w:p w:rsidR="00B12661" w:rsidRPr="00B12661" w:rsidRDefault="00B12661" w:rsidP="00B12661">
      <w:pPr>
        <w:spacing w:line="360" w:lineRule="auto"/>
        <w:rPr>
          <w:rFonts w:ascii="Arial" w:hAnsi="Arial" w:cs="Arial"/>
        </w:rPr>
      </w:pPr>
      <w:r w:rsidRPr="00B12661">
        <w:rPr>
          <w:rFonts w:ascii="Arial" w:hAnsi="Arial" w:cs="Arial"/>
        </w:rPr>
        <w:lastRenderedPageBreak/>
        <w:t xml:space="preserve">By following this action plan, I aim to become a responsible health and social care professional </w:t>
      </w:r>
      <w:proofErr w:type="gramStart"/>
      <w:r w:rsidRPr="00B12661">
        <w:rPr>
          <w:rFonts w:ascii="Arial" w:hAnsi="Arial" w:cs="Arial"/>
        </w:rPr>
        <w:t>who</w:t>
      </w:r>
      <w:proofErr w:type="gramEnd"/>
      <w:r w:rsidRPr="00B12661">
        <w:rPr>
          <w:rFonts w:ascii="Arial" w:hAnsi="Arial" w:cs="Arial"/>
        </w:rPr>
        <w:t xml:space="preserve"> respects individual choices, works effectively with colleagues and provides safe, compassionate and person-</w:t>
      </w:r>
      <w:proofErr w:type="spellStart"/>
      <w:r w:rsidRPr="00B12661">
        <w:rPr>
          <w:rFonts w:ascii="Arial" w:hAnsi="Arial" w:cs="Arial"/>
        </w:rPr>
        <w:t>centred</w:t>
      </w:r>
      <w:proofErr w:type="spellEnd"/>
      <w:r w:rsidRPr="00B12661">
        <w:rPr>
          <w:rFonts w:ascii="Arial" w:hAnsi="Arial" w:cs="Arial"/>
        </w:rPr>
        <w:t xml:space="preserve"> support.</w:t>
      </w:r>
    </w:p>
    <w:p w:rsidR="00745FF2" w:rsidRDefault="00745FF2" w:rsidP="00745FF2">
      <w:pPr>
        <w:spacing w:line="360" w:lineRule="auto"/>
        <w:rPr>
          <w:rFonts w:ascii="Arial" w:hAnsi="Arial" w:cs="Arial"/>
        </w:rPr>
      </w:pPr>
    </w:p>
    <w:p w:rsidR="00745FF2" w:rsidRDefault="00745FF2" w:rsidP="00745FF2">
      <w:pPr>
        <w:spacing w:line="360" w:lineRule="auto"/>
        <w:rPr>
          <w:rFonts w:ascii="Arial" w:hAnsi="Arial" w:cs="Arial"/>
        </w:rPr>
      </w:pPr>
    </w:p>
    <w:p w:rsidR="00745FF2" w:rsidRDefault="00745FF2" w:rsidP="00745FF2">
      <w:pPr>
        <w:spacing w:line="360" w:lineRule="auto"/>
        <w:rPr>
          <w:rFonts w:ascii="Arial" w:hAnsi="Arial" w:cs="Arial"/>
        </w:rPr>
      </w:pPr>
    </w:p>
    <w:p w:rsidR="00745FF2" w:rsidRDefault="00745FF2" w:rsidP="00745FF2">
      <w:pPr>
        <w:spacing w:line="360" w:lineRule="auto"/>
        <w:rPr>
          <w:rFonts w:ascii="Arial" w:hAnsi="Arial" w:cs="Arial"/>
        </w:rPr>
      </w:pPr>
    </w:p>
    <w:p w:rsidR="00745FF2" w:rsidRDefault="00745FF2" w:rsidP="00745FF2">
      <w:pPr>
        <w:spacing w:line="360" w:lineRule="auto"/>
        <w:rPr>
          <w:rFonts w:ascii="Arial" w:hAnsi="Arial" w:cs="Arial"/>
        </w:rPr>
      </w:pPr>
    </w:p>
    <w:p w:rsidR="00745FF2" w:rsidRDefault="00745FF2" w:rsidP="00745FF2">
      <w:pPr>
        <w:spacing w:line="360" w:lineRule="auto"/>
        <w:rPr>
          <w:rFonts w:ascii="Arial" w:hAnsi="Arial" w:cs="Arial"/>
        </w:rPr>
      </w:pPr>
    </w:p>
    <w:p w:rsidR="00745FF2" w:rsidRDefault="00745FF2" w:rsidP="00745FF2">
      <w:pPr>
        <w:spacing w:line="360" w:lineRule="auto"/>
        <w:rPr>
          <w:rFonts w:ascii="Arial" w:hAnsi="Arial" w:cs="Arial"/>
        </w:rPr>
      </w:pPr>
    </w:p>
    <w:p w:rsidR="00745FF2" w:rsidRDefault="00745FF2" w:rsidP="00745FF2">
      <w:pPr>
        <w:spacing w:line="360" w:lineRule="auto"/>
        <w:rPr>
          <w:rFonts w:ascii="Arial" w:hAnsi="Arial" w:cs="Arial"/>
        </w:rPr>
      </w:pPr>
    </w:p>
    <w:p w:rsidR="00745FF2" w:rsidRDefault="00745FF2" w:rsidP="00745FF2">
      <w:pPr>
        <w:spacing w:line="360" w:lineRule="auto"/>
        <w:rPr>
          <w:rFonts w:ascii="Arial" w:hAnsi="Arial" w:cs="Arial"/>
        </w:rPr>
      </w:pPr>
    </w:p>
    <w:p w:rsidR="00745FF2" w:rsidRDefault="00745FF2" w:rsidP="00745FF2">
      <w:pPr>
        <w:spacing w:line="360" w:lineRule="auto"/>
        <w:rPr>
          <w:rFonts w:ascii="Arial" w:hAnsi="Arial" w:cs="Arial"/>
        </w:rPr>
      </w:pPr>
    </w:p>
    <w:p w:rsidR="00745FF2" w:rsidRDefault="00745FF2" w:rsidP="00745FF2">
      <w:pPr>
        <w:spacing w:line="360" w:lineRule="auto"/>
        <w:rPr>
          <w:rFonts w:ascii="Arial" w:hAnsi="Arial" w:cs="Arial"/>
        </w:rPr>
      </w:pPr>
    </w:p>
    <w:p w:rsidR="00745FF2" w:rsidRDefault="00745FF2" w:rsidP="00745FF2">
      <w:pPr>
        <w:spacing w:line="360" w:lineRule="auto"/>
        <w:rPr>
          <w:rFonts w:ascii="Arial" w:hAnsi="Arial" w:cs="Arial"/>
        </w:rPr>
      </w:pPr>
    </w:p>
    <w:p w:rsidR="00745FF2" w:rsidRDefault="00745FF2" w:rsidP="00745FF2">
      <w:pPr>
        <w:spacing w:line="360" w:lineRule="auto"/>
        <w:rPr>
          <w:rFonts w:ascii="Arial" w:hAnsi="Arial" w:cs="Arial"/>
        </w:rPr>
      </w:pPr>
    </w:p>
    <w:p w:rsidR="00745FF2" w:rsidRDefault="00745FF2" w:rsidP="00745FF2">
      <w:pPr>
        <w:spacing w:line="360" w:lineRule="auto"/>
        <w:rPr>
          <w:rFonts w:ascii="Arial" w:hAnsi="Arial" w:cs="Arial"/>
        </w:rPr>
      </w:pPr>
    </w:p>
    <w:p w:rsidR="00745FF2" w:rsidRDefault="00745FF2" w:rsidP="00745FF2">
      <w:pPr>
        <w:spacing w:line="360" w:lineRule="auto"/>
        <w:rPr>
          <w:rFonts w:ascii="Arial" w:hAnsi="Arial" w:cs="Arial"/>
        </w:rPr>
      </w:pPr>
    </w:p>
    <w:p w:rsidR="00B12661" w:rsidRDefault="00B12661" w:rsidP="00745FF2">
      <w:pPr>
        <w:spacing w:line="360" w:lineRule="auto"/>
        <w:rPr>
          <w:rFonts w:ascii="Arial" w:hAnsi="Arial" w:cs="Arial"/>
        </w:rPr>
      </w:pPr>
    </w:p>
    <w:p w:rsidR="00B12661" w:rsidRDefault="00B12661" w:rsidP="00745FF2">
      <w:pPr>
        <w:spacing w:line="360" w:lineRule="auto"/>
        <w:rPr>
          <w:rFonts w:ascii="Arial" w:hAnsi="Arial" w:cs="Arial"/>
        </w:rPr>
      </w:pPr>
    </w:p>
    <w:p w:rsidR="00B12661" w:rsidRDefault="00B12661" w:rsidP="00745FF2">
      <w:pPr>
        <w:spacing w:line="360" w:lineRule="auto"/>
        <w:rPr>
          <w:rFonts w:ascii="Arial" w:hAnsi="Arial" w:cs="Arial"/>
        </w:rPr>
      </w:pPr>
    </w:p>
    <w:p w:rsidR="00B12661" w:rsidRDefault="00B12661" w:rsidP="00745FF2">
      <w:pPr>
        <w:spacing w:line="360" w:lineRule="auto"/>
        <w:rPr>
          <w:rFonts w:ascii="Arial" w:hAnsi="Arial" w:cs="Arial"/>
        </w:rPr>
      </w:pPr>
    </w:p>
    <w:p w:rsidR="00745FF2" w:rsidRPr="00745FF2" w:rsidRDefault="00745FF2" w:rsidP="00745FF2">
      <w:pPr>
        <w:spacing w:line="360" w:lineRule="auto"/>
        <w:rPr>
          <w:rFonts w:ascii="Arial" w:hAnsi="Arial" w:cs="Arial"/>
        </w:rPr>
      </w:pPr>
    </w:p>
    <w:p w:rsidR="00A701C8" w:rsidRPr="00745FF2" w:rsidRDefault="00A701C8" w:rsidP="00745FF2">
      <w:pPr>
        <w:spacing w:line="360" w:lineRule="auto"/>
        <w:rPr>
          <w:rFonts w:ascii="Arial" w:hAnsi="Arial" w:cs="Arial"/>
          <w:b/>
          <w:bCs/>
        </w:rPr>
      </w:pPr>
      <w:r w:rsidRPr="00745FF2">
        <w:rPr>
          <w:rFonts w:ascii="Arial" w:hAnsi="Arial" w:cs="Arial"/>
          <w:b/>
          <w:bCs/>
        </w:rPr>
        <w:t>Reference list</w:t>
      </w:r>
    </w:p>
    <w:p w:rsidR="00B12661" w:rsidRPr="00745FF2" w:rsidRDefault="00B12661" w:rsidP="00B12661">
      <w:pPr>
        <w:spacing w:line="360" w:lineRule="auto"/>
        <w:ind w:left="720" w:hanging="720"/>
        <w:rPr>
          <w:rFonts w:ascii="Arial" w:hAnsi="Arial" w:cs="Arial"/>
        </w:rPr>
      </w:pPr>
    </w:p>
    <w:p w:rsidR="00B12661" w:rsidRPr="00B12661" w:rsidRDefault="00B12661" w:rsidP="00B12661">
      <w:pPr>
        <w:spacing w:line="360" w:lineRule="auto"/>
        <w:ind w:left="720" w:hanging="720"/>
        <w:rPr>
          <w:rFonts w:ascii="Arial" w:hAnsi="Arial" w:cs="Arial"/>
        </w:rPr>
      </w:pPr>
      <w:r w:rsidRPr="00B12661">
        <w:rPr>
          <w:rFonts w:ascii="Arial" w:hAnsi="Arial" w:cs="Arial"/>
        </w:rPr>
        <w:lastRenderedPageBreak/>
        <w:t xml:space="preserve">Care Quality Commission (CQC) (2025) </w:t>
      </w:r>
      <w:r w:rsidRPr="00B12661">
        <w:rPr>
          <w:rFonts w:ascii="Arial" w:hAnsi="Arial" w:cs="Arial"/>
          <w:i/>
          <w:iCs/>
        </w:rPr>
        <w:t>Regulation 9: Person-</w:t>
      </w:r>
      <w:proofErr w:type="spellStart"/>
      <w:r w:rsidRPr="00B12661">
        <w:rPr>
          <w:rFonts w:ascii="Arial" w:hAnsi="Arial" w:cs="Arial"/>
          <w:i/>
          <w:iCs/>
        </w:rPr>
        <w:t>centred</w:t>
      </w:r>
      <w:proofErr w:type="spellEnd"/>
      <w:r w:rsidRPr="00B12661">
        <w:rPr>
          <w:rFonts w:ascii="Arial" w:hAnsi="Arial" w:cs="Arial"/>
          <w:i/>
          <w:iCs/>
        </w:rPr>
        <w:t xml:space="preserve"> care</w:t>
      </w:r>
      <w:r w:rsidRPr="00B12661">
        <w:rPr>
          <w:rFonts w:ascii="Arial" w:hAnsi="Arial" w:cs="Arial"/>
        </w:rPr>
        <w:t xml:space="preserve">. Available at: </w:t>
      </w:r>
      <w:hyperlink r:id="rId7" w:history="1">
        <w:r w:rsidRPr="00B12661">
          <w:rPr>
            <w:rStyle w:val="Hyperlink"/>
            <w:rFonts w:ascii="Arial" w:hAnsi="Arial" w:cs="Arial"/>
          </w:rPr>
          <w:t>https://www.cqc.org.uk/guidance-regulation/providers/regulations-service-providers-and-managers/health-social-care-act/regulation-9</w:t>
        </w:r>
      </w:hyperlink>
      <w:r>
        <w:rPr>
          <w:rFonts w:ascii="Arial" w:hAnsi="Arial" w:cs="Arial"/>
        </w:rPr>
        <w:t xml:space="preserve"> (Accessed: 20</w:t>
      </w:r>
      <w:r w:rsidRPr="00B12661">
        <w:rPr>
          <w:rFonts w:ascii="Arial" w:hAnsi="Arial" w:cs="Arial"/>
        </w:rPr>
        <w:t xml:space="preserve"> October 2026).</w:t>
      </w:r>
    </w:p>
    <w:p w:rsidR="00B12661" w:rsidRPr="00B12661" w:rsidRDefault="00B12661" w:rsidP="00B12661">
      <w:pPr>
        <w:spacing w:line="360" w:lineRule="auto"/>
        <w:ind w:left="720" w:hanging="720"/>
        <w:rPr>
          <w:rFonts w:ascii="Arial" w:hAnsi="Arial" w:cs="Arial"/>
        </w:rPr>
      </w:pPr>
      <w:proofErr w:type="gramStart"/>
      <w:r w:rsidRPr="00B12661">
        <w:rPr>
          <w:rFonts w:ascii="Arial" w:hAnsi="Arial" w:cs="Arial"/>
        </w:rPr>
        <w:t xml:space="preserve">Gibbs, G. (1988) </w:t>
      </w:r>
      <w:r w:rsidRPr="00B12661">
        <w:rPr>
          <w:rFonts w:ascii="Arial" w:hAnsi="Arial" w:cs="Arial"/>
          <w:i/>
          <w:iCs/>
        </w:rPr>
        <w:t>Learning by Doing: A Guide to Teaching and Learning Methods</w:t>
      </w:r>
      <w:r w:rsidRPr="00B12661">
        <w:rPr>
          <w:rFonts w:ascii="Arial" w:hAnsi="Arial" w:cs="Arial"/>
        </w:rPr>
        <w:t>.</w:t>
      </w:r>
      <w:proofErr w:type="gramEnd"/>
      <w:r w:rsidRPr="00B12661">
        <w:rPr>
          <w:rFonts w:ascii="Arial" w:hAnsi="Arial" w:cs="Arial"/>
        </w:rPr>
        <w:t xml:space="preserve"> Oxford: Further Education Unit, Oxford Polytechnic.</w:t>
      </w:r>
    </w:p>
    <w:p w:rsidR="00B12661" w:rsidRPr="00B12661" w:rsidRDefault="00B12661" w:rsidP="00B12661">
      <w:pPr>
        <w:spacing w:line="360" w:lineRule="auto"/>
        <w:ind w:left="720" w:hanging="720"/>
        <w:rPr>
          <w:rFonts w:ascii="Arial" w:hAnsi="Arial" w:cs="Arial"/>
        </w:rPr>
      </w:pPr>
      <w:proofErr w:type="gramStart"/>
      <w:r w:rsidRPr="00B12661">
        <w:rPr>
          <w:rFonts w:ascii="Arial" w:hAnsi="Arial" w:cs="Arial"/>
        </w:rPr>
        <w:t xml:space="preserve">Maslow, A.H. (1943) ‘A theory of human motivation’, </w:t>
      </w:r>
      <w:r w:rsidRPr="00B12661">
        <w:rPr>
          <w:rFonts w:ascii="Arial" w:hAnsi="Arial" w:cs="Arial"/>
          <w:i/>
          <w:iCs/>
        </w:rPr>
        <w:t>Psychological Review</w:t>
      </w:r>
      <w:r w:rsidRPr="00B12661">
        <w:rPr>
          <w:rFonts w:ascii="Arial" w:hAnsi="Arial" w:cs="Arial"/>
        </w:rPr>
        <w:t>, 50(4), pp. 370–396.</w:t>
      </w:r>
      <w:proofErr w:type="gramEnd"/>
      <w:r w:rsidRPr="00B12661">
        <w:rPr>
          <w:rFonts w:ascii="Arial" w:hAnsi="Arial" w:cs="Arial"/>
        </w:rPr>
        <w:t xml:space="preserve"> Available at: </w:t>
      </w:r>
      <w:hyperlink r:id="rId8" w:history="1">
        <w:r w:rsidRPr="00B12661">
          <w:rPr>
            <w:rStyle w:val="Hyperlink"/>
            <w:rFonts w:ascii="Arial" w:hAnsi="Arial" w:cs="Arial"/>
          </w:rPr>
          <w:t>https://doi.org/10.1037/h0054346</w:t>
        </w:r>
      </w:hyperlink>
    </w:p>
    <w:p w:rsidR="00B12661" w:rsidRPr="00B12661" w:rsidRDefault="00B12661" w:rsidP="00B12661">
      <w:pPr>
        <w:spacing w:line="360" w:lineRule="auto"/>
        <w:ind w:left="720" w:hanging="720"/>
        <w:rPr>
          <w:rFonts w:ascii="Arial" w:hAnsi="Arial" w:cs="Arial"/>
        </w:rPr>
      </w:pPr>
      <w:proofErr w:type="gramStart"/>
      <w:r w:rsidRPr="00B12661">
        <w:rPr>
          <w:rFonts w:ascii="Arial" w:hAnsi="Arial" w:cs="Arial"/>
        </w:rPr>
        <w:t xml:space="preserve">National Institute for Health and Care Excellence (NICE) (2021) </w:t>
      </w:r>
      <w:r w:rsidRPr="00B12661">
        <w:rPr>
          <w:rFonts w:ascii="Arial" w:hAnsi="Arial" w:cs="Arial"/>
          <w:i/>
          <w:iCs/>
        </w:rPr>
        <w:t>Shared decision making (NG197)</w:t>
      </w:r>
      <w:r w:rsidRPr="00B12661">
        <w:rPr>
          <w:rFonts w:ascii="Arial" w:hAnsi="Arial" w:cs="Arial"/>
        </w:rPr>
        <w:t>.</w:t>
      </w:r>
      <w:proofErr w:type="gramEnd"/>
      <w:r w:rsidRPr="00B12661">
        <w:rPr>
          <w:rFonts w:ascii="Arial" w:hAnsi="Arial" w:cs="Arial"/>
        </w:rPr>
        <w:t xml:space="preserve"> Available at: </w:t>
      </w:r>
      <w:hyperlink r:id="rId9" w:history="1">
        <w:r w:rsidRPr="00B12661">
          <w:rPr>
            <w:rStyle w:val="Hyperlink"/>
            <w:rFonts w:ascii="Arial" w:hAnsi="Arial" w:cs="Arial"/>
          </w:rPr>
          <w:t>https://www.nice.org.uk/guidance/ng197</w:t>
        </w:r>
      </w:hyperlink>
      <w:r>
        <w:rPr>
          <w:rFonts w:ascii="Arial" w:hAnsi="Arial" w:cs="Arial"/>
        </w:rPr>
        <w:t xml:space="preserve"> (Accessed: 12</w:t>
      </w:r>
      <w:r w:rsidRPr="00B12661">
        <w:rPr>
          <w:rFonts w:ascii="Arial" w:hAnsi="Arial" w:cs="Arial"/>
        </w:rPr>
        <w:t xml:space="preserve"> October 2026).</w:t>
      </w:r>
    </w:p>
    <w:p w:rsidR="00B12661" w:rsidRPr="00B12661" w:rsidRDefault="00B12661" w:rsidP="00B12661">
      <w:pPr>
        <w:spacing w:line="360" w:lineRule="auto"/>
        <w:ind w:left="720" w:hanging="720"/>
        <w:rPr>
          <w:rFonts w:ascii="Arial" w:hAnsi="Arial" w:cs="Arial"/>
        </w:rPr>
      </w:pPr>
      <w:r w:rsidRPr="00B12661">
        <w:rPr>
          <w:rFonts w:ascii="Arial" w:hAnsi="Arial" w:cs="Arial"/>
        </w:rPr>
        <w:t xml:space="preserve">NHS England (2022) </w:t>
      </w:r>
      <w:r w:rsidRPr="00B12661">
        <w:rPr>
          <w:rFonts w:ascii="Arial" w:hAnsi="Arial" w:cs="Arial"/>
          <w:i/>
          <w:iCs/>
        </w:rPr>
        <w:t>Guidance on direct payments for healthcare: Understanding the regulations</w:t>
      </w:r>
      <w:r w:rsidRPr="00B12661">
        <w:rPr>
          <w:rFonts w:ascii="Arial" w:hAnsi="Arial" w:cs="Arial"/>
        </w:rPr>
        <w:t xml:space="preserve">. Available at: </w:t>
      </w:r>
      <w:hyperlink r:id="rId10" w:history="1">
        <w:r w:rsidRPr="00B12661">
          <w:rPr>
            <w:rStyle w:val="Hyperlink"/>
            <w:rFonts w:ascii="Arial" w:hAnsi="Arial" w:cs="Arial"/>
          </w:rPr>
          <w:t>https://www.england.nhs.uk/long-read/guidance-on-direct-payments-for-healthcare-understanding-the-regulations/</w:t>
        </w:r>
      </w:hyperlink>
      <w:r w:rsidRPr="00B12661">
        <w:rPr>
          <w:rFonts w:ascii="Arial" w:hAnsi="Arial" w:cs="Arial"/>
        </w:rPr>
        <w:t xml:space="preserve"> (Accessed: 21 October 2026).</w:t>
      </w:r>
    </w:p>
    <w:p w:rsidR="00B12661" w:rsidRPr="00B12661" w:rsidRDefault="00B12661" w:rsidP="00B12661">
      <w:pPr>
        <w:spacing w:line="360" w:lineRule="auto"/>
        <w:ind w:left="720" w:hanging="720"/>
        <w:rPr>
          <w:rFonts w:ascii="Arial" w:hAnsi="Arial" w:cs="Arial"/>
        </w:rPr>
      </w:pPr>
      <w:r w:rsidRPr="00B12661">
        <w:rPr>
          <w:rFonts w:ascii="Arial" w:hAnsi="Arial" w:cs="Arial"/>
        </w:rPr>
        <w:t xml:space="preserve">NHS England (2023) </w:t>
      </w:r>
      <w:r w:rsidRPr="00B12661">
        <w:rPr>
          <w:rFonts w:ascii="Arial" w:hAnsi="Arial" w:cs="Arial"/>
          <w:i/>
          <w:iCs/>
        </w:rPr>
        <w:t>Personal health budgets: Options for managing the money</w:t>
      </w:r>
      <w:r w:rsidRPr="00B12661">
        <w:rPr>
          <w:rFonts w:ascii="Arial" w:hAnsi="Arial" w:cs="Arial"/>
        </w:rPr>
        <w:t xml:space="preserve">. Available at: </w:t>
      </w:r>
      <w:hyperlink r:id="rId11" w:history="1">
        <w:r w:rsidRPr="00B12661">
          <w:rPr>
            <w:rStyle w:val="Hyperlink"/>
            <w:rFonts w:ascii="Arial" w:hAnsi="Arial" w:cs="Arial"/>
          </w:rPr>
          <w:t>https://www.england.nhs.uk/long-read/personal-health-budgets-options-for-managing-the-money/</w:t>
        </w:r>
      </w:hyperlink>
      <w:r w:rsidRPr="00B12661">
        <w:rPr>
          <w:rFonts w:ascii="Arial" w:hAnsi="Arial" w:cs="Arial"/>
        </w:rPr>
        <w:t xml:space="preserve"> (Accessed: 21 October 2026).</w:t>
      </w:r>
    </w:p>
    <w:p w:rsidR="00B12661" w:rsidRPr="00B12661" w:rsidRDefault="00B12661" w:rsidP="00B12661">
      <w:pPr>
        <w:spacing w:line="360" w:lineRule="auto"/>
        <w:ind w:left="720" w:hanging="720"/>
        <w:rPr>
          <w:rFonts w:ascii="Arial" w:hAnsi="Arial" w:cs="Arial"/>
        </w:rPr>
      </w:pPr>
      <w:proofErr w:type="gramStart"/>
      <w:r w:rsidRPr="00B12661">
        <w:rPr>
          <w:rFonts w:ascii="Arial" w:hAnsi="Arial" w:cs="Arial"/>
        </w:rPr>
        <w:t>NHS England (</w:t>
      </w:r>
      <w:proofErr w:type="spellStart"/>
      <w:r w:rsidRPr="00B12661">
        <w:rPr>
          <w:rFonts w:ascii="Arial" w:hAnsi="Arial" w:cs="Arial"/>
        </w:rPr>
        <w:t>n.d.</w:t>
      </w:r>
      <w:proofErr w:type="spellEnd"/>
      <w:r w:rsidRPr="00B12661">
        <w:rPr>
          <w:rFonts w:ascii="Arial" w:hAnsi="Arial" w:cs="Arial"/>
        </w:rPr>
        <w:t xml:space="preserve">-a) </w:t>
      </w:r>
      <w:r w:rsidRPr="00B12661">
        <w:rPr>
          <w:rFonts w:ascii="Arial" w:hAnsi="Arial" w:cs="Arial"/>
          <w:i/>
          <w:iCs/>
        </w:rPr>
        <w:t>Robyn’s story</w:t>
      </w:r>
      <w:r w:rsidRPr="00B12661">
        <w:rPr>
          <w:rFonts w:ascii="Arial" w:hAnsi="Arial" w:cs="Arial"/>
        </w:rPr>
        <w:t>.</w:t>
      </w:r>
      <w:proofErr w:type="gramEnd"/>
      <w:r w:rsidRPr="00B12661">
        <w:rPr>
          <w:rFonts w:ascii="Arial" w:hAnsi="Arial" w:cs="Arial"/>
        </w:rPr>
        <w:t xml:space="preserve"> Available at: </w:t>
      </w:r>
      <w:hyperlink r:id="rId12" w:history="1">
        <w:r w:rsidRPr="00B12661">
          <w:rPr>
            <w:rStyle w:val="Hyperlink"/>
            <w:rFonts w:ascii="Arial" w:hAnsi="Arial" w:cs="Arial"/>
          </w:rPr>
          <w:t>https://www.england.nhs.uk/personalisedcare/comprehensive-model/case-studies/robyns-story/</w:t>
        </w:r>
      </w:hyperlink>
      <w:r w:rsidRPr="00B12661">
        <w:rPr>
          <w:rFonts w:ascii="Arial" w:hAnsi="Arial" w:cs="Arial"/>
        </w:rPr>
        <w:t xml:space="preserve"> (Accessed: 21 October 2026).</w:t>
      </w:r>
    </w:p>
    <w:p w:rsidR="00B12661" w:rsidRPr="00B12661" w:rsidRDefault="00B12661" w:rsidP="00B12661">
      <w:pPr>
        <w:spacing w:line="360" w:lineRule="auto"/>
        <w:ind w:left="720" w:hanging="720"/>
        <w:rPr>
          <w:rFonts w:ascii="Arial" w:hAnsi="Arial" w:cs="Arial"/>
        </w:rPr>
      </w:pPr>
      <w:proofErr w:type="gramStart"/>
      <w:r w:rsidRPr="00B12661">
        <w:rPr>
          <w:rFonts w:ascii="Arial" w:hAnsi="Arial" w:cs="Arial"/>
        </w:rPr>
        <w:t>NHS England (</w:t>
      </w:r>
      <w:proofErr w:type="spellStart"/>
      <w:r w:rsidRPr="00B12661">
        <w:rPr>
          <w:rFonts w:ascii="Arial" w:hAnsi="Arial" w:cs="Arial"/>
        </w:rPr>
        <w:t>n.d.</w:t>
      </w:r>
      <w:proofErr w:type="spellEnd"/>
      <w:r w:rsidRPr="00B12661">
        <w:rPr>
          <w:rFonts w:ascii="Arial" w:hAnsi="Arial" w:cs="Arial"/>
        </w:rPr>
        <w:t xml:space="preserve">-b) </w:t>
      </w:r>
      <w:r w:rsidRPr="00B12661">
        <w:rPr>
          <w:rFonts w:ascii="Arial" w:hAnsi="Arial" w:cs="Arial"/>
          <w:i/>
          <w:iCs/>
        </w:rPr>
        <w:t>Personal health budgets</w:t>
      </w:r>
      <w:r w:rsidRPr="00B12661">
        <w:rPr>
          <w:rFonts w:ascii="Arial" w:hAnsi="Arial" w:cs="Arial"/>
        </w:rPr>
        <w:t>.</w:t>
      </w:r>
      <w:proofErr w:type="gramEnd"/>
      <w:r w:rsidRPr="00B12661">
        <w:rPr>
          <w:rFonts w:ascii="Arial" w:hAnsi="Arial" w:cs="Arial"/>
        </w:rPr>
        <w:t xml:space="preserve"> Available at: </w:t>
      </w:r>
      <w:hyperlink r:id="rId13" w:history="1">
        <w:r w:rsidRPr="00B12661">
          <w:rPr>
            <w:rStyle w:val="Hyperlink"/>
            <w:rFonts w:ascii="Arial" w:hAnsi="Arial" w:cs="Arial"/>
          </w:rPr>
          <w:t>https://www.england.nhs.uk/personalisedcare/personal-health-budgets/</w:t>
        </w:r>
      </w:hyperlink>
      <w:r w:rsidRPr="00B12661">
        <w:rPr>
          <w:rFonts w:ascii="Arial" w:hAnsi="Arial" w:cs="Arial"/>
        </w:rPr>
        <w:t xml:space="preserve"> (Accessed: 21 October 2026).</w:t>
      </w:r>
    </w:p>
    <w:p w:rsidR="00B12661" w:rsidRPr="00B12661" w:rsidRDefault="00B12661" w:rsidP="00B12661">
      <w:pPr>
        <w:spacing w:line="360" w:lineRule="auto"/>
        <w:ind w:left="720" w:hanging="720"/>
        <w:rPr>
          <w:rFonts w:ascii="Arial" w:hAnsi="Arial" w:cs="Arial"/>
        </w:rPr>
      </w:pPr>
      <w:proofErr w:type="gramStart"/>
      <w:r w:rsidRPr="00B12661">
        <w:rPr>
          <w:rFonts w:ascii="Arial" w:hAnsi="Arial" w:cs="Arial"/>
        </w:rPr>
        <w:t xml:space="preserve">UK Government (2005) </w:t>
      </w:r>
      <w:r w:rsidRPr="00B12661">
        <w:rPr>
          <w:rFonts w:ascii="Arial" w:hAnsi="Arial" w:cs="Arial"/>
          <w:i/>
          <w:iCs/>
        </w:rPr>
        <w:t>Mental Capacity Act 2005</w:t>
      </w:r>
      <w:r w:rsidRPr="00B12661">
        <w:rPr>
          <w:rFonts w:ascii="Arial" w:hAnsi="Arial" w:cs="Arial"/>
        </w:rPr>
        <w:t>.</w:t>
      </w:r>
      <w:proofErr w:type="gramEnd"/>
      <w:r w:rsidRPr="00B12661">
        <w:rPr>
          <w:rFonts w:ascii="Arial" w:hAnsi="Arial" w:cs="Arial"/>
        </w:rPr>
        <w:t xml:space="preserve"> Available at: </w:t>
      </w:r>
      <w:hyperlink r:id="rId14" w:history="1">
        <w:r w:rsidRPr="00B12661">
          <w:rPr>
            <w:rStyle w:val="Hyperlink"/>
            <w:rFonts w:ascii="Arial" w:hAnsi="Arial" w:cs="Arial"/>
          </w:rPr>
          <w:t>https://www.legislation.gov.uk/ukpga/2005/9/contents</w:t>
        </w:r>
      </w:hyperlink>
      <w:r w:rsidRPr="00B12661">
        <w:rPr>
          <w:rFonts w:ascii="Arial" w:hAnsi="Arial" w:cs="Arial"/>
        </w:rPr>
        <w:t xml:space="preserve"> (Accessed: 21 October 2026).</w:t>
      </w:r>
    </w:p>
    <w:p w:rsidR="00B12661" w:rsidRPr="00B12661" w:rsidRDefault="00B12661" w:rsidP="00B12661">
      <w:pPr>
        <w:spacing w:line="360" w:lineRule="auto"/>
        <w:ind w:left="720" w:hanging="720"/>
        <w:rPr>
          <w:rFonts w:ascii="Arial" w:hAnsi="Arial" w:cs="Arial"/>
        </w:rPr>
      </w:pPr>
      <w:proofErr w:type="gramStart"/>
      <w:r w:rsidRPr="00B12661">
        <w:rPr>
          <w:rFonts w:ascii="Arial" w:hAnsi="Arial" w:cs="Arial"/>
        </w:rPr>
        <w:t xml:space="preserve">UK Government (2010) </w:t>
      </w:r>
      <w:r w:rsidRPr="00B12661">
        <w:rPr>
          <w:rFonts w:ascii="Arial" w:hAnsi="Arial" w:cs="Arial"/>
          <w:i/>
          <w:iCs/>
        </w:rPr>
        <w:t>Equality Act 2010</w:t>
      </w:r>
      <w:r w:rsidRPr="00B12661">
        <w:rPr>
          <w:rFonts w:ascii="Arial" w:hAnsi="Arial" w:cs="Arial"/>
        </w:rPr>
        <w:t>.</w:t>
      </w:r>
      <w:proofErr w:type="gramEnd"/>
      <w:r w:rsidRPr="00B12661">
        <w:rPr>
          <w:rFonts w:ascii="Arial" w:hAnsi="Arial" w:cs="Arial"/>
        </w:rPr>
        <w:t xml:space="preserve"> Available at: </w:t>
      </w:r>
      <w:hyperlink r:id="rId15" w:history="1">
        <w:r w:rsidRPr="00B12661">
          <w:rPr>
            <w:rStyle w:val="Hyperlink"/>
            <w:rFonts w:ascii="Arial" w:hAnsi="Arial" w:cs="Arial"/>
          </w:rPr>
          <w:t>https://www.legislation.gov.uk/ukpga/2010/15/contents</w:t>
        </w:r>
      </w:hyperlink>
      <w:r>
        <w:rPr>
          <w:rFonts w:ascii="Arial" w:hAnsi="Arial" w:cs="Arial"/>
        </w:rPr>
        <w:t xml:space="preserve"> (Accessed: 20</w:t>
      </w:r>
      <w:r w:rsidRPr="00B12661">
        <w:rPr>
          <w:rFonts w:ascii="Arial" w:hAnsi="Arial" w:cs="Arial"/>
        </w:rPr>
        <w:t xml:space="preserve"> October 2026).</w:t>
      </w:r>
    </w:p>
    <w:p w:rsidR="00B12661" w:rsidRPr="00B12661" w:rsidRDefault="00B12661" w:rsidP="00B12661">
      <w:pPr>
        <w:spacing w:line="360" w:lineRule="auto"/>
        <w:ind w:left="720" w:hanging="720"/>
        <w:rPr>
          <w:rFonts w:ascii="Arial" w:hAnsi="Arial" w:cs="Arial"/>
        </w:rPr>
      </w:pPr>
      <w:proofErr w:type="gramStart"/>
      <w:r w:rsidRPr="00B12661">
        <w:rPr>
          <w:rFonts w:ascii="Arial" w:hAnsi="Arial" w:cs="Arial"/>
        </w:rPr>
        <w:t xml:space="preserve">UK Government (2014a) </w:t>
      </w:r>
      <w:r w:rsidRPr="00B12661">
        <w:rPr>
          <w:rFonts w:ascii="Arial" w:hAnsi="Arial" w:cs="Arial"/>
          <w:i/>
          <w:iCs/>
        </w:rPr>
        <w:t>Care Act 2014</w:t>
      </w:r>
      <w:r w:rsidRPr="00B12661">
        <w:rPr>
          <w:rFonts w:ascii="Arial" w:hAnsi="Arial" w:cs="Arial"/>
        </w:rPr>
        <w:t>.</w:t>
      </w:r>
      <w:proofErr w:type="gramEnd"/>
      <w:r w:rsidRPr="00B12661">
        <w:rPr>
          <w:rFonts w:ascii="Arial" w:hAnsi="Arial" w:cs="Arial"/>
        </w:rPr>
        <w:t xml:space="preserve"> Available at: </w:t>
      </w:r>
      <w:hyperlink r:id="rId16" w:history="1">
        <w:r w:rsidRPr="00B12661">
          <w:rPr>
            <w:rStyle w:val="Hyperlink"/>
            <w:rFonts w:ascii="Arial" w:hAnsi="Arial" w:cs="Arial"/>
          </w:rPr>
          <w:t>https://www.legislation.gov.uk/ukpga/2014/23/contents</w:t>
        </w:r>
      </w:hyperlink>
      <w:r w:rsidRPr="00B12661">
        <w:rPr>
          <w:rFonts w:ascii="Arial" w:hAnsi="Arial" w:cs="Arial"/>
        </w:rPr>
        <w:t xml:space="preserve"> (Accessed: 21 October 2026).</w:t>
      </w:r>
    </w:p>
    <w:p w:rsidR="00B12661" w:rsidRPr="00B12661" w:rsidRDefault="00B12661" w:rsidP="00B12661">
      <w:pPr>
        <w:spacing w:line="360" w:lineRule="auto"/>
        <w:ind w:left="720" w:hanging="720"/>
        <w:rPr>
          <w:rFonts w:ascii="Arial" w:hAnsi="Arial" w:cs="Arial"/>
        </w:rPr>
      </w:pPr>
      <w:proofErr w:type="gramStart"/>
      <w:r w:rsidRPr="00B12661">
        <w:rPr>
          <w:rFonts w:ascii="Arial" w:hAnsi="Arial" w:cs="Arial"/>
        </w:rPr>
        <w:lastRenderedPageBreak/>
        <w:t xml:space="preserve">UK Government (2014b) </w:t>
      </w:r>
      <w:r w:rsidRPr="00B12661">
        <w:rPr>
          <w:rFonts w:ascii="Arial" w:hAnsi="Arial" w:cs="Arial"/>
          <w:i/>
          <w:iCs/>
        </w:rPr>
        <w:t>Health and Social Care Act 2008 (Regulated Activities) Regulations 2014</w:t>
      </w:r>
      <w:r w:rsidRPr="00B12661">
        <w:rPr>
          <w:rFonts w:ascii="Arial" w:hAnsi="Arial" w:cs="Arial"/>
        </w:rPr>
        <w:t>.</w:t>
      </w:r>
      <w:proofErr w:type="gramEnd"/>
      <w:r w:rsidRPr="00B12661">
        <w:rPr>
          <w:rFonts w:ascii="Arial" w:hAnsi="Arial" w:cs="Arial"/>
        </w:rPr>
        <w:t xml:space="preserve"> Available at: </w:t>
      </w:r>
      <w:hyperlink r:id="rId17" w:history="1">
        <w:r w:rsidRPr="00B12661">
          <w:rPr>
            <w:rStyle w:val="Hyperlink"/>
            <w:rFonts w:ascii="Arial" w:hAnsi="Arial" w:cs="Arial"/>
          </w:rPr>
          <w:t>https://www.legislation.gov.uk/uksi/2014/2936/contents</w:t>
        </w:r>
      </w:hyperlink>
      <w:r w:rsidRPr="00B12661">
        <w:rPr>
          <w:rFonts w:ascii="Arial" w:hAnsi="Arial" w:cs="Arial"/>
        </w:rPr>
        <w:t xml:space="preserve"> (Accessed: 21 October 2026).</w:t>
      </w:r>
    </w:p>
    <w:p w:rsidR="00B12661" w:rsidRPr="00B12661" w:rsidRDefault="00B12661" w:rsidP="00B12661">
      <w:pPr>
        <w:spacing w:line="360" w:lineRule="auto"/>
        <w:ind w:left="720" w:hanging="720"/>
        <w:rPr>
          <w:rFonts w:ascii="Arial" w:hAnsi="Arial" w:cs="Arial"/>
        </w:rPr>
      </w:pPr>
      <w:r w:rsidRPr="00B12661">
        <w:rPr>
          <w:rFonts w:ascii="Arial" w:hAnsi="Arial" w:cs="Arial"/>
        </w:rPr>
        <w:t xml:space="preserve">World Health Organization (WHO) (2016) </w:t>
      </w:r>
      <w:r w:rsidRPr="00B12661">
        <w:rPr>
          <w:rFonts w:ascii="Arial" w:hAnsi="Arial" w:cs="Arial"/>
          <w:i/>
          <w:iCs/>
        </w:rPr>
        <w:t>World Health Assembly adopts framework on integrated people-</w:t>
      </w:r>
      <w:proofErr w:type="spellStart"/>
      <w:r w:rsidRPr="00B12661">
        <w:rPr>
          <w:rFonts w:ascii="Arial" w:hAnsi="Arial" w:cs="Arial"/>
          <w:i/>
          <w:iCs/>
        </w:rPr>
        <w:t>centred</w:t>
      </w:r>
      <w:proofErr w:type="spellEnd"/>
      <w:r w:rsidRPr="00B12661">
        <w:rPr>
          <w:rFonts w:ascii="Arial" w:hAnsi="Arial" w:cs="Arial"/>
          <w:i/>
          <w:iCs/>
        </w:rPr>
        <w:t xml:space="preserve"> health services</w:t>
      </w:r>
      <w:r w:rsidRPr="00B12661">
        <w:rPr>
          <w:rFonts w:ascii="Arial" w:hAnsi="Arial" w:cs="Arial"/>
        </w:rPr>
        <w:t xml:space="preserve">. Available at: </w:t>
      </w:r>
      <w:hyperlink r:id="rId18" w:history="1">
        <w:r w:rsidRPr="00B12661">
          <w:rPr>
            <w:rStyle w:val="Hyperlink"/>
            <w:rFonts w:ascii="Arial" w:hAnsi="Arial" w:cs="Arial"/>
          </w:rPr>
          <w:t>https://www.who.int/news/item/28-05-2016-world-health-assembly-adopts-framework-on-integrated-people-centred-health-services</w:t>
        </w:r>
      </w:hyperlink>
      <w:r w:rsidRPr="00B12661">
        <w:rPr>
          <w:rFonts w:ascii="Arial" w:hAnsi="Arial" w:cs="Arial"/>
        </w:rPr>
        <w:t xml:space="preserve"> (Accessed: 21 October 2026).</w:t>
      </w:r>
    </w:p>
    <w:sectPr w:rsidR="00B12661" w:rsidRPr="00B12661" w:rsidSect="00745FF2">
      <w:footerReference w:type="default" r:id="rId19"/>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BAB" w:rsidRDefault="00D85BAB" w:rsidP="00B82D44">
      <w:pPr>
        <w:spacing w:after="0" w:line="240" w:lineRule="auto"/>
      </w:pPr>
      <w:r>
        <w:separator/>
      </w:r>
    </w:p>
  </w:endnote>
  <w:endnote w:type="continuationSeparator" w:id="0">
    <w:p w:rsidR="00D85BAB" w:rsidRDefault="00D85BAB" w:rsidP="00B82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3192809"/>
      <w:docPartObj>
        <w:docPartGallery w:val="Page Numbers (Bottom of Page)"/>
        <w:docPartUnique/>
      </w:docPartObj>
    </w:sdtPr>
    <w:sdtEndPr>
      <w:rPr>
        <w:noProof/>
      </w:rPr>
    </w:sdtEndPr>
    <w:sdtContent>
      <w:p w:rsidR="00B82D44" w:rsidRDefault="00B82D44">
        <w:pPr>
          <w:pStyle w:val="Footer"/>
          <w:jc w:val="center"/>
        </w:pPr>
        <w:r>
          <w:fldChar w:fldCharType="begin"/>
        </w:r>
        <w:r>
          <w:instrText xml:space="preserve"> PAGE   \* MERGEFORMAT </w:instrText>
        </w:r>
        <w:r>
          <w:fldChar w:fldCharType="separate"/>
        </w:r>
        <w:r w:rsidR="00B12661">
          <w:rPr>
            <w:noProof/>
          </w:rPr>
          <w:t>1</w:t>
        </w:r>
        <w:r>
          <w:rPr>
            <w:noProof/>
          </w:rPr>
          <w:fldChar w:fldCharType="end"/>
        </w:r>
      </w:p>
    </w:sdtContent>
  </w:sdt>
  <w:p w:rsidR="00B82D44" w:rsidRDefault="00B82D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BAB" w:rsidRDefault="00D85BAB" w:rsidP="00B82D44">
      <w:pPr>
        <w:spacing w:after="0" w:line="240" w:lineRule="auto"/>
      </w:pPr>
      <w:r>
        <w:separator/>
      </w:r>
    </w:p>
  </w:footnote>
  <w:footnote w:type="continuationSeparator" w:id="0">
    <w:p w:rsidR="00D85BAB" w:rsidRDefault="00D85BAB" w:rsidP="00B82D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1C8"/>
    <w:rsid w:val="001640D8"/>
    <w:rsid w:val="0035571C"/>
    <w:rsid w:val="004E5476"/>
    <w:rsid w:val="006954B3"/>
    <w:rsid w:val="006D419F"/>
    <w:rsid w:val="00745FF2"/>
    <w:rsid w:val="00825452"/>
    <w:rsid w:val="00A701C8"/>
    <w:rsid w:val="00B12661"/>
    <w:rsid w:val="00B82D44"/>
    <w:rsid w:val="00D85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B126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01C8"/>
    <w:rPr>
      <w:color w:val="0000FF" w:themeColor="hyperlink"/>
      <w:u w:val="single"/>
    </w:rPr>
  </w:style>
  <w:style w:type="paragraph" w:styleId="NormalWeb">
    <w:name w:val="Normal (Web)"/>
    <w:basedOn w:val="Normal"/>
    <w:uiPriority w:val="99"/>
    <w:semiHidden/>
    <w:unhideWhenUsed/>
    <w:rsid w:val="00A701C8"/>
    <w:rPr>
      <w:rFonts w:ascii="Times New Roman" w:hAnsi="Times New Roman" w:cs="Times New Roman"/>
      <w:sz w:val="24"/>
      <w:szCs w:val="24"/>
    </w:rPr>
  </w:style>
  <w:style w:type="table" w:styleId="TableGrid">
    <w:name w:val="Table Grid"/>
    <w:basedOn w:val="TableNormal"/>
    <w:uiPriority w:val="59"/>
    <w:rsid w:val="00745F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745FF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745FF2"/>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745FF2"/>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745FF2"/>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745FF2"/>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745FF2"/>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745FF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745FF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745FF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745FF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745FF2"/>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745FF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Header">
    <w:name w:val="header"/>
    <w:basedOn w:val="Normal"/>
    <w:link w:val="HeaderChar"/>
    <w:uiPriority w:val="99"/>
    <w:unhideWhenUsed/>
    <w:rsid w:val="00B82D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2D44"/>
  </w:style>
  <w:style w:type="paragraph" w:styleId="Footer">
    <w:name w:val="footer"/>
    <w:basedOn w:val="Normal"/>
    <w:link w:val="FooterChar"/>
    <w:uiPriority w:val="99"/>
    <w:unhideWhenUsed/>
    <w:rsid w:val="00B82D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2D44"/>
  </w:style>
  <w:style w:type="character" w:customStyle="1" w:styleId="Heading3Char">
    <w:name w:val="Heading 3 Char"/>
    <w:basedOn w:val="DefaultParagraphFont"/>
    <w:link w:val="Heading3"/>
    <w:uiPriority w:val="9"/>
    <w:semiHidden/>
    <w:rsid w:val="00B12661"/>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B126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01C8"/>
    <w:rPr>
      <w:color w:val="0000FF" w:themeColor="hyperlink"/>
      <w:u w:val="single"/>
    </w:rPr>
  </w:style>
  <w:style w:type="paragraph" w:styleId="NormalWeb">
    <w:name w:val="Normal (Web)"/>
    <w:basedOn w:val="Normal"/>
    <w:uiPriority w:val="99"/>
    <w:semiHidden/>
    <w:unhideWhenUsed/>
    <w:rsid w:val="00A701C8"/>
    <w:rPr>
      <w:rFonts w:ascii="Times New Roman" w:hAnsi="Times New Roman" w:cs="Times New Roman"/>
      <w:sz w:val="24"/>
      <w:szCs w:val="24"/>
    </w:rPr>
  </w:style>
  <w:style w:type="table" w:styleId="TableGrid">
    <w:name w:val="Table Grid"/>
    <w:basedOn w:val="TableNormal"/>
    <w:uiPriority w:val="59"/>
    <w:rsid w:val="00745F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745FF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745FF2"/>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745FF2"/>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745FF2"/>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745FF2"/>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745FF2"/>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745FF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745FF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745FF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745FF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745FF2"/>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745FF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Header">
    <w:name w:val="header"/>
    <w:basedOn w:val="Normal"/>
    <w:link w:val="HeaderChar"/>
    <w:uiPriority w:val="99"/>
    <w:unhideWhenUsed/>
    <w:rsid w:val="00B82D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2D44"/>
  </w:style>
  <w:style w:type="paragraph" w:styleId="Footer">
    <w:name w:val="footer"/>
    <w:basedOn w:val="Normal"/>
    <w:link w:val="FooterChar"/>
    <w:uiPriority w:val="99"/>
    <w:unhideWhenUsed/>
    <w:rsid w:val="00B82D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2D44"/>
  </w:style>
  <w:style w:type="character" w:customStyle="1" w:styleId="Heading3Char">
    <w:name w:val="Heading 3 Char"/>
    <w:basedOn w:val="DefaultParagraphFont"/>
    <w:link w:val="Heading3"/>
    <w:uiPriority w:val="9"/>
    <w:semiHidden/>
    <w:rsid w:val="00B12661"/>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39013">
      <w:bodyDiv w:val="1"/>
      <w:marLeft w:val="0"/>
      <w:marRight w:val="0"/>
      <w:marTop w:val="0"/>
      <w:marBottom w:val="0"/>
      <w:divBdr>
        <w:top w:val="none" w:sz="0" w:space="0" w:color="auto"/>
        <w:left w:val="none" w:sz="0" w:space="0" w:color="auto"/>
        <w:bottom w:val="none" w:sz="0" w:space="0" w:color="auto"/>
        <w:right w:val="none" w:sz="0" w:space="0" w:color="auto"/>
      </w:divBdr>
    </w:div>
    <w:div w:id="457332838">
      <w:bodyDiv w:val="1"/>
      <w:marLeft w:val="0"/>
      <w:marRight w:val="0"/>
      <w:marTop w:val="0"/>
      <w:marBottom w:val="0"/>
      <w:divBdr>
        <w:top w:val="none" w:sz="0" w:space="0" w:color="auto"/>
        <w:left w:val="none" w:sz="0" w:space="0" w:color="auto"/>
        <w:bottom w:val="none" w:sz="0" w:space="0" w:color="auto"/>
        <w:right w:val="none" w:sz="0" w:space="0" w:color="auto"/>
      </w:divBdr>
    </w:div>
    <w:div w:id="492337820">
      <w:bodyDiv w:val="1"/>
      <w:marLeft w:val="0"/>
      <w:marRight w:val="0"/>
      <w:marTop w:val="0"/>
      <w:marBottom w:val="0"/>
      <w:divBdr>
        <w:top w:val="none" w:sz="0" w:space="0" w:color="auto"/>
        <w:left w:val="none" w:sz="0" w:space="0" w:color="auto"/>
        <w:bottom w:val="none" w:sz="0" w:space="0" w:color="auto"/>
        <w:right w:val="none" w:sz="0" w:space="0" w:color="auto"/>
      </w:divBdr>
    </w:div>
    <w:div w:id="759451102">
      <w:bodyDiv w:val="1"/>
      <w:marLeft w:val="0"/>
      <w:marRight w:val="0"/>
      <w:marTop w:val="0"/>
      <w:marBottom w:val="0"/>
      <w:divBdr>
        <w:top w:val="none" w:sz="0" w:space="0" w:color="auto"/>
        <w:left w:val="none" w:sz="0" w:space="0" w:color="auto"/>
        <w:bottom w:val="none" w:sz="0" w:space="0" w:color="auto"/>
        <w:right w:val="none" w:sz="0" w:space="0" w:color="auto"/>
      </w:divBdr>
    </w:div>
    <w:div w:id="866411421">
      <w:bodyDiv w:val="1"/>
      <w:marLeft w:val="0"/>
      <w:marRight w:val="0"/>
      <w:marTop w:val="0"/>
      <w:marBottom w:val="0"/>
      <w:divBdr>
        <w:top w:val="none" w:sz="0" w:space="0" w:color="auto"/>
        <w:left w:val="none" w:sz="0" w:space="0" w:color="auto"/>
        <w:bottom w:val="none" w:sz="0" w:space="0" w:color="auto"/>
        <w:right w:val="none" w:sz="0" w:space="0" w:color="auto"/>
      </w:divBdr>
    </w:div>
    <w:div w:id="1077675993">
      <w:bodyDiv w:val="1"/>
      <w:marLeft w:val="0"/>
      <w:marRight w:val="0"/>
      <w:marTop w:val="0"/>
      <w:marBottom w:val="0"/>
      <w:divBdr>
        <w:top w:val="none" w:sz="0" w:space="0" w:color="auto"/>
        <w:left w:val="none" w:sz="0" w:space="0" w:color="auto"/>
        <w:bottom w:val="none" w:sz="0" w:space="0" w:color="auto"/>
        <w:right w:val="none" w:sz="0" w:space="0" w:color="auto"/>
      </w:divBdr>
    </w:div>
    <w:div w:id="1093167078">
      <w:bodyDiv w:val="1"/>
      <w:marLeft w:val="0"/>
      <w:marRight w:val="0"/>
      <w:marTop w:val="0"/>
      <w:marBottom w:val="0"/>
      <w:divBdr>
        <w:top w:val="none" w:sz="0" w:space="0" w:color="auto"/>
        <w:left w:val="none" w:sz="0" w:space="0" w:color="auto"/>
        <w:bottom w:val="none" w:sz="0" w:space="0" w:color="auto"/>
        <w:right w:val="none" w:sz="0" w:space="0" w:color="auto"/>
      </w:divBdr>
    </w:div>
    <w:div w:id="1176192568">
      <w:bodyDiv w:val="1"/>
      <w:marLeft w:val="0"/>
      <w:marRight w:val="0"/>
      <w:marTop w:val="0"/>
      <w:marBottom w:val="0"/>
      <w:divBdr>
        <w:top w:val="none" w:sz="0" w:space="0" w:color="auto"/>
        <w:left w:val="none" w:sz="0" w:space="0" w:color="auto"/>
        <w:bottom w:val="none" w:sz="0" w:space="0" w:color="auto"/>
        <w:right w:val="none" w:sz="0" w:space="0" w:color="auto"/>
      </w:divBdr>
    </w:div>
    <w:div w:id="1452631980">
      <w:bodyDiv w:val="1"/>
      <w:marLeft w:val="0"/>
      <w:marRight w:val="0"/>
      <w:marTop w:val="0"/>
      <w:marBottom w:val="0"/>
      <w:divBdr>
        <w:top w:val="none" w:sz="0" w:space="0" w:color="auto"/>
        <w:left w:val="none" w:sz="0" w:space="0" w:color="auto"/>
        <w:bottom w:val="none" w:sz="0" w:space="0" w:color="auto"/>
        <w:right w:val="none" w:sz="0" w:space="0" w:color="auto"/>
      </w:divBdr>
    </w:div>
    <w:div w:id="1682009323">
      <w:bodyDiv w:val="1"/>
      <w:marLeft w:val="0"/>
      <w:marRight w:val="0"/>
      <w:marTop w:val="0"/>
      <w:marBottom w:val="0"/>
      <w:divBdr>
        <w:top w:val="none" w:sz="0" w:space="0" w:color="auto"/>
        <w:left w:val="none" w:sz="0" w:space="0" w:color="auto"/>
        <w:bottom w:val="none" w:sz="0" w:space="0" w:color="auto"/>
        <w:right w:val="none" w:sz="0" w:space="0" w:color="auto"/>
      </w:divBdr>
    </w:div>
    <w:div w:id="1921330960">
      <w:bodyDiv w:val="1"/>
      <w:marLeft w:val="0"/>
      <w:marRight w:val="0"/>
      <w:marTop w:val="0"/>
      <w:marBottom w:val="0"/>
      <w:divBdr>
        <w:top w:val="none" w:sz="0" w:space="0" w:color="auto"/>
        <w:left w:val="none" w:sz="0" w:space="0" w:color="auto"/>
        <w:bottom w:val="none" w:sz="0" w:space="0" w:color="auto"/>
        <w:right w:val="none" w:sz="0" w:space="0" w:color="auto"/>
      </w:divBdr>
    </w:div>
    <w:div w:id="198496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h0054346" TargetMode="External"/><Relationship Id="rId13" Type="http://schemas.openxmlformats.org/officeDocument/2006/relationships/hyperlink" Target="https://www.england.nhs.uk/personalisedcare/personal-health-budgets/" TargetMode="External"/><Relationship Id="rId18" Type="http://schemas.openxmlformats.org/officeDocument/2006/relationships/hyperlink" Target="https://www.who.int/news/item/28-05-2016-world-health-assembly-adopts-framework-on-integrated-people-centred-health-service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qc.org.uk/guidance-regulation/providers/regulations-service-providers-and-managers/health-social-care-act/regulation-9" TargetMode="External"/><Relationship Id="rId12" Type="http://schemas.openxmlformats.org/officeDocument/2006/relationships/hyperlink" Target="https://www.england.nhs.uk/personalisedcare/comprehensive-model/case-studies/robyns-story/" TargetMode="External"/><Relationship Id="rId17" Type="http://schemas.openxmlformats.org/officeDocument/2006/relationships/hyperlink" Target="https://www.legislation.gov.uk/uksi/2014/2936/contents" TargetMode="External"/><Relationship Id="rId2" Type="http://schemas.microsoft.com/office/2007/relationships/stylesWithEffects" Target="stylesWithEffects.xml"/><Relationship Id="rId16" Type="http://schemas.openxmlformats.org/officeDocument/2006/relationships/hyperlink" Target="https://www.legislation.gov.uk/ukpga/2014/23/content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england.nhs.uk/long-read/personal-health-budgets-options-for-managing-the-money/" TargetMode="External"/><Relationship Id="rId5" Type="http://schemas.openxmlformats.org/officeDocument/2006/relationships/footnotes" Target="footnotes.xml"/><Relationship Id="rId15" Type="http://schemas.openxmlformats.org/officeDocument/2006/relationships/hyperlink" Target="https://www.legislation.gov.uk/ukpga/2010/15/contents" TargetMode="External"/><Relationship Id="rId10" Type="http://schemas.openxmlformats.org/officeDocument/2006/relationships/hyperlink" Target="https://www.england.nhs.uk/long-read/guidance-on-direct-payments-for-healthcare-understanding-the-regulation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ice.org.uk/guidance/ng197" TargetMode="External"/><Relationship Id="rId14" Type="http://schemas.openxmlformats.org/officeDocument/2006/relationships/hyperlink" Target="https://www.legislation.gov.uk/ukpga/2005/9/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2735</Words>
  <Characters>15591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kiranshahzad</dc:creator>
  <cp:lastModifiedBy>kiranshahzad</cp:lastModifiedBy>
  <cp:revision>2</cp:revision>
  <dcterms:created xsi:type="dcterms:W3CDTF">2026-10-24T05:24:00Z</dcterms:created>
  <dcterms:modified xsi:type="dcterms:W3CDTF">2026-10-24T05:24:00Z</dcterms:modified>
</cp:coreProperties>
</file>