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39E4B5" w14:textId="2FF904F7" w:rsidR="008B1AD0" w:rsidRPr="0063164D" w:rsidRDefault="00C620EF" w:rsidP="0063164D">
      <w:pPr>
        <w:spacing w:after="0" w:line="360" w:lineRule="auto"/>
        <w:textAlignment w:val="baseline"/>
        <w:rPr>
          <w:rFonts w:eastAsia="Times New Roman" w:cstheme="minorHAnsi"/>
          <w:b/>
          <w:bCs/>
          <w:kern w:val="0"/>
          <w:sz w:val="24"/>
          <w:szCs w:val="24"/>
          <w:lang w:eastAsia="en-GB"/>
          <w14:ligatures w14:val="none"/>
        </w:rPr>
      </w:pPr>
      <w:r w:rsidRPr="0063164D">
        <w:rPr>
          <w:rFonts w:eastAsia="Times New Roman" w:cstheme="minorHAnsi"/>
          <w:b/>
          <w:bCs/>
          <w:kern w:val="0"/>
          <w:sz w:val="24"/>
          <w:szCs w:val="24"/>
          <w:lang w:eastAsia="en-GB"/>
          <w14:ligatures w14:val="none"/>
        </w:rPr>
        <w:t xml:space="preserve">Diana Amponsah </w:t>
      </w:r>
    </w:p>
    <w:p w14:paraId="17544281" w14:textId="3B76B8A8" w:rsidR="00DC74B4" w:rsidRPr="0063164D" w:rsidRDefault="00DC74B4" w:rsidP="0063164D">
      <w:pPr>
        <w:spacing w:after="0" w:line="360" w:lineRule="auto"/>
        <w:textAlignment w:val="baseline"/>
        <w:rPr>
          <w:rFonts w:eastAsia="Times New Roman" w:cstheme="minorHAnsi"/>
          <w:b/>
          <w:bCs/>
          <w:kern w:val="0"/>
          <w:sz w:val="24"/>
          <w:szCs w:val="24"/>
          <w:lang w:eastAsia="en-GB"/>
          <w14:ligatures w14:val="none"/>
        </w:rPr>
      </w:pPr>
      <w:r w:rsidRPr="0063164D">
        <w:rPr>
          <w:rFonts w:eastAsia="Times New Roman" w:cstheme="minorHAnsi"/>
          <w:b/>
          <w:bCs/>
          <w:kern w:val="0"/>
          <w:sz w:val="24"/>
          <w:szCs w:val="24"/>
          <w:lang w:eastAsia="en-GB"/>
          <w14:ligatures w14:val="none"/>
        </w:rPr>
        <w:t>Student 2314497</w:t>
      </w:r>
    </w:p>
    <w:p w14:paraId="385BC06E" w14:textId="442B1CC7" w:rsidR="00DC74B4" w:rsidRPr="0063164D" w:rsidRDefault="00DC74B4" w:rsidP="0063164D">
      <w:pPr>
        <w:spacing w:after="0" w:line="360" w:lineRule="auto"/>
        <w:textAlignment w:val="baseline"/>
        <w:rPr>
          <w:rFonts w:eastAsia="Times New Roman" w:cstheme="minorHAnsi"/>
          <w:kern w:val="0"/>
          <w:sz w:val="24"/>
          <w:szCs w:val="24"/>
          <w:lang w:eastAsia="en-GB"/>
          <w14:ligatures w14:val="none"/>
        </w:rPr>
      </w:pPr>
      <w:r w:rsidRPr="0063164D">
        <w:rPr>
          <w:rFonts w:eastAsia="Times New Roman" w:cstheme="minorHAnsi"/>
          <w:b/>
          <w:bCs/>
          <w:kern w:val="0"/>
          <w:sz w:val="24"/>
          <w:szCs w:val="24"/>
          <w:lang w:eastAsia="en-GB"/>
          <w14:ligatures w14:val="none"/>
        </w:rPr>
        <w:t>P</w:t>
      </w:r>
      <w:r w:rsidR="00D90F81" w:rsidRPr="0063164D">
        <w:rPr>
          <w:rFonts w:eastAsia="Times New Roman" w:cstheme="minorHAnsi"/>
          <w:b/>
          <w:bCs/>
          <w:kern w:val="0"/>
          <w:sz w:val="24"/>
          <w:szCs w:val="24"/>
          <w:lang w:eastAsia="en-GB"/>
          <w14:ligatures w14:val="none"/>
        </w:rPr>
        <w:t>olicy Br</w:t>
      </w:r>
      <w:r w:rsidR="00EC57C8" w:rsidRPr="0063164D">
        <w:rPr>
          <w:rFonts w:eastAsia="Times New Roman" w:cstheme="minorHAnsi"/>
          <w:b/>
          <w:bCs/>
          <w:kern w:val="0"/>
          <w:sz w:val="24"/>
          <w:szCs w:val="24"/>
          <w:lang w:eastAsia="en-GB"/>
          <w14:ligatures w14:val="none"/>
        </w:rPr>
        <w:t xml:space="preserve">iefs: Addressing Health </w:t>
      </w:r>
      <w:r w:rsidR="00E12DE9" w:rsidRPr="0063164D">
        <w:rPr>
          <w:rFonts w:eastAsia="Times New Roman" w:cstheme="minorHAnsi"/>
          <w:b/>
          <w:bCs/>
          <w:kern w:val="0"/>
          <w:sz w:val="24"/>
          <w:szCs w:val="24"/>
          <w:lang w:eastAsia="en-GB"/>
          <w14:ligatures w14:val="none"/>
        </w:rPr>
        <w:t>I</w:t>
      </w:r>
      <w:r w:rsidR="00EC57C8" w:rsidRPr="0063164D">
        <w:rPr>
          <w:rFonts w:eastAsia="Times New Roman" w:cstheme="minorHAnsi"/>
          <w:b/>
          <w:bCs/>
          <w:kern w:val="0"/>
          <w:sz w:val="24"/>
          <w:szCs w:val="24"/>
          <w:lang w:eastAsia="en-GB"/>
          <w14:ligatures w14:val="none"/>
        </w:rPr>
        <w:t>nequalities</w:t>
      </w:r>
      <w:r w:rsidR="00E12DE9" w:rsidRPr="0063164D">
        <w:rPr>
          <w:rFonts w:eastAsia="Times New Roman" w:cstheme="minorHAnsi"/>
          <w:b/>
          <w:bCs/>
          <w:kern w:val="0"/>
          <w:sz w:val="24"/>
          <w:szCs w:val="24"/>
          <w:lang w:eastAsia="en-GB"/>
          <w14:ligatures w14:val="none"/>
        </w:rPr>
        <w:t xml:space="preserve"> and Disparities in Wales</w:t>
      </w:r>
      <w:r w:rsidR="00E12DE9" w:rsidRPr="0063164D">
        <w:rPr>
          <w:rFonts w:eastAsia="Times New Roman" w:cstheme="minorHAnsi"/>
          <w:kern w:val="0"/>
          <w:sz w:val="24"/>
          <w:szCs w:val="24"/>
          <w:lang w:eastAsia="en-GB"/>
          <w14:ligatures w14:val="none"/>
        </w:rPr>
        <w:t>.</w:t>
      </w:r>
    </w:p>
    <w:p w14:paraId="3E58C83F" w14:textId="77777777" w:rsidR="00C620EF" w:rsidRPr="0063164D" w:rsidRDefault="00C620EF" w:rsidP="0063164D">
      <w:pPr>
        <w:spacing w:after="0" w:line="360" w:lineRule="auto"/>
        <w:textAlignment w:val="baseline"/>
        <w:rPr>
          <w:rFonts w:eastAsia="Times New Roman" w:cstheme="minorHAnsi"/>
          <w:kern w:val="0"/>
          <w:sz w:val="24"/>
          <w:szCs w:val="24"/>
          <w:lang w:eastAsia="en-GB"/>
          <w14:ligatures w14:val="none"/>
        </w:rPr>
      </w:pPr>
    </w:p>
    <w:p w14:paraId="2B2214FF" w14:textId="1D9DDED9" w:rsidR="008B1AD0" w:rsidRPr="0063164D" w:rsidRDefault="00790F80" w:rsidP="0063164D">
      <w:pPr>
        <w:spacing w:after="0" w:line="360" w:lineRule="auto"/>
        <w:textAlignment w:val="baseline"/>
        <w:rPr>
          <w:rFonts w:eastAsia="Times New Roman" w:cstheme="minorHAnsi"/>
          <w:b/>
          <w:bCs/>
          <w:kern w:val="0"/>
          <w:sz w:val="24"/>
          <w:szCs w:val="24"/>
          <w:lang w:eastAsia="en-GB"/>
          <w14:ligatures w14:val="none"/>
        </w:rPr>
      </w:pPr>
      <w:r w:rsidRPr="0063164D">
        <w:rPr>
          <w:rFonts w:cstheme="minorHAnsi"/>
          <w:noProof/>
          <w:sz w:val="24"/>
          <w:szCs w:val="24"/>
        </w:rPr>
        <w:drawing>
          <wp:inline distT="0" distB="0" distL="0" distR="0" wp14:anchorId="4C7AE008" wp14:editId="47D95CED">
            <wp:extent cx="5854700" cy="6148705"/>
            <wp:effectExtent l="0" t="0" r="0" b="4445"/>
            <wp:docPr id="19" name="Picture 16"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6" descr="A group of people standing together&#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89789" cy="6185556"/>
                    </a:xfrm>
                    <a:prstGeom prst="rect">
                      <a:avLst/>
                    </a:prstGeom>
                    <a:noFill/>
                    <a:ln>
                      <a:noFill/>
                    </a:ln>
                  </pic:spPr>
                </pic:pic>
              </a:graphicData>
            </a:graphic>
          </wp:inline>
        </w:drawing>
      </w:r>
    </w:p>
    <w:p w14:paraId="01137AB5" w14:textId="77777777" w:rsidR="008B1AD0" w:rsidRPr="0063164D" w:rsidRDefault="008B1AD0" w:rsidP="0063164D">
      <w:pPr>
        <w:spacing w:after="0" w:line="360" w:lineRule="auto"/>
        <w:textAlignment w:val="baseline"/>
        <w:rPr>
          <w:rFonts w:eastAsia="Times New Roman" w:cstheme="minorHAnsi"/>
          <w:b/>
          <w:bCs/>
          <w:kern w:val="0"/>
          <w:sz w:val="24"/>
          <w:szCs w:val="24"/>
          <w:lang w:eastAsia="en-GB"/>
          <w14:ligatures w14:val="none"/>
        </w:rPr>
      </w:pPr>
    </w:p>
    <w:p w14:paraId="190CAF65" w14:textId="77777777" w:rsidR="008B1AD0" w:rsidRPr="0063164D" w:rsidRDefault="008B1AD0" w:rsidP="0063164D">
      <w:pPr>
        <w:spacing w:after="0" w:line="360" w:lineRule="auto"/>
        <w:textAlignment w:val="baseline"/>
        <w:rPr>
          <w:rFonts w:eastAsia="Times New Roman" w:cstheme="minorHAnsi"/>
          <w:b/>
          <w:bCs/>
          <w:kern w:val="0"/>
          <w:sz w:val="24"/>
          <w:szCs w:val="24"/>
          <w:lang w:eastAsia="en-GB"/>
          <w14:ligatures w14:val="none"/>
        </w:rPr>
      </w:pPr>
    </w:p>
    <w:p w14:paraId="70C08F3A"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0C440048"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43F0296A"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72A42365"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6AC32AA2"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3B3CFF7B"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64303E0D"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2E59AE7E" w14:textId="77777777" w:rsidR="00615F3F" w:rsidRPr="0063164D" w:rsidRDefault="00615F3F" w:rsidP="0063164D">
      <w:pPr>
        <w:spacing w:after="0" w:line="360" w:lineRule="auto"/>
        <w:textAlignment w:val="baseline"/>
        <w:rPr>
          <w:rFonts w:eastAsia="Times New Roman" w:cstheme="minorHAnsi"/>
          <w:b/>
          <w:bCs/>
          <w:kern w:val="0"/>
          <w:sz w:val="24"/>
          <w:szCs w:val="24"/>
          <w:lang w:eastAsia="en-GB"/>
          <w14:ligatures w14:val="none"/>
        </w:rPr>
      </w:pPr>
    </w:p>
    <w:p w14:paraId="2ECECBC9" w14:textId="77777777" w:rsidR="008B1AD0" w:rsidRPr="0063164D" w:rsidRDefault="008B1AD0" w:rsidP="0063164D">
      <w:pPr>
        <w:spacing w:after="0" w:line="360" w:lineRule="auto"/>
        <w:textAlignment w:val="baseline"/>
        <w:rPr>
          <w:rFonts w:eastAsia="Times New Roman" w:cstheme="minorHAnsi"/>
          <w:b/>
          <w:bCs/>
          <w:kern w:val="0"/>
          <w:sz w:val="24"/>
          <w:szCs w:val="24"/>
          <w:lang w:eastAsia="en-GB"/>
          <w14:ligatures w14:val="none"/>
        </w:rPr>
      </w:pPr>
    </w:p>
    <w:p w14:paraId="2FD784D0" w14:textId="16B16726" w:rsidR="00DD04D5" w:rsidRPr="0063164D"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Executive Summary</w:t>
      </w:r>
      <w:r w:rsidRPr="00DD04D5">
        <w:rPr>
          <w:rFonts w:eastAsia="Times New Roman" w:cstheme="minorHAnsi"/>
          <w:kern w:val="0"/>
          <w:sz w:val="24"/>
          <w:szCs w:val="24"/>
          <w:lang w:eastAsia="en-GB"/>
          <w14:ligatures w14:val="none"/>
        </w:rPr>
        <w:t> </w:t>
      </w:r>
    </w:p>
    <w:p w14:paraId="28164FE8" w14:textId="77777777" w:rsidR="00E12DE9" w:rsidRPr="00DD04D5" w:rsidRDefault="00E12DE9" w:rsidP="0063164D">
      <w:pPr>
        <w:spacing w:after="0" w:line="360" w:lineRule="auto"/>
        <w:textAlignment w:val="baseline"/>
        <w:rPr>
          <w:rFonts w:eastAsia="Times New Roman" w:cstheme="minorHAnsi"/>
          <w:kern w:val="0"/>
          <w:sz w:val="24"/>
          <w:szCs w:val="24"/>
          <w:lang w:eastAsia="en-GB"/>
          <w14:ligatures w14:val="none"/>
        </w:rPr>
      </w:pPr>
    </w:p>
    <w:p w14:paraId="7A0EFE32" w14:textId="241B9B01"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t>Health inequalities in Wales remain a significant concern, with wide disparities in life expectancy, chronic disease prevalence, and healthcare access across different regions and demographic groups. Rural communities and individuals from lower socioeconomic backgrounds experience the worst health outcomes</w:t>
      </w:r>
      <w:r w:rsidR="004D62C4" w:rsidRPr="0063164D">
        <w:rPr>
          <w:rFonts w:eastAsia="Times New Roman" w:cstheme="minorHAnsi"/>
          <w:kern w:val="0"/>
          <w:sz w:val="24"/>
          <w:szCs w:val="24"/>
          <w:lang w:eastAsia="en-GB"/>
          <w14:ligatures w14:val="none"/>
        </w:rPr>
        <w:t>.</w:t>
      </w:r>
      <w:r w:rsidR="003A44E8" w:rsidRPr="0063164D">
        <w:rPr>
          <w:rFonts w:eastAsia="Times New Roman" w:cstheme="minorHAnsi"/>
          <w:kern w:val="0"/>
          <w:sz w:val="24"/>
          <w:szCs w:val="24"/>
          <w:lang w:eastAsia="en-GB"/>
          <w14:ligatures w14:val="none"/>
        </w:rPr>
        <w:t> </w:t>
      </w:r>
      <w:r w:rsidRPr="00DD04D5">
        <w:rPr>
          <w:rFonts w:eastAsia="Times New Roman" w:cstheme="minorHAnsi"/>
          <w:kern w:val="0"/>
          <w:sz w:val="24"/>
          <w:szCs w:val="24"/>
          <w:lang w:eastAsia="en-GB"/>
          <w14:ligatures w14:val="none"/>
        </w:rPr>
        <w:t>This policy brief outlines evidence-based recommendations to reduce these inequalities by addressing the social determinants of health and improving access to healthcare services in underserved areas. </w:t>
      </w:r>
    </w:p>
    <w:p w14:paraId="568E1DE9" w14:textId="175B42E5" w:rsidR="00615F3F"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t>The proposed policy changes emphasi</w:t>
      </w:r>
      <w:r w:rsidR="00A002D1" w:rsidRPr="0063164D">
        <w:rPr>
          <w:rFonts w:eastAsia="Times New Roman" w:cstheme="minorHAnsi"/>
          <w:kern w:val="0"/>
          <w:sz w:val="24"/>
          <w:szCs w:val="24"/>
          <w:lang w:eastAsia="en-GB"/>
          <w14:ligatures w14:val="none"/>
        </w:rPr>
        <w:t>z</w:t>
      </w:r>
      <w:r w:rsidRPr="00DD04D5">
        <w:rPr>
          <w:rFonts w:eastAsia="Times New Roman" w:cstheme="minorHAnsi"/>
          <w:kern w:val="0"/>
          <w:sz w:val="24"/>
          <w:szCs w:val="24"/>
          <w:lang w:eastAsia="en-GB"/>
          <w14:ligatures w14:val="none"/>
        </w:rPr>
        <w:t>e the need for a multi-sectoral approach involving collaboration between the Welsh Government, National Health Service Wales, and local authorities. Recommendations include improving healthcare infrastructure in rural areas, expanding health education and prevention programs, and ensuring equitable healthcare access for all populations. Implementing these strategies is expected to result in Improved rates and overall reductions in healthcare costs. </w:t>
      </w:r>
    </w:p>
    <w:p w14:paraId="224F5F55"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What is at Stake?</w:t>
      </w:r>
      <w:r w:rsidRPr="00DD04D5">
        <w:rPr>
          <w:rFonts w:eastAsia="Times New Roman" w:cstheme="minorHAnsi"/>
          <w:kern w:val="0"/>
          <w:sz w:val="24"/>
          <w:szCs w:val="24"/>
          <w:lang w:eastAsia="en-GB"/>
          <w14:ligatures w14:val="none"/>
        </w:rPr>
        <w:t> </w:t>
      </w:r>
    </w:p>
    <w:p w14:paraId="5BF56213" w14:textId="5B0D46C8" w:rsidR="003B1F53" w:rsidRPr="0063164D"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t xml:space="preserve">Health inequalities in Wales significantly affect the population's well-being and impose a substantial economic burden. Life expectancy in the most deprived areas of Wales is nine years lower for people and 7 years lower for women than in the least deprived areas Public Health Wales (2022). These disparities reflect broader social determinants of health, including income inequality, housing, and access to healthcare. Without intervention, these issues will continue to strain the Welsh healthcare system and reduce overall population health. Failing to address health inequalities also has economic consequences. Health inequalities in Wales are estimated to cost the National Health Service £ </w:t>
      </w:r>
      <w:r w:rsidR="00E90406" w:rsidRPr="0063164D">
        <w:rPr>
          <w:rFonts w:eastAsia="Times New Roman" w:cstheme="minorHAnsi"/>
          <w:kern w:val="0"/>
          <w:sz w:val="24"/>
          <w:szCs w:val="24"/>
          <w:lang w:eastAsia="en-GB"/>
          <w14:ligatures w14:val="none"/>
        </w:rPr>
        <w:t>322million</w:t>
      </w:r>
      <w:r w:rsidRPr="00DD04D5">
        <w:rPr>
          <w:rFonts w:eastAsia="Times New Roman" w:cstheme="minorHAnsi"/>
          <w:kern w:val="0"/>
          <w:sz w:val="24"/>
          <w:szCs w:val="24"/>
          <w:lang w:eastAsia="en-GB"/>
          <w14:ligatures w14:val="none"/>
        </w:rPr>
        <w:t xml:space="preserve"> annually in additional healthcare spending (Welsh Government, 2019). By addressing these disparities, Wales could reduce preventable healthcare costs and improve the productivity of its workforce</w:t>
      </w:r>
      <w:r w:rsidR="001A620F" w:rsidRPr="0063164D">
        <w:rPr>
          <w:rFonts w:eastAsia="Times New Roman" w:cstheme="minorHAnsi"/>
          <w:kern w:val="0"/>
          <w:sz w:val="24"/>
          <w:szCs w:val="24"/>
          <w:lang w:eastAsia="en-GB"/>
          <w14:ligatures w14:val="none"/>
        </w:rPr>
        <w:t>.</w:t>
      </w:r>
    </w:p>
    <w:p w14:paraId="434F1887" w14:textId="6D46F387" w:rsidR="003B1F53" w:rsidRPr="0063164D" w:rsidRDefault="00B738AF" w:rsidP="0063164D">
      <w:pPr>
        <w:spacing w:after="0" w:line="360" w:lineRule="auto"/>
        <w:textAlignment w:val="baseline"/>
        <w:rPr>
          <w:rFonts w:eastAsia="Times New Roman" w:cstheme="minorHAnsi"/>
          <w:kern w:val="0"/>
          <w:sz w:val="24"/>
          <w:szCs w:val="24"/>
          <w:lang w:eastAsia="en-GB"/>
          <w14:ligatures w14:val="none"/>
        </w:rPr>
      </w:pPr>
      <w:r w:rsidRPr="0063164D">
        <w:rPr>
          <w:rFonts w:eastAsia="Times New Roman" w:cstheme="minorHAnsi"/>
          <w:kern w:val="0"/>
          <w:sz w:val="24"/>
          <w:szCs w:val="24"/>
          <w:lang w:eastAsia="en-GB"/>
          <w14:ligatures w14:val="none"/>
        </w:rPr>
        <w:lastRenderedPageBreak/>
        <w:t xml:space="preserve">Reducing health </w:t>
      </w:r>
      <w:r w:rsidR="00C32DA2" w:rsidRPr="0063164D">
        <w:rPr>
          <w:rFonts w:eastAsia="Times New Roman" w:cstheme="minorHAnsi"/>
          <w:kern w:val="0"/>
          <w:sz w:val="24"/>
          <w:szCs w:val="24"/>
          <w:lang w:eastAsia="en-GB"/>
          <w14:ligatures w14:val="none"/>
        </w:rPr>
        <w:t xml:space="preserve">inequalities is vital because </w:t>
      </w:r>
      <w:r w:rsidR="00B42DE5" w:rsidRPr="0063164D">
        <w:rPr>
          <w:rFonts w:eastAsia="Times New Roman" w:cstheme="minorHAnsi"/>
          <w:kern w:val="0"/>
          <w:sz w:val="24"/>
          <w:szCs w:val="24"/>
          <w:lang w:eastAsia="en-GB"/>
          <w14:ligatures w14:val="none"/>
        </w:rPr>
        <w:t>it directly impacts individu</w:t>
      </w:r>
      <w:r w:rsidR="00D52F8F" w:rsidRPr="0063164D">
        <w:rPr>
          <w:rFonts w:eastAsia="Times New Roman" w:cstheme="minorHAnsi"/>
          <w:kern w:val="0"/>
          <w:sz w:val="24"/>
          <w:szCs w:val="24"/>
          <w:lang w:eastAsia="en-GB"/>
          <w14:ligatures w14:val="none"/>
        </w:rPr>
        <w:t>a</w:t>
      </w:r>
      <w:r w:rsidR="00B42DE5" w:rsidRPr="0063164D">
        <w:rPr>
          <w:rFonts w:eastAsia="Times New Roman" w:cstheme="minorHAnsi"/>
          <w:kern w:val="0"/>
          <w:sz w:val="24"/>
          <w:szCs w:val="24"/>
          <w:lang w:eastAsia="en-GB"/>
          <w14:ligatures w14:val="none"/>
        </w:rPr>
        <w:t>l</w:t>
      </w:r>
      <w:r w:rsidR="00D52F8F" w:rsidRPr="0063164D">
        <w:rPr>
          <w:rFonts w:eastAsia="Times New Roman" w:cstheme="minorHAnsi"/>
          <w:kern w:val="0"/>
          <w:sz w:val="24"/>
          <w:szCs w:val="24"/>
          <w:lang w:eastAsia="en-GB"/>
          <w14:ligatures w14:val="none"/>
        </w:rPr>
        <w:t>s</w:t>
      </w:r>
      <w:r w:rsidR="001754BB" w:rsidRPr="0063164D">
        <w:rPr>
          <w:rFonts w:eastAsia="Times New Roman" w:cstheme="minorHAnsi"/>
          <w:kern w:val="0"/>
          <w:sz w:val="24"/>
          <w:szCs w:val="24"/>
          <w:lang w:eastAsia="en-GB"/>
          <w14:ligatures w14:val="none"/>
        </w:rPr>
        <w:t>'</w:t>
      </w:r>
      <w:r w:rsidR="00D52F8F" w:rsidRPr="0063164D">
        <w:rPr>
          <w:rFonts w:eastAsia="Times New Roman" w:cstheme="minorHAnsi"/>
          <w:kern w:val="0"/>
          <w:sz w:val="24"/>
          <w:szCs w:val="24"/>
          <w:lang w:eastAsia="en-GB"/>
          <w14:ligatures w14:val="none"/>
        </w:rPr>
        <w:t xml:space="preserve"> financial well-being</w:t>
      </w:r>
      <w:r w:rsidR="00B84660" w:rsidRPr="0063164D">
        <w:rPr>
          <w:rFonts w:eastAsia="Times New Roman" w:cstheme="minorHAnsi"/>
          <w:kern w:val="0"/>
          <w:sz w:val="24"/>
          <w:szCs w:val="24"/>
          <w:lang w:eastAsia="en-GB"/>
          <w14:ligatures w14:val="none"/>
        </w:rPr>
        <w:t>, as</w:t>
      </w:r>
      <w:r w:rsidR="00D52F8F" w:rsidRPr="0063164D">
        <w:rPr>
          <w:rFonts w:eastAsia="Times New Roman" w:cstheme="minorHAnsi"/>
          <w:kern w:val="0"/>
          <w:sz w:val="24"/>
          <w:szCs w:val="24"/>
          <w:lang w:eastAsia="en-GB"/>
          <w14:ligatures w14:val="none"/>
        </w:rPr>
        <w:t xml:space="preserve"> th</w:t>
      </w:r>
      <w:r w:rsidR="001754BB" w:rsidRPr="0063164D">
        <w:rPr>
          <w:rFonts w:eastAsia="Times New Roman" w:cstheme="minorHAnsi"/>
          <w:kern w:val="0"/>
          <w:sz w:val="24"/>
          <w:szCs w:val="24"/>
          <w:lang w:eastAsia="en-GB"/>
          <w14:ligatures w14:val="none"/>
        </w:rPr>
        <w:t xml:space="preserve">e table </w:t>
      </w:r>
      <w:r w:rsidR="00B84660" w:rsidRPr="0063164D">
        <w:rPr>
          <w:rFonts w:eastAsia="Times New Roman" w:cstheme="minorHAnsi"/>
          <w:kern w:val="0"/>
          <w:sz w:val="24"/>
          <w:szCs w:val="24"/>
          <w:lang w:eastAsia="en-GB"/>
          <w14:ligatures w14:val="none"/>
        </w:rPr>
        <w:t>explained in Figure 1 shows.</w:t>
      </w:r>
    </w:p>
    <w:p w14:paraId="142A3B10" w14:textId="22900851" w:rsidR="003B1F53"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noProof/>
          <w:kern w:val="0"/>
          <w:sz w:val="24"/>
          <w:szCs w:val="24"/>
          <w:lang w:eastAsia="en-GB"/>
          <w14:ligatures w14:val="none"/>
        </w:rPr>
        <w:drawing>
          <wp:inline distT="0" distB="0" distL="0" distR="0" wp14:anchorId="5343890F" wp14:editId="4163B1B1">
            <wp:extent cx="5473700" cy="2273300"/>
            <wp:effectExtent l="0" t="0" r="0" b="0"/>
            <wp:docPr id="10" name="Picture 10" descr="A chart of comparison between life expectancy and pregna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chart of comparison between life expectancy and pregnancy&#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73700" cy="2273300"/>
                    </a:xfrm>
                    <a:prstGeom prst="rect">
                      <a:avLst/>
                    </a:prstGeom>
                    <a:noFill/>
                    <a:ln>
                      <a:noFill/>
                    </a:ln>
                  </pic:spPr>
                </pic:pic>
              </a:graphicData>
            </a:graphic>
          </wp:inline>
        </w:drawing>
      </w:r>
      <w:r w:rsidR="003B1F53" w:rsidRPr="0063164D">
        <w:rPr>
          <w:rFonts w:eastAsia="Times New Roman" w:cstheme="minorHAnsi"/>
          <w:kern w:val="0"/>
          <w:sz w:val="24"/>
          <w:szCs w:val="24"/>
          <w:lang w:eastAsia="en-GB"/>
          <w14:ligatures w14:val="none"/>
        </w:rPr>
        <w:t>Figure</w:t>
      </w:r>
      <w:r w:rsidR="00096E9B" w:rsidRPr="0063164D">
        <w:rPr>
          <w:rFonts w:eastAsia="Times New Roman" w:cstheme="minorHAnsi"/>
          <w:kern w:val="0"/>
          <w:sz w:val="24"/>
          <w:szCs w:val="24"/>
          <w:lang w:eastAsia="en-GB"/>
          <w14:ligatures w14:val="none"/>
        </w:rPr>
        <w:t>:</w:t>
      </w:r>
      <w:r w:rsidR="009A7D44" w:rsidRPr="0063164D">
        <w:rPr>
          <w:rFonts w:eastAsia="Times New Roman" w:cstheme="minorHAnsi"/>
          <w:kern w:val="0"/>
          <w:sz w:val="24"/>
          <w:szCs w:val="24"/>
          <w:lang w:eastAsia="en-GB"/>
          <w14:ligatures w14:val="none"/>
        </w:rPr>
        <w:t>1 Public</w:t>
      </w:r>
      <w:r w:rsidR="00871D0D" w:rsidRPr="0063164D">
        <w:rPr>
          <w:rFonts w:eastAsia="Times New Roman" w:cstheme="minorHAnsi"/>
          <w:kern w:val="0"/>
          <w:sz w:val="24"/>
          <w:szCs w:val="24"/>
          <w:lang w:eastAsia="en-GB"/>
          <w14:ligatures w14:val="none"/>
        </w:rPr>
        <w:t xml:space="preserve"> Health Wales</w:t>
      </w:r>
      <w:r w:rsidR="00953293" w:rsidRPr="0063164D">
        <w:rPr>
          <w:rFonts w:eastAsia="Times New Roman" w:cstheme="minorHAnsi"/>
          <w:kern w:val="0"/>
          <w:sz w:val="24"/>
          <w:szCs w:val="24"/>
          <w:lang w:eastAsia="en-GB"/>
          <w14:ligatures w14:val="none"/>
        </w:rPr>
        <w:t>,</w:t>
      </w:r>
      <w:r w:rsidR="00CC725D" w:rsidRPr="0063164D">
        <w:rPr>
          <w:rFonts w:eastAsia="Times New Roman" w:cstheme="minorHAnsi"/>
          <w:kern w:val="0"/>
          <w:sz w:val="24"/>
          <w:szCs w:val="24"/>
          <w:lang w:eastAsia="en-GB"/>
          <w14:ligatures w14:val="none"/>
        </w:rPr>
        <w:t> </w:t>
      </w:r>
      <w:r w:rsidR="00871D0D" w:rsidRPr="0063164D">
        <w:rPr>
          <w:rFonts w:eastAsia="Times New Roman" w:cstheme="minorHAnsi"/>
          <w:kern w:val="0"/>
          <w:sz w:val="24"/>
          <w:szCs w:val="24"/>
          <w:lang w:eastAsia="en-GB"/>
          <w14:ligatures w14:val="none"/>
        </w:rPr>
        <w:t>Health ex</w:t>
      </w:r>
      <w:r w:rsidR="00AB1AC0" w:rsidRPr="0063164D">
        <w:rPr>
          <w:rFonts w:eastAsia="Times New Roman" w:cstheme="minorHAnsi"/>
          <w:kern w:val="0"/>
          <w:sz w:val="24"/>
          <w:szCs w:val="24"/>
          <w:lang w:eastAsia="en-GB"/>
          <w14:ligatures w14:val="none"/>
        </w:rPr>
        <w:t xml:space="preserve">pectancy in Wales with inequality </w:t>
      </w:r>
      <w:r w:rsidR="00CC725D" w:rsidRPr="0063164D">
        <w:rPr>
          <w:rFonts w:eastAsia="Times New Roman" w:cstheme="minorHAnsi"/>
          <w:kern w:val="0"/>
          <w:sz w:val="24"/>
          <w:szCs w:val="24"/>
          <w:lang w:eastAsia="en-GB"/>
          <w14:ligatures w14:val="none"/>
        </w:rPr>
        <w:t>gap (</w:t>
      </w:r>
      <w:r w:rsidR="002A5939" w:rsidRPr="0063164D">
        <w:rPr>
          <w:rFonts w:eastAsia="Times New Roman" w:cstheme="minorHAnsi"/>
          <w:kern w:val="0"/>
          <w:sz w:val="24"/>
          <w:szCs w:val="24"/>
          <w:lang w:eastAsia="en-GB"/>
          <w14:ligatures w14:val="none"/>
        </w:rPr>
        <w:t xml:space="preserve">report and methodology) </w:t>
      </w:r>
      <w:r w:rsidR="00BE4691" w:rsidRPr="0063164D">
        <w:rPr>
          <w:rFonts w:eastAsia="Times New Roman" w:cstheme="minorHAnsi"/>
          <w:kern w:val="0"/>
          <w:sz w:val="24"/>
          <w:szCs w:val="24"/>
          <w:lang w:eastAsia="en-GB"/>
          <w14:ligatures w14:val="none"/>
        </w:rPr>
        <w:t>Source: Public</w:t>
      </w:r>
      <w:r w:rsidR="00695646" w:rsidRPr="0063164D">
        <w:rPr>
          <w:rFonts w:eastAsia="Times New Roman" w:cstheme="minorHAnsi"/>
          <w:kern w:val="0"/>
          <w:sz w:val="24"/>
          <w:szCs w:val="24"/>
          <w:lang w:eastAsia="en-GB"/>
          <w14:ligatures w14:val="none"/>
        </w:rPr>
        <w:t xml:space="preserve"> Health </w:t>
      </w:r>
      <w:r w:rsidR="00AA326E" w:rsidRPr="0063164D">
        <w:rPr>
          <w:rFonts w:eastAsia="Times New Roman" w:cstheme="minorHAnsi"/>
          <w:kern w:val="0"/>
          <w:sz w:val="24"/>
          <w:szCs w:val="24"/>
          <w:lang w:eastAsia="en-GB"/>
          <w14:ligatures w14:val="none"/>
        </w:rPr>
        <w:t>Wales, 2022.</w:t>
      </w:r>
    </w:p>
    <w:p w14:paraId="573C6712"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The Issues</w:t>
      </w:r>
      <w:r w:rsidRPr="00DD04D5">
        <w:rPr>
          <w:rFonts w:eastAsia="Times New Roman" w:cstheme="minorHAnsi"/>
          <w:kern w:val="0"/>
          <w:sz w:val="24"/>
          <w:szCs w:val="24"/>
          <w:lang w:eastAsia="en-GB"/>
          <w14:ligatures w14:val="none"/>
        </w:rPr>
        <w:t> </w:t>
      </w:r>
    </w:p>
    <w:p w14:paraId="39A664BD" w14:textId="209DD96B" w:rsidR="004E38D1" w:rsidRPr="0063164D"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t>Wales exhibits notable health inequalities, with substantial differences in health outcomes based on socioeconomic status, geographic location, and ethnicity. According to Public Health Wales (2020), individuals with the lowest socioeconomic quintile have a life expectancy significantly lower than their more affluent counterparts</w:t>
      </w:r>
      <w:r w:rsidR="00A96DDE" w:rsidRPr="0063164D">
        <w:rPr>
          <w:rFonts w:eastAsia="Times New Roman" w:cstheme="minorHAnsi"/>
          <w:color w:val="000000" w:themeColor="text1"/>
          <w:kern w:val="0"/>
          <w:sz w:val="24"/>
          <w:szCs w:val="24"/>
          <w:lang w:eastAsia="en-GB"/>
          <w14:ligatures w14:val="none"/>
        </w:rPr>
        <w:t>. </w:t>
      </w:r>
      <w:r w:rsidRPr="00DD04D5">
        <w:rPr>
          <w:rFonts w:eastAsia="Times New Roman" w:cstheme="minorHAnsi"/>
          <w:kern w:val="0"/>
          <w:sz w:val="24"/>
          <w:szCs w:val="24"/>
          <w:lang w:eastAsia="en-GB"/>
          <w14:ligatures w14:val="none"/>
        </w:rPr>
        <w:t xml:space="preserve">Additionally, specific health conditions, such as cardiovascular disease, obesity, and mental health issues, </w:t>
      </w:r>
      <w:r w:rsidR="00FC63EE" w:rsidRPr="0063164D">
        <w:rPr>
          <w:rFonts w:eastAsia="Times New Roman" w:cstheme="minorHAnsi"/>
          <w:kern w:val="0"/>
          <w:sz w:val="24"/>
          <w:szCs w:val="24"/>
          <w:lang w:eastAsia="en-GB"/>
          <w14:ligatures w14:val="none"/>
        </w:rPr>
        <w:t>like </w:t>
      </w:r>
      <w:r w:rsidR="00A96DDE" w:rsidRPr="0063164D">
        <w:rPr>
          <w:rFonts w:eastAsia="Times New Roman" w:cstheme="minorHAnsi"/>
          <w:kern w:val="0"/>
          <w:sz w:val="24"/>
          <w:szCs w:val="24"/>
          <w:lang w:eastAsia="en-GB"/>
          <w14:ligatures w14:val="none"/>
        </w:rPr>
        <w:t>Covid 19</w:t>
      </w:r>
      <w:r w:rsidR="00FC63EE" w:rsidRPr="0063164D">
        <w:rPr>
          <w:rFonts w:eastAsia="Times New Roman" w:cstheme="minorHAnsi"/>
          <w:kern w:val="0"/>
          <w:sz w:val="24"/>
          <w:szCs w:val="24"/>
          <w:lang w:eastAsia="en-GB"/>
          <w14:ligatures w14:val="none"/>
        </w:rPr>
        <w:t>,</w:t>
      </w:r>
      <w:r w:rsidR="00A96DDE" w:rsidRPr="0063164D">
        <w:rPr>
          <w:rFonts w:eastAsia="Times New Roman" w:cstheme="minorHAnsi"/>
          <w:kern w:val="0"/>
          <w:sz w:val="24"/>
          <w:szCs w:val="24"/>
          <w:lang w:eastAsia="en-GB"/>
          <w14:ligatures w14:val="none"/>
        </w:rPr>
        <w:t xml:space="preserve"> </w:t>
      </w:r>
      <w:r w:rsidRPr="00DD04D5">
        <w:rPr>
          <w:rFonts w:eastAsia="Times New Roman" w:cstheme="minorHAnsi"/>
          <w:kern w:val="0"/>
          <w:sz w:val="24"/>
          <w:szCs w:val="24"/>
          <w:lang w:eastAsia="en-GB"/>
          <w14:ligatures w14:val="none"/>
        </w:rPr>
        <w:t>disproportionately affect lower-income populations. The Wales Public Health Observatory (2021) found that individuals from lower socioeconomic backgrounds are more likely to be diagnosed with chronic conditions and experience higher rates of morbidity and mortality.</w:t>
      </w:r>
      <w:r w:rsidR="00E85A05" w:rsidRPr="0063164D">
        <w:rPr>
          <w:rFonts w:eastAsia="Times New Roman" w:cstheme="minorHAnsi"/>
          <w:kern w:val="0"/>
          <w:sz w:val="24"/>
          <w:szCs w:val="24"/>
          <w:lang w:eastAsia="en-GB"/>
          <w14:ligatures w14:val="none"/>
        </w:rPr>
        <w:t xml:space="preserve"> </w:t>
      </w:r>
      <w:r w:rsidR="007A1BEA" w:rsidRPr="0063164D">
        <w:rPr>
          <w:rFonts w:eastAsia="Times New Roman" w:cstheme="minorHAnsi"/>
          <w:kern w:val="0"/>
          <w:sz w:val="24"/>
          <w:szCs w:val="24"/>
          <w:lang w:eastAsia="en-GB"/>
          <w14:ligatures w14:val="none"/>
        </w:rPr>
        <w:t xml:space="preserve">Figure 2 explains how </w:t>
      </w:r>
      <w:r w:rsidR="00964008" w:rsidRPr="0063164D">
        <w:rPr>
          <w:rFonts w:eastAsia="Times New Roman" w:cstheme="minorHAnsi"/>
          <w:kern w:val="0"/>
          <w:sz w:val="24"/>
          <w:szCs w:val="24"/>
          <w:lang w:eastAsia="en-GB"/>
          <w14:ligatures w14:val="none"/>
        </w:rPr>
        <w:t>poverty and covid 19 affect indi</w:t>
      </w:r>
      <w:r w:rsidR="006738F4" w:rsidRPr="0063164D">
        <w:rPr>
          <w:rFonts w:eastAsia="Times New Roman" w:cstheme="minorHAnsi"/>
          <w:kern w:val="0"/>
          <w:sz w:val="24"/>
          <w:szCs w:val="24"/>
          <w:lang w:eastAsia="en-GB"/>
          <w14:ligatures w14:val="none"/>
        </w:rPr>
        <w:t>viduals</w:t>
      </w:r>
    </w:p>
    <w:p w14:paraId="72CFBA06" w14:textId="669AC055" w:rsidR="004E38D1" w:rsidRPr="0063164D" w:rsidRDefault="004E38D1" w:rsidP="0063164D">
      <w:pPr>
        <w:spacing w:after="0" w:line="360" w:lineRule="auto"/>
        <w:textAlignment w:val="baseline"/>
        <w:rPr>
          <w:rFonts w:eastAsia="Times New Roman" w:cstheme="minorHAnsi"/>
          <w:kern w:val="0"/>
          <w:sz w:val="24"/>
          <w:szCs w:val="24"/>
          <w:lang w:eastAsia="en-GB"/>
          <w14:ligatures w14:val="none"/>
        </w:rPr>
      </w:pPr>
      <w:r w:rsidRPr="0063164D">
        <w:rPr>
          <w:rFonts w:cstheme="minorHAnsi"/>
          <w:noProof/>
          <w:sz w:val="24"/>
          <w:szCs w:val="24"/>
        </w:rPr>
        <w:lastRenderedPageBreak/>
        <w:drawing>
          <wp:inline distT="0" distB="0" distL="0" distR="0" wp14:anchorId="701C4C95" wp14:editId="31000009">
            <wp:extent cx="5731510" cy="3698734"/>
            <wp:effectExtent l="0" t="0" r="2540" b="0"/>
            <wp:docPr id="3" name="Picture 2" descr="A graphic of a sca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graphic of a scale with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698734"/>
                    </a:xfrm>
                    <a:prstGeom prst="rect">
                      <a:avLst/>
                    </a:prstGeom>
                    <a:noFill/>
                    <a:ln>
                      <a:noFill/>
                    </a:ln>
                  </pic:spPr>
                </pic:pic>
              </a:graphicData>
            </a:graphic>
          </wp:inline>
        </w:drawing>
      </w:r>
    </w:p>
    <w:p w14:paraId="451C0BC4" w14:textId="2C80E325" w:rsidR="004E38D1" w:rsidRPr="0063164D" w:rsidRDefault="0081540A" w:rsidP="0063164D">
      <w:pPr>
        <w:spacing w:after="0" w:line="360" w:lineRule="auto"/>
        <w:textAlignment w:val="baseline"/>
        <w:rPr>
          <w:rFonts w:eastAsia="Times New Roman" w:cstheme="minorHAnsi"/>
          <w:kern w:val="0"/>
          <w:sz w:val="24"/>
          <w:szCs w:val="24"/>
          <w:lang w:eastAsia="en-GB"/>
          <w14:ligatures w14:val="none"/>
        </w:rPr>
      </w:pPr>
      <w:r w:rsidRPr="0063164D">
        <w:rPr>
          <w:rFonts w:eastAsia="Times New Roman" w:cstheme="minorHAnsi"/>
          <w:kern w:val="0"/>
          <w:sz w:val="24"/>
          <w:szCs w:val="24"/>
          <w:lang w:eastAsia="en-GB"/>
          <w14:ligatures w14:val="none"/>
        </w:rPr>
        <w:t>F</w:t>
      </w:r>
      <w:r w:rsidR="003579A5" w:rsidRPr="0063164D">
        <w:rPr>
          <w:rFonts w:eastAsia="Times New Roman" w:cstheme="minorHAnsi"/>
          <w:kern w:val="0"/>
          <w:sz w:val="24"/>
          <w:szCs w:val="24"/>
          <w:lang w:eastAsia="en-GB"/>
          <w14:ligatures w14:val="none"/>
        </w:rPr>
        <w:t>igure</w:t>
      </w:r>
      <w:r w:rsidR="00786E91" w:rsidRPr="0063164D">
        <w:rPr>
          <w:rFonts w:eastAsia="Times New Roman" w:cstheme="minorHAnsi"/>
          <w:kern w:val="0"/>
          <w:sz w:val="24"/>
          <w:szCs w:val="24"/>
          <w:lang w:eastAsia="en-GB"/>
          <w14:ligatures w14:val="none"/>
        </w:rPr>
        <w:t xml:space="preserve"> </w:t>
      </w:r>
      <w:r w:rsidR="003579A5" w:rsidRPr="0063164D">
        <w:rPr>
          <w:rFonts w:eastAsia="Times New Roman" w:cstheme="minorHAnsi"/>
          <w:kern w:val="0"/>
          <w:sz w:val="24"/>
          <w:szCs w:val="24"/>
          <w:lang w:eastAsia="en-GB"/>
          <w14:ligatures w14:val="none"/>
        </w:rPr>
        <w:t xml:space="preserve">2 </w:t>
      </w:r>
      <w:r w:rsidR="00786E91" w:rsidRPr="0063164D">
        <w:rPr>
          <w:rFonts w:eastAsia="Times New Roman" w:cstheme="minorHAnsi"/>
          <w:kern w:val="0"/>
          <w:sz w:val="24"/>
          <w:szCs w:val="24"/>
          <w:lang w:eastAsia="en-GB"/>
          <w14:ligatures w14:val="none"/>
        </w:rPr>
        <w:t>H</w:t>
      </w:r>
      <w:r w:rsidR="003579A5" w:rsidRPr="0063164D">
        <w:rPr>
          <w:rFonts w:eastAsia="Times New Roman" w:cstheme="minorHAnsi"/>
          <w:kern w:val="0"/>
          <w:sz w:val="24"/>
          <w:szCs w:val="24"/>
          <w:lang w:eastAsia="en-GB"/>
          <w14:ligatures w14:val="none"/>
        </w:rPr>
        <w:t>ealth inequalitie</w:t>
      </w:r>
      <w:r w:rsidR="005D6535" w:rsidRPr="0063164D">
        <w:rPr>
          <w:rFonts w:eastAsia="Times New Roman" w:cstheme="minorHAnsi"/>
          <w:kern w:val="0"/>
          <w:sz w:val="24"/>
          <w:szCs w:val="24"/>
          <w:lang w:eastAsia="en-GB"/>
          <w14:ligatures w14:val="none"/>
        </w:rPr>
        <w:t xml:space="preserve">s in the ED source </w:t>
      </w:r>
      <w:r w:rsidR="00372002" w:rsidRPr="0063164D">
        <w:rPr>
          <w:rFonts w:eastAsia="Times New Roman" w:cstheme="minorHAnsi"/>
          <w:kern w:val="0"/>
          <w:sz w:val="24"/>
          <w:szCs w:val="24"/>
          <w:lang w:eastAsia="en-GB"/>
          <w14:ligatures w14:val="none"/>
        </w:rPr>
        <w:t>R</w:t>
      </w:r>
      <w:r w:rsidR="00807059" w:rsidRPr="0063164D">
        <w:rPr>
          <w:rFonts w:eastAsia="Times New Roman" w:cstheme="minorHAnsi"/>
          <w:kern w:val="0"/>
          <w:sz w:val="24"/>
          <w:szCs w:val="24"/>
          <w:lang w:eastAsia="en-GB"/>
          <w14:ligatures w14:val="none"/>
        </w:rPr>
        <w:t>CEM</w:t>
      </w:r>
      <w:r w:rsidR="00372002" w:rsidRPr="0063164D">
        <w:rPr>
          <w:rFonts w:eastAsia="Times New Roman" w:cstheme="minorHAnsi"/>
          <w:kern w:val="0"/>
          <w:sz w:val="24"/>
          <w:szCs w:val="24"/>
          <w:lang w:eastAsia="en-GB"/>
          <w14:ligatures w14:val="none"/>
        </w:rPr>
        <w:t xml:space="preserve"> Learning</w:t>
      </w:r>
      <w:r w:rsidR="00807059" w:rsidRPr="0063164D">
        <w:rPr>
          <w:rFonts w:eastAsia="Times New Roman" w:cstheme="minorHAnsi"/>
          <w:kern w:val="0"/>
          <w:sz w:val="24"/>
          <w:szCs w:val="24"/>
          <w:lang w:eastAsia="en-GB"/>
          <w14:ligatures w14:val="none"/>
        </w:rPr>
        <w:t xml:space="preserve"> 2021.</w:t>
      </w:r>
    </w:p>
    <w:p w14:paraId="22AF11E8" w14:textId="77E08D16" w:rsidR="00786E91" w:rsidRPr="0063164D" w:rsidRDefault="0051534C" w:rsidP="0063164D">
      <w:pPr>
        <w:spacing w:after="0" w:line="360" w:lineRule="auto"/>
        <w:textAlignment w:val="baseline"/>
        <w:rPr>
          <w:rFonts w:eastAsia="Times New Roman" w:cstheme="minorHAnsi"/>
          <w:kern w:val="0"/>
          <w:sz w:val="24"/>
          <w:szCs w:val="24"/>
          <w:lang w:eastAsia="en-GB"/>
          <w14:ligatures w14:val="none"/>
        </w:rPr>
      </w:pPr>
      <w:r w:rsidRPr="0063164D">
        <w:rPr>
          <w:rFonts w:eastAsia="Times New Roman" w:cstheme="minorHAnsi"/>
          <w:kern w:val="0"/>
          <w:sz w:val="24"/>
          <w:szCs w:val="24"/>
          <w:lang w:eastAsia="en-GB"/>
          <w14:ligatures w14:val="none"/>
        </w:rPr>
        <w:t>(</w:t>
      </w:r>
      <w:proofErr w:type="spellStart"/>
      <w:r w:rsidR="00B378DF" w:rsidRPr="0063164D">
        <w:rPr>
          <w:rFonts w:eastAsia="Times New Roman" w:cstheme="minorHAnsi"/>
          <w:kern w:val="0"/>
          <w:sz w:val="24"/>
          <w:szCs w:val="24"/>
          <w:lang w:eastAsia="en-GB"/>
          <w14:ligatures w14:val="none"/>
        </w:rPr>
        <w:t>Herrieven</w:t>
      </w:r>
      <w:proofErr w:type="spellEnd"/>
      <w:r w:rsidR="00B378DF" w:rsidRPr="0063164D">
        <w:rPr>
          <w:rFonts w:eastAsia="Times New Roman" w:cstheme="minorHAnsi"/>
          <w:kern w:val="0"/>
          <w:sz w:val="24"/>
          <w:szCs w:val="24"/>
          <w:lang w:eastAsia="en-GB"/>
          <w14:ligatures w14:val="none"/>
        </w:rPr>
        <w:t xml:space="preserve"> </w:t>
      </w:r>
      <w:r w:rsidRPr="0063164D">
        <w:rPr>
          <w:rFonts w:eastAsia="Times New Roman" w:cstheme="minorHAnsi"/>
          <w:kern w:val="0"/>
          <w:sz w:val="24"/>
          <w:szCs w:val="24"/>
          <w:lang w:eastAsia="en-GB"/>
          <w14:ligatures w14:val="none"/>
        </w:rPr>
        <w:t>L</w:t>
      </w:r>
      <w:r w:rsidR="00B378DF" w:rsidRPr="0063164D">
        <w:rPr>
          <w:rFonts w:eastAsia="Times New Roman" w:cstheme="minorHAnsi"/>
          <w:kern w:val="0"/>
          <w:sz w:val="24"/>
          <w:szCs w:val="24"/>
          <w:lang w:eastAsia="en-GB"/>
          <w14:ligatures w14:val="none"/>
        </w:rPr>
        <w:t xml:space="preserve">iz and </w:t>
      </w:r>
      <w:r w:rsidR="002B7556" w:rsidRPr="0063164D">
        <w:rPr>
          <w:rFonts w:eastAsia="Times New Roman" w:cstheme="minorHAnsi"/>
          <w:kern w:val="0"/>
          <w:sz w:val="24"/>
          <w:szCs w:val="24"/>
          <w:lang w:eastAsia="en-GB"/>
          <w14:ligatures w14:val="none"/>
        </w:rPr>
        <w:t>Davies Charlotte,2</w:t>
      </w:r>
      <w:r w:rsidRPr="0063164D">
        <w:rPr>
          <w:rFonts w:eastAsia="Times New Roman" w:cstheme="minorHAnsi"/>
          <w:kern w:val="0"/>
          <w:sz w:val="24"/>
          <w:szCs w:val="24"/>
          <w:lang w:eastAsia="en-GB"/>
          <w14:ligatures w14:val="none"/>
        </w:rPr>
        <w:t>021).</w:t>
      </w:r>
    </w:p>
    <w:p w14:paraId="17E33DE7" w14:textId="77777777" w:rsidR="00707376" w:rsidRPr="00DD04D5" w:rsidRDefault="00707376" w:rsidP="0063164D">
      <w:pPr>
        <w:spacing w:after="0" w:line="360" w:lineRule="auto"/>
        <w:textAlignment w:val="baseline"/>
        <w:rPr>
          <w:rFonts w:eastAsia="Times New Roman" w:cstheme="minorHAnsi"/>
          <w:kern w:val="0"/>
          <w:sz w:val="24"/>
          <w:szCs w:val="24"/>
          <w:lang w:eastAsia="en-GB"/>
          <w14:ligatures w14:val="none"/>
        </w:rPr>
      </w:pPr>
    </w:p>
    <w:p w14:paraId="2F880453"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Key Factors Contributing to Health Inequalities</w:t>
      </w:r>
      <w:r w:rsidRPr="00DD04D5">
        <w:rPr>
          <w:rFonts w:eastAsia="Times New Roman" w:cstheme="minorHAnsi"/>
          <w:kern w:val="0"/>
          <w:sz w:val="24"/>
          <w:szCs w:val="24"/>
          <w:lang w:eastAsia="en-GB"/>
          <w14:ligatures w14:val="none"/>
        </w:rPr>
        <w:t> </w:t>
      </w:r>
    </w:p>
    <w:p w14:paraId="101AA62B"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Socioeconomic Disparities</w:t>
      </w:r>
      <w:r w:rsidRPr="00DD04D5">
        <w:rPr>
          <w:rFonts w:eastAsia="Times New Roman" w:cstheme="minorHAnsi"/>
          <w:kern w:val="0"/>
          <w:sz w:val="24"/>
          <w:szCs w:val="24"/>
          <w:lang w:eastAsia="en-GB"/>
          <w14:ligatures w14:val="none"/>
        </w:rPr>
        <w:t> </w:t>
      </w:r>
    </w:p>
    <w:p w14:paraId="69657412" w14:textId="0FCA098D" w:rsidR="00DD04D5" w:rsidRPr="00DD04D5" w:rsidRDefault="003972CA"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63164D">
        <w:rPr>
          <w:rFonts w:eastAsia="Times New Roman" w:cstheme="minorHAnsi"/>
          <w:color w:val="222222"/>
          <w:kern w:val="0"/>
          <w:sz w:val="24"/>
          <w:szCs w:val="24"/>
          <w:lang w:eastAsia="en-GB"/>
          <w14:ligatures w14:val="none"/>
        </w:rPr>
        <w:t>V</w:t>
      </w:r>
      <w:r w:rsidR="00DD04D5" w:rsidRPr="00DD04D5">
        <w:rPr>
          <w:rFonts w:eastAsia="Times New Roman" w:cstheme="minorHAnsi"/>
          <w:color w:val="222222"/>
          <w:kern w:val="0"/>
          <w:sz w:val="24"/>
          <w:szCs w:val="24"/>
          <w:lang w:eastAsia="en-GB"/>
          <w14:ligatures w14:val="none"/>
        </w:rPr>
        <w:t>a</w:t>
      </w:r>
      <w:r w:rsidRPr="0063164D">
        <w:rPr>
          <w:rFonts w:eastAsia="Times New Roman" w:cstheme="minorHAnsi"/>
          <w:color w:val="222222"/>
          <w:kern w:val="0"/>
          <w:sz w:val="24"/>
          <w:szCs w:val="24"/>
          <w:lang w:eastAsia="en-GB"/>
          <w14:ligatures w14:val="none"/>
        </w:rPr>
        <w:t>r</w:t>
      </w:r>
      <w:r w:rsidR="00DD04D5" w:rsidRPr="00DD04D5">
        <w:rPr>
          <w:rFonts w:eastAsia="Times New Roman" w:cstheme="minorHAnsi"/>
          <w:color w:val="222222"/>
          <w:kern w:val="0"/>
          <w:sz w:val="24"/>
          <w:szCs w:val="24"/>
          <w:lang w:eastAsia="en-GB"/>
          <w14:ligatures w14:val="none"/>
        </w:rPr>
        <w:t>io</w:t>
      </w:r>
      <w:r w:rsidRPr="0063164D">
        <w:rPr>
          <w:rFonts w:eastAsia="Times New Roman" w:cstheme="minorHAnsi"/>
          <w:color w:val="222222"/>
          <w:kern w:val="0"/>
          <w:sz w:val="24"/>
          <w:szCs w:val="24"/>
          <w:lang w:eastAsia="en-GB"/>
          <w14:ligatures w14:val="none"/>
        </w:rPr>
        <w:t>us</w:t>
      </w:r>
      <w:r w:rsidR="00DD04D5" w:rsidRPr="00DD04D5">
        <w:rPr>
          <w:rFonts w:eastAsia="Times New Roman" w:cstheme="minorHAnsi"/>
          <w:color w:val="222222"/>
          <w:kern w:val="0"/>
          <w:sz w:val="24"/>
          <w:szCs w:val="24"/>
          <w:lang w:eastAsia="en-GB"/>
          <w14:ligatures w14:val="none"/>
        </w:rPr>
        <w:t xml:space="preserve"> </w:t>
      </w:r>
      <w:r w:rsidRPr="0063164D">
        <w:rPr>
          <w:rFonts w:eastAsia="Times New Roman" w:cstheme="minorHAnsi"/>
          <w:color w:val="222222"/>
          <w:kern w:val="0"/>
          <w:sz w:val="24"/>
          <w:szCs w:val="24"/>
          <w:lang w:eastAsia="en-GB"/>
          <w14:ligatures w14:val="none"/>
        </w:rPr>
        <w:t>socio</w:t>
      </w:r>
      <w:r w:rsidR="00DD04D5" w:rsidRPr="00DD04D5">
        <w:rPr>
          <w:rFonts w:eastAsia="Times New Roman" w:cstheme="minorHAnsi"/>
          <w:color w:val="222222"/>
          <w:kern w:val="0"/>
          <w:sz w:val="24"/>
          <w:szCs w:val="24"/>
          <w:lang w:eastAsia="en-GB"/>
          <w14:ligatures w14:val="none"/>
        </w:rPr>
        <w:t>e</w:t>
      </w:r>
      <w:r w:rsidRPr="0063164D">
        <w:rPr>
          <w:rFonts w:eastAsia="Times New Roman" w:cstheme="minorHAnsi"/>
          <w:color w:val="222222"/>
          <w:kern w:val="0"/>
          <w:sz w:val="24"/>
          <w:szCs w:val="24"/>
          <w:lang w:eastAsia="en-GB"/>
          <w14:ligatures w14:val="none"/>
        </w:rPr>
        <w:t>co</w:t>
      </w:r>
      <w:r w:rsidR="00DD04D5" w:rsidRPr="00DD04D5">
        <w:rPr>
          <w:rFonts w:eastAsia="Times New Roman" w:cstheme="minorHAnsi"/>
          <w:color w:val="222222"/>
          <w:kern w:val="0"/>
          <w:sz w:val="24"/>
          <w:szCs w:val="24"/>
          <w:lang w:eastAsia="en-GB"/>
          <w14:ligatures w14:val="none"/>
        </w:rPr>
        <w:t>n</w:t>
      </w:r>
      <w:r w:rsidRPr="0063164D">
        <w:rPr>
          <w:rFonts w:eastAsia="Times New Roman" w:cstheme="minorHAnsi"/>
          <w:color w:val="222222"/>
          <w:kern w:val="0"/>
          <w:sz w:val="24"/>
          <w:szCs w:val="24"/>
          <w:lang w:eastAsia="en-GB"/>
          <w14:ligatures w14:val="none"/>
        </w:rPr>
        <w:t>om</w:t>
      </w:r>
      <w:r w:rsidR="00DD04D5" w:rsidRPr="00DD04D5">
        <w:rPr>
          <w:rFonts w:eastAsia="Times New Roman" w:cstheme="minorHAnsi"/>
          <w:color w:val="222222"/>
          <w:kern w:val="0"/>
          <w:sz w:val="24"/>
          <w:szCs w:val="24"/>
          <w:lang w:eastAsia="en-GB"/>
          <w14:ligatures w14:val="none"/>
        </w:rPr>
        <w:t>i</w:t>
      </w:r>
      <w:r w:rsidRPr="0063164D">
        <w:rPr>
          <w:rFonts w:eastAsia="Times New Roman" w:cstheme="minorHAnsi"/>
          <w:color w:val="222222"/>
          <w:kern w:val="0"/>
          <w:sz w:val="24"/>
          <w:szCs w:val="24"/>
          <w:lang w:eastAsia="en-GB"/>
          <w14:ligatures w14:val="none"/>
        </w:rPr>
        <w:t>c</w:t>
      </w:r>
      <w:r w:rsidR="00DD04D5" w:rsidRPr="00DD04D5">
        <w:rPr>
          <w:rFonts w:eastAsia="Times New Roman" w:cstheme="minorHAnsi"/>
          <w:color w:val="222222"/>
          <w:kern w:val="0"/>
          <w:sz w:val="24"/>
          <w:szCs w:val="24"/>
          <w:lang w:eastAsia="en-GB"/>
          <w14:ligatures w14:val="none"/>
        </w:rPr>
        <w:t xml:space="preserve"> </w:t>
      </w:r>
      <w:r w:rsidRPr="0063164D">
        <w:rPr>
          <w:rFonts w:eastAsia="Times New Roman" w:cstheme="minorHAnsi"/>
          <w:color w:val="222222"/>
          <w:kern w:val="0"/>
          <w:sz w:val="24"/>
          <w:szCs w:val="24"/>
          <w:lang w:eastAsia="en-GB"/>
          <w14:ligatures w14:val="none"/>
        </w:rPr>
        <w:t>f</w:t>
      </w:r>
      <w:r w:rsidR="00DD04D5" w:rsidRPr="00DD04D5">
        <w:rPr>
          <w:rFonts w:eastAsia="Times New Roman" w:cstheme="minorHAnsi"/>
          <w:color w:val="222222"/>
          <w:kern w:val="0"/>
          <w:sz w:val="24"/>
          <w:szCs w:val="24"/>
          <w:lang w:eastAsia="en-GB"/>
          <w14:ligatures w14:val="none"/>
        </w:rPr>
        <w:t>a</w:t>
      </w:r>
      <w:r w:rsidRPr="0063164D">
        <w:rPr>
          <w:rFonts w:eastAsia="Times New Roman" w:cstheme="minorHAnsi"/>
          <w:color w:val="222222"/>
          <w:kern w:val="0"/>
          <w:sz w:val="24"/>
          <w:szCs w:val="24"/>
          <w:lang w:eastAsia="en-GB"/>
          <w14:ligatures w14:val="none"/>
        </w:rPr>
        <w:t>cto</w:t>
      </w:r>
      <w:r w:rsidR="00DD04D5" w:rsidRPr="00DD04D5">
        <w:rPr>
          <w:rFonts w:eastAsia="Times New Roman" w:cstheme="minorHAnsi"/>
          <w:color w:val="222222"/>
          <w:kern w:val="0"/>
          <w:sz w:val="24"/>
          <w:szCs w:val="24"/>
          <w:lang w:eastAsia="en-GB"/>
          <w14:ligatures w14:val="none"/>
        </w:rPr>
        <w:t>r</w:t>
      </w:r>
      <w:r w:rsidRPr="0063164D">
        <w:rPr>
          <w:rFonts w:eastAsia="Times New Roman" w:cstheme="minorHAnsi"/>
          <w:color w:val="222222"/>
          <w:kern w:val="0"/>
          <w:sz w:val="24"/>
          <w:szCs w:val="24"/>
          <w:lang w:eastAsia="en-GB"/>
          <w14:ligatures w14:val="none"/>
        </w:rPr>
        <w:t>s</w:t>
      </w:r>
      <w:r w:rsidR="00DD04D5" w:rsidRPr="00DD04D5">
        <w:rPr>
          <w:rFonts w:eastAsia="Times New Roman" w:cstheme="minorHAnsi"/>
          <w:color w:val="222222"/>
          <w:kern w:val="0"/>
          <w:sz w:val="24"/>
          <w:szCs w:val="24"/>
          <w:lang w:eastAsia="en-GB"/>
          <w14:ligatures w14:val="none"/>
        </w:rPr>
        <w:t xml:space="preserve"> significantly influence </w:t>
      </w:r>
      <w:r w:rsidRPr="0063164D">
        <w:rPr>
          <w:rFonts w:eastAsia="Times New Roman" w:cstheme="minorHAnsi"/>
          <w:color w:val="222222"/>
          <w:kern w:val="0"/>
          <w:sz w:val="24"/>
          <w:szCs w:val="24"/>
          <w:lang w:eastAsia="en-GB"/>
          <w14:ligatures w14:val="none"/>
        </w:rPr>
        <w:t>P</w:t>
      </w:r>
      <w:r w:rsidR="00DD04D5" w:rsidRPr="00DD04D5">
        <w:rPr>
          <w:rFonts w:eastAsia="Times New Roman" w:cstheme="minorHAnsi"/>
          <w:color w:val="222222"/>
          <w:kern w:val="0"/>
          <w:sz w:val="24"/>
          <w:szCs w:val="24"/>
          <w:lang w:eastAsia="en-GB"/>
          <w14:ligatures w14:val="none"/>
        </w:rPr>
        <w:t>o</w:t>
      </w:r>
      <w:r w:rsidRPr="0063164D">
        <w:rPr>
          <w:rFonts w:eastAsia="Times New Roman" w:cstheme="minorHAnsi"/>
          <w:color w:val="222222"/>
          <w:kern w:val="0"/>
          <w:sz w:val="24"/>
          <w:szCs w:val="24"/>
          <w:lang w:eastAsia="en-GB"/>
          <w14:ligatures w14:val="none"/>
        </w:rPr>
        <w:t>p</w:t>
      </w:r>
      <w:r w:rsidR="00DD04D5" w:rsidRPr="00DD04D5">
        <w:rPr>
          <w:rFonts w:eastAsia="Times New Roman" w:cstheme="minorHAnsi"/>
          <w:color w:val="222222"/>
          <w:kern w:val="0"/>
          <w:sz w:val="24"/>
          <w:szCs w:val="24"/>
          <w:lang w:eastAsia="en-GB"/>
          <w14:ligatures w14:val="none"/>
        </w:rPr>
        <w:t>u</w:t>
      </w:r>
      <w:r w:rsidRPr="0063164D">
        <w:rPr>
          <w:rFonts w:eastAsia="Times New Roman" w:cstheme="minorHAnsi"/>
          <w:color w:val="222222"/>
          <w:kern w:val="0"/>
          <w:sz w:val="24"/>
          <w:szCs w:val="24"/>
          <w:lang w:eastAsia="en-GB"/>
          <w14:ligatures w14:val="none"/>
        </w:rPr>
        <w:t>lat</w:t>
      </w:r>
      <w:r w:rsidR="00DD04D5" w:rsidRPr="00DD04D5">
        <w:rPr>
          <w:rFonts w:eastAsia="Times New Roman" w:cstheme="minorHAnsi"/>
          <w:color w:val="222222"/>
          <w:kern w:val="0"/>
          <w:sz w:val="24"/>
          <w:szCs w:val="24"/>
          <w:lang w:eastAsia="en-GB"/>
          <w14:ligatures w14:val="none"/>
        </w:rPr>
        <w:t xml:space="preserve">ion </w:t>
      </w:r>
      <w:r w:rsidRPr="0063164D">
        <w:rPr>
          <w:rFonts w:eastAsia="Times New Roman" w:cstheme="minorHAnsi"/>
          <w:color w:val="222222"/>
          <w:kern w:val="0"/>
          <w:sz w:val="24"/>
          <w:szCs w:val="24"/>
          <w:lang w:eastAsia="en-GB"/>
          <w14:ligatures w14:val="none"/>
        </w:rPr>
        <w:t>he</w:t>
      </w:r>
      <w:r w:rsidR="00DD04D5" w:rsidRPr="00DD04D5">
        <w:rPr>
          <w:rFonts w:eastAsia="Times New Roman" w:cstheme="minorHAnsi"/>
          <w:color w:val="222222"/>
          <w:kern w:val="0"/>
          <w:sz w:val="24"/>
          <w:szCs w:val="24"/>
          <w:lang w:eastAsia="en-GB"/>
          <w14:ligatures w14:val="none"/>
        </w:rPr>
        <w:t>a</w:t>
      </w:r>
      <w:r w:rsidRPr="0063164D">
        <w:rPr>
          <w:rFonts w:eastAsia="Times New Roman" w:cstheme="minorHAnsi"/>
          <w:color w:val="222222"/>
          <w:kern w:val="0"/>
          <w:sz w:val="24"/>
          <w:szCs w:val="24"/>
          <w:lang w:eastAsia="en-GB"/>
          <w14:ligatures w14:val="none"/>
        </w:rPr>
        <w:t>l</w:t>
      </w:r>
      <w:r w:rsidR="00DD04D5" w:rsidRPr="00DD04D5">
        <w:rPr>
          <w:rFonts w:eastAsia="Times New Roman" w:cstheme="minorHAnsi"/>
          <w:color w:val="222222"/>
          <w:kern w:val="0"/>
          <w:sz w:val="24"/>
          <w:szCs w:val="24"/>
          <w:lang w:eastAsia="en-GB"/>
          <w14:ligatures w14:val="none"/>
        </w:rPr>
        <w:t>t</w:t>
      </w:r>
      <w:r w:rsidRPr="0063164D">
        <w:rPr>
          <w:rFonts w:eastAsia="Times New Roman" w:cstheme="minorHAnsi"/>
          <w:color w:val="222222"/>
          <w:kern w:val="0"/>
          <w:sz w:val="24"/>
          <w:szCs w:val="24"/>
          <w:lang w:eastAsia="en-GB"/>
          <w14:ligatures w14:val="none"/>
        </w:rPr>
        <w:t>h and well-being</w:t>
      </w:r>
      <w:r w:rsidR="00DD04D5" w:rsidRPr="00DD04D5">
        <w:rPr>
          <w:rFonts w:eastAsia="Times New Roman" w:cstheme="minorHAnsi"/>
          <w:color w:val="222222"/>
          <w:kern w:val="0"/>
          <w:sz w:val="24"/>
          <w:szCs w:val="24"/>
          <w:lang w:eastAsia="en-GB"/>
          <w14:ligatures w14:val="none"/>
        </w:rPr>
        <w:t>, including age, sex, income, education level, and environmental issues like poor housing and working conditions (Braveman</w:t>
      </w:r>
      <w:r w:rsidR="00076DF4" w:rsidRPr="0063164D">
        <w:rPr>
          <w:rFonts w:eastAsia="Times New Roman" w:cstheme="minorHAnsi"/>
          <w:color w:val="222222"/>
          <w:kern w:val="0"/>
          <w:sz w:val="24"/>
          <w:szCs w:val="24"/>
          <w:lang w:eastAsia="en-GB"/>
          <w14:ligatures w14:val="none"/>
        </w:rPr>
        <w:t xml:space="preserve"> </w:t>
      </w:r>
      <w:r w:rsidR="00217451" w:rsidRPr="0063164D">
        <w:rPr>
          <w:rFonts w:eastAsia="Times New Roman" w:cstheme="minorHAnsi"/>
          <w:color w:val="222222"/>
          <w:kern w:val="0"/>
          <w:sz w:val="24"/>
          <w:szCs w:val="24"/>
          <w:lang w:eastAsia="en-GB"/>
          <w14:ligatures w14:val="none"/>
        </w:rPr>
        <w:t>and Gottlieb</w:t>
      </w:r>
      <w:r w:rsidR="000112F7" w:rsidRPr="0063164D">
        <w:rPr>
          <w:rFonts w:eastAsia="Times New Roman" w:cstheme="minorHAnsi"/>
          <w:color w:val="222222"/>
          <w:kern w:val="0"/>
          <w:sz w:val="24"/>
          <w:szCs w:val="24"/>
          <w:lang w:eastAsia="en-GB"/>
          <w14:ligatures w14:val="none"/>
        </w:rPr>
        <w:t xml:space="preserve">, </w:t>
      </w:r>
      <w:r w:rsidR="00DD04D5" w:rsidRPr="00DD04D5">
        <w:rPr>
          <w:rFonts w:eastAsia="Times New Roman" w:cstheme="minorHAnsi"/>
          <w:color w:val="222222"/>
          <w:kern w:val="0"/>
          <w:sz w:val="24"/>
          <w:szCs w:val="24"/>
          <w:lang w:eastAsia="en-GB"/>
          <w14:ligatures w14:val="none"/>
        </w:rPr>
        <w:t xml:space="preserve">2014; Kadel </w:t>
      </w:r>
      <w:r w:rsidR="00DD04D5" w:rsidRPr="00DD04D5">
        <w:rPr>
          <w:rFonts w:eastAsia="Times New Roman" w:cstheme="minorHAnsi"/>
          <w:i/>
          <w:iCs/>
          <w:color w:val="222222"/>
          <w:kern w:val="0"/>
          <w:sz w:val="24"/>
          <w:szCs w:val="24"/>
          <w:lang w:eastAsia="en-GB"/>
          <w14:ligatures w14:val="none"/>
        </w:rPr>
        <w:t>et al.,</w:t>
      </w:r>
      <w:r w:rsidR="00DD04D5" w:rsidRPr="00DD04D5">
        <w:rPr>
          <w:rFonts w:eastAsia="Times New Roman" w:cstheme="minorHAnsi"/>
          <w:color w:val="222222"/>
          <w:kern w:val="0"/>
          <w:sz w:val="24"/>
          <w:szCs w:val="24"/>
          <w:lang w:eastAsia="en-GB"/>
          <w14:ligatures w14:val="none"/>
        </w:rPr>
        <w:t xml:space="preserve"> 2022). There is considerable health and health service usage between socially advantaged and disadvantaged groups (Marmot </w:t>
      </w:r>
      <w:r w:rsidR="00DD04D5" w:rsidRPr="00DD04D5">
        <w:rPr>
          <w:rFonts w:eastAsia="Times New Roman" w:cstheme="minorHAnsi"/>
          <w:i/>
          <w:iCs/>
          <w:color w:val="222222"/>
          <w:kern w:val="0"/>
          <w:sz w:val="24"/>
          <w:szCs w:val="24"/>
          <w:lang w:eastAsia="en-GB"/>
          <w14:ligatures w14:val="none"/>
        </w:rPr>
        <w:t>et al</w:t>
      </w:r>
      <w:r w:rsidR="00DD04D5" w:rsidRPr="00DD04D5">
        <w:rPr>
          <w:rFonts w:eastAsia="Times New Roman" w:cstheme="minorHAnsi"/>
          <w:color w:val="222222"/>
          <w:kern w:val="0"/>
          <w:sz w:val="24"/>
          <w:szCs w:val="24"/>
          <w:lang w:eastAsia="en-GB"/>
          <w14:ligatures w14:val="none"/>
        </w:rPr>
        <w:t>., 2012). These inequalities lead to differing healthcare needs, requiring appropriate access to and provision of healthcare services. </w:t>
      </w:r>
    </w:p>
    <w:p w14:paraId="7422B61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 xml:space="preserve">Health inequality has been a persistent issue in Wales. Individuals living in the most </w:t>
      </w:r>
      <w:r w:rsidRPr="00DD04D5">
        <w:rPr>
          <w:rFonts w:eastAsia="Times New Roman" w:cstheme="minorHAnsi"/>
          <w:kern w:val="0"/>
          <w:sz w:val="24"/>
          <w:szCs w:val="24"/>
          <w:lang w:eastAsia="en-GB"/>
          <w14:ligatures w14:val="none"/>
        </w:rPr>
        <w:t xml:space="preserve">deprived neighbourhoods are at a much higher risk of dying from preventable causes, with males being 3.7 times more likely and females 3.8 times more likely to face this risk compared to those in less deprived areas </w:t>
      </w:r>
      <w:r w:rsidRPr="00DD04D5">
        <w:rPr>
          <w:rFonts w:eastAsia="Times New Roman" w:cstheme="minorHAnsi"/>
          <w:color w:val="222222"/>
          <w:kern w:val="0"/>
          <w:sz w:val="24"/>
          <w:szCs w:val="24"/>
          <w:lang w:eastAsia="en-GB"/>
          <w14:ligatures w14:val="none"/>
        </w:rPr>
        <w:t xml:space="preserve">(Office for National Statistics, 2019). Furthermore, people in these neighbourhoods experience worse health outcomes, with fewer years of </w:t>
      </w:r>
      <w:r w:rsidRPr="00DD04D5">
        <w:rPr>
          <w:rFonts w:eastAsia="Times New Roman" w:cstheme="minorHAnsi"/>
          <w:color w:val="222222"/>
          <w:kern w:val="0"/>
          <w:sz w:val="24"/>
          <w:szCs w:val="24"/>
          <w:lang w:eastAsia="en-GB"/>
          <w14:ligatures w14:val="none"/>
        </w:rPr>
        <w:lastRenderedPageBreak/>
        <w:t>healthy life expectancy at birth - 16.9 years for males and 18.3 years for females, compared to those in the least deprived neighbourhoods (Office for National Statistics, 2021). </w:t>
      </w:r>
    </w:p>
    <w:p w14:paraId="72AFC114" w14:textId="490E3905"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Moreover, those living in more deprived areas tend to utili</w:t>
      </w:r>
      <w:r w:rsidR="00C75C7B" w:rsidRPr="0063164D">
        <w:rPr>
          <w:rFonts w:eastAsia="Times New Roman" w:cstheme="minorHAnsi"/>
          <w:color w:val="222222"/>
          <w:kern w:val="0"/>
          <w:sz w:val="24"/>
          <w:szCs w:val="24"/>
          <w:lang w:eastAsia="en-GB"/>
          <w14:ligatures w14:val="none"/>
        </w:rPr>
        <w:t>z</w:t>
      </w:r>
      <w:r w:rsidRPr="00DD04D5">
        <w:rPr>
          <w:rFonts w:eastAsia="Times New Roman" w:cstheme="minorHAnsi"/>
          <w:color w:val="222222"/>
          <w:kern w:val="0"/>
          <w:sz w:val="24"/>
          <w:szCs w:val="24"/>
          <w:lang w:eastAsia="en-GB"/>
          <w14:ligatures w14:val="none"/>
        </w:rPr>
        <w:t xml:space="preserve">e more emergency healthcare resources, in terms of volume and cost. However, even though they are more likely to use emergency care services—like non-elective admissions, emergency GP appointments, and A&amp;E visits, they are less likely to access specialist and preventative healthcare services. Additionally, the patterns of elective inpatient care and primary care vary based on social status (Dixon </w:t>
      </w:r>
      <w:r w:rsidRPr="00DD04D5">
        <w:rPr>
          <w:rFonts w:eastAsia="Times New Roman" w:cstheme="minorHAnsi"/>
          <w:i/>
          <w:iCs/>
          <w:color w:val="222222"/>
          <w:kern w:val="0"/>
          <w:sz w:val="24"/>
          <w:szCs w:val="24"/>
          <w:lang w:eastAsia="en-GB"/>
          <w14:ligatures w14:val="none"/>
        </w:rPr>
        <w:t>et al.,</w:t>
      </w:r>
      <w:r w:rsidRPr="00DD04D5">
        <w:rPr>
          <w:rFonts w:eastAsia="Times New Roman" w:cstheme="minorHAnsi"/>
          <w:color w:val="222222"/>
          <w:kern w:val="0"/>
          <w:sz w:val="24"/>
          <w:szCs w:val="24"/>
          <w:lang w:eastAsia="en-GB"/>
          <w14:ligatures w14:val="none"/>
        </w:rPr>
        <w:t>2007) </w:t>
      </w:r>
    </w:p>
    <w:p w14:paraId="5B8F15DF"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shd w:val="clear" w:color="auto" w:fill="FFFFFF"/>
          <w:lang w:eastAsia="en-GB"/>
          <w14:ligatures w14:val="none"/>
        </w:rPr>
        <w:t>Geographical disparities between rural and urban areas in Wales continue to grow, creating inequalities that, if left unaddressed, risk leaving a significant portion of the rural population behind. This divide can fuel social discontent, destabilizing communities and perpetuating the misconception that rural areas are "backward" or isolated. Rural workers face unique challenges, including governance gaps, informal employment, underdeveloped production systems, and limited access to essential services, infrastructure, and social protection (International Labour Organisation, 2023). Given their dependence on natural resources, rural communities are also particularly vulnerable to the impacts of climate change, which can further restrict economic opportunities and compromise livelihoods. Addressing these disparities through targeted policies is essential for reducing inequalities and promoting balanced development across rural and urban areas in Wales (United Nations, 2021; Public Health Wales, 2022).</w:t>
      </w:r>
      <w:r w:rsidRPr="00DD04D5">
        <w:rPr>
          <w:rFonts w:eastAsia="Times New Roman" w:cstheme="minorHAnsi"/>
          <w:color w:val="222222"/>
          <w:kern w:val="0"/>
          <w:sz w:val="24"/>
          <w:szCs w:val="24"/>
          <w:lang w:eastAsia="en-GB"/>
          <w14:ligatures w14:val="none"/>
        </w:rPr>
        <w:t> </w:t>
      </w:r>
    </w:p>
    <w:p w14:paraId="1B4704B9" w14:textId="74116B01"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t xml:space="preserve">The Office for National Statistics (ONS) released </w:t>
      </w:r>
      <w:proofErr w:type="spellStart"/>
      <w:r w:rsidR="000C210E" w:rsidRPr="0063164D">
        <w:rPr>
          <w:rFonts w:eastAsia="Times New Roman" w:cstheme="minorHAnsi"/>
          <w:kern w:val="0"/>
          <w:sz w:val="24"/>
          <w:szCs w:val="24"/>
          <w:lang w:eastAsia="en-GB"/>
          <w14:ligatures w14:val="none"/>
        </w:rPr>
        <w:t>Wales’</w:t>
      </w:r>
      <w:proofErr w:type="spellEnd"/>
      <w:r w:rsidR="000C210E" w:rsidRPr="0063164D">
        <w:rPr>
          <w:rFonts w:eastAsia="Times New Roman" w:cstheme="minorHAnsi"/>
          <w:kern w:val="0"/>
          <w:sz w:val="24"/>
          <w:szCs w:val="24"/>
          <w:lang w:eastAsia="en-GB"/>
          <w14:ligatures w14:val="none"/>
        </w:rPr>
        <w:t xml:space="preserve"> </w:t>
      </w:r>
      <w:r w:rsidRPr="00DD04D5">
        <w:rPr>
          <w:rFonts w:eastAsia="Times New Roman" w:cstheme="minorHAnsi"/>
          <w:kern w:val="0"/>
          <w:sz w:val="24"/>
          <w:szCs w:val="24"/>
          <w:lang w:eastAsia="en-GB"/>
          <w14:ligatures w14:val="none"/>
        </w:rPr>
        <w:t xml:space="preserve">and the United Kingdom's population mid-year estimates for </w:t>
      </w:r>
      <w:r w:rsidR="000C210E" w:rsidRPr="0063164D">
        <w:rPr>
          <w:rFonts w:eastAsia="Times New Roman" w:cstheme="minorHAnsi"/>
          <w:kern w:val="0"/>
          <w:sz w:val="24"/>
          <w:szCs w:val="24"/>
          <w:lang w:eastAsia="en-GB"/>
          <w14:ligatures w14:val="none"/>
        </w:rPr>
        <w:t>2021</w:t>
      </w:r>
      <w:r w:rsidR="005D24F9" w:rsidRPr="0063164D">
        <w:rPr>
          <w:rFonts w:eastAsia="Times New Roman" w:cstheme="minorHAnsi"/>
          <w:kern w:val="0"/>
          <w:sz w:val="24"/>
          <w:szCs w:val="24"/>
          <w:lang w:eastAsia="en-GB"/>
          <w14:ligatures w14:val="none"/>
        </w:rPr>
        <w:t>,</w:t>
      </w:r>
      <w:r w:rsidR="000C210E" w:rsidRPr="0063164D">
        <w:rPr>
          <w:rFonts w:eastAsia="Times New Roman" w:cstheme="minorHAnsi"/>
          <w:kern w:val="0"/>
          <w:sz w:val="24"/>
          <w:szCs w:val="24"/>
          <w:lang w:eastAsia="en-GB"/>
          <w14:ligatures w14:val="none"/>
        </w:rPr>
        <w:t> </w:t>
      </w:r>
      <w:r w:rsidR="005D24F9" w:rsidRPr="0063164D">
        <w:rPr>
          <w:rFonts w:eastAsia="Times New Roman" w:cstheme="minorHAnsi"/>
          <w:kern w:val="0"/>
          <w:sz w:val="24"/>
          <w:szCs w:val="24"/>
          <w:lang w:eastAsia="en-GB"/>
          <w14:ligatures w14:val="none"/>
        </w:rPr>
        <w:t>on </w:t>
      </w:r>
      <w:r w:rsidRPr="00DD04D5">
        <w:rPr>
          <w:rFonts w:eastAsia="Times New Roman" w:cstheme="minorHAnsi"/>
          <w:kern w:val="0"/>
          <w:sz w:val="24"/>
          <w:szCs w:val="24"/>
          <w:lang w:eastAsia="en-GB"/>
          <w14:ligatures w14:val="none"/>
        </w:rPr>
        <w:t>December 21, 2022. These population estimates for Wales, England, and Northern Ireland are the first to be derived from the censuses conducted in 2021. Scotland's census was rescheduled for 2022 (because of the COVID-19 pandemic), and the standard method was used to roll forward the mid-2020 population estimates from mid-2021 (Southern Medical Association 2020).  </w:t>
      </w:r>
      <w:r w:rsidR="000506E6" w:rsidRPr="0063164D">
        <w:rPr>
          <w:rFonts w:eastAsia="Times New Roman" w:cstheme="minorHAnsi"/>
          <w:kern w:val="0"/>
          <w:sz w:val="24"/>
          <w:szCs w:val="24"/>
          <w:lang w:eastAsia="en-GB"/>
          <w14:ligatures w14:val="none"/>
        </w:rPr>
        <w:t>(see of figure 2).</w:t>
      </w:r>
    </w:p>
    <w:p w14:paraId="512961FE" w14:textId="0B21CBB5"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Cultural and Ethnics Factors</w:t>
      </w:r>
      <w:r w:rsidRPr="00DD04D5">
        <w:rPr>
          <w:rFonts w:eastAsia="Times New Roman" w:cstheme="minorHAnsi"/>
          <w:kern w:val="0"/>
          <w:sz w:val="24"/>
          <w:szCs w:val="24"/>
          <w:lang w:eastAsia="en-GB"/>
          <w14:ligatures w14:val="none"/>
        </w:rPr>
        <w:t> </w:t>
      </w:r>
    </w:p>
    <w:p w14:paraId="3BA11C66"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noProof/>
          <w:kern w:val="0"/>
          <w:sz w:val="24"/>
          <w:szCs w:val="24"/>
          <w:lang w:eastAsia="en-GB"/>
          <w14:ligatures w14:val="none"/>
        </w:rPr>
        <w:lastRenderedPageBreak/>
        <w:drawing>
          <wp:inline distT="0" distB="0" distL="0" distR="0" wp14:anchorId="1FE01548" wp14:editId="29275089">
            <wp:extent cx="4762500" cy="3575050"/>
            <wp:effectExtent l="0" t="0" r="0" b="6350"/>
            <wp:docPr id="11" name="Picture 9"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9" descr="A close-up of word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575050"/>
                    </a:xfrm>
                    <a:prstGeom prst="rect">
                      <a:avLst/>
                    </a:prstGeom>
                    <a:noFill/>
                    <a:ln>
                      <a:noFill/>
                    </a:ln>
                  </pic:spPr>
                </pic:pic>
              </a:graphicData>
            </a:graphic>
          </wp:inline>
        </w:drawing>
      </w:r>
      <w:r w:rsidRPr="00DD04D5">
        <w:rPr>
          <w:rFonts w:eastAsia="Times New Roman" w:cstheme="minorHAnsi"/>
          <w:color w:val="222222"/>
          <w:kern w:val="0"/>
          <w:sz w:val="24"/>
          <w:szCs w:val="24"/>
          <w:lang w:eastAsia="en-GB"/>
          <w14:ligatures w14:val="none"/>
        </w:rPr>
        <w:t> </w:t>
      </w:r>
    </w:p>
    <w:p w14:paraId="478A8547" w14:textId="724D9D4C"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Figure 2: </w:t>
      </w:r>
      <w:r w:rsidR="002734D1" w:rsidRPr="0063164D">
        <w:rPr>
          <w:rFonts w:eastAsia="Times New Roman" w:cstheme="minorHAnsi"/>
          <w:color w:val="222222"/>
          <w:kern w:val="0"/>
          <w:sz w:val="24"/>
          <w:szCs w:val="24"/>
          <w:lang w:eastAsia="en-GB"/>
          <w14:ligatures w14:val="none"/>
        </w:rPr>
        <w:t>sociology- introduction to health in</w:t>
      </w:r>
      <w:r w:rsidR="00B7003E" w:rsidRPr="0063164D">
        <w:rPr>
          <w:rFonts w:eastAsia="Times New Roman" w:cstheme="minorHAnsi"/>
          <w:color w:val="222222"/>
          <w:kern w:val="0"/>
          <w:sz w:val="24"/>
          <w:szCs w:val="24"/>
          <w:lang w:eastAsia="en-GB"/>
          <w14:ligatures w14:val="none"/>
        </w:rPr>
        <w:t>equalities in health (ethnicity).</w:t>
      </w:r>
    </w:p>
    <w:p w14:paraId="4A8C64D3" w14:textId="0272CED5" w:rsidR="006E38B4" w:rsidRPr="0063164D" w:rsidRDefault="00DD04D5"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r w:rsidRPr="00DD04D5">
        <w:rPr>
          <w:rFonts w:eastAsia="Times New Roman" w:cstheme="minorHAnsi"/>
          <w:color w:val="222222"/>
          <w:kern w:val="0"/>
          <w:sz w:val="24"/>
          <w:szCs w:val="24"/>
          <w:lang w:eastAsia="en-GB"/>
          <w14:ligatures w14:val="none"/>
        </w:rPr>
        <w:t>In Wales, 5.9% of the population identifies as Black, Asian, 'Mixed/Multiple,' or 'Other' ethnic groups, with significant differences across local areas, ranging from 1.7% to 19.8% (Welsh Government, 2020b). There are ongoing racial differences in health, access to health services, and levels of loneliness, showing social and economic inequalities (Equality and Human Rights Commission, 2018)</w:t>
      </w:r>
      <w:r w:rsidR="008C7014" w:rsidRPr="0063164D">
        <w:rPr>
          <w:rFonts w:eastAsia="Times New Roman" w:cstheme="minorHAnsi"/>
          <w:color w:val="222222"/>
          <w:kern w:val="0"/>
          <w:sz w:val="24"/>
          <w:szCs w:val="24"/>
          <w:lang w:eastAsia="en-GB"/>
          <w14:ligatures w14:val="none"/>
        </w:rPr>
        <w:t>.</w:t>
      </w:r>
    </w:p>
    <w:p w14:paraId="5EC9DDC3" w14:textId="0F9B84A1" w:rsidR="003D23F2"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The COVID-19 pandemic highlighted the urgent need to address these racial inequalities in Wales, focusing on health and social care as key areas for action. Between March 2</w:t>
      </w:r>
      <w:r w:rsidRPr="00DD04D5">
        <w:rPr>
          <w:rFonts w:eastAsia="Times New Roman" w:cstheme="minorHAnsi"/>
          <w:color w:val="222222"/>
          <w:kern w:val="0"/>
          <w:sz w:val="24"/>
          <w:szCs w:val="24"/>
          <w:vertAlign w:val="superscript"/>
          <w:lang w:eastAsia="en-GB"/>
          <w14:ligatures w14:val="none"/>
        </w:rPr>
        <w:t>nd</w:t>
      </w:r>
      <w:r w:rsidRPr="00DD04D5">
        <w:rPr>
          <w:rFonts w:eastAsia="Times New Roman" w:cstheme="minorHAnsi"/>
          <w:color w:val="222222"/>
          <w:kern w:val="0"/>
          <w:sz w:val="24"/>
          <w:szCs w:val="24"/>
          <w:lang w:eastAsia="en-GB"/>
          <w14:ligatures w14:val="none"/>
        </w:rPr>
        <w:t xml:space="preserve"> and May 15</w:t>
      </w:r>
      <w:r w:rsidRPr="00DD04D5">
        <w:rPr>
          <w:rFonts w:eastAsia="Times New Roman" w:cstheme="minorHAnsi"/>
          <w:color w:val="222222"/>
          <w:kern w:val="0"/>
          <w:sz w:val="24"/>
          <w:szCs w:val="24"/>
          <w:vertAlign w:val="superscript"/>
          <w:lang w:eastAsia="en-GB"/>
          <w14:ligatures w14:val="none"/>
        </w:rPr>
        <w:t>th</w:t>
      </w:r>
      <w:r w:rsidRPr="00DD04D5">
        <w:rPr>
          <w:rFonts w:eastAsia="Times New Roman" w:cstheme="minorHAnsi"/>
          <w:color w:val="222222"/>
          <w:kern w:val="0"/>
          <w:sz w:val="24"/>
          <w:szCs w:val="24"/>
          <w:lang w:eastAsia="en-GB"/>
          <w14:ligatures w14:val="none"/>
        </w:rPr>
        <w:t>, 2020, the death rate from COVID-19 for Black males was twice as high as for White males. For Black females, it was nearly 1.5 times higher than for White females, even after considering factors like population density and socioeconomic conditions (Office for National Statistics, 2020). </w:t>
      </w:r>
    </w:p>
    <w:p w14:paraId="6BDD173B"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 xml:space="preserve">To tackle these issues, the First Minister established the Black, Asian, and Minority Ethnic COVID-19 Advisory Group. This group looked at the social and economic factors contributing to health inequalities and suggested actions to reduce these gaps. Professor Ogbonna's report, created for this group, provided specific recommendations (Office for National </w:t>
      </w:r>
      <w:r w:rsidRPr="00DD04D5">
        <w:rPr>
          <w:rFonts w:eastAsia="Times New Roman" w:cstheme="minorHAnsi"/>
          <w:color w:val="222222"/>
          <w:kern w:val="0"/>
          <w:sz w:val="24"/>
          <w:szCs w:val="24"/>
          <w:lang w:eastAsia="en-GB"/>
          <w14:ligatures w14:val="none"/>
        </w:rPr>
        <w:lastRenderedPageBreak/>
        <w:t>Statistics 2020). The findings of this report align with the recommendations from the Equality, Local Government, and Communities Committee's response to the EHRC's report on creating a fairer Wales (Equality and Human Rights Commission 2020) and the Welsh Government's recent actions in response to those recommendations (Ogbonna, 2020). </w:t>
      </w:r>
    </w:p>
    <w:p w14:paraId="6310E662" w14:textId="4D49B6CA" w:rsidR="005D78CF" w:rsidRPr="0063164D" w:rsidRDefault="00DD04D5"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r w:rsidRPr="00DD04D5">
        <w:rPr>
          <w:rFonts w:eastAsia="Times New Roman" w:cstheme="minorHAnsi"/>
          <w:color w:val="222222"/>
          <w:kern w:val="0"/>
          <w:sz w:val="24"/>
          <w:szCs w:val="24"/>
          <w:lang w:eastAsia="en-GB"/>
          <w14:ligatures w14:val="none"/>
        </w:rPr>
        <w:t>Addressing these inequalities also involves important cultural and ethical considerations. Health equity is a public health issue about fairness and respecting diverse cultural identities. Ensuring equal access to healthcare for all groups recogni</w:t>
      </w:r>
      <w:r w:rsidR="00AD6ACF" w:rsidRPr="0063164D">
        <w:rPr>
          <w:rFonts w:eastAsia="Times New Roman" w:cstheme="minorHAnsi"/>
          <w:color w:val="222222"/>
          <w:kern w:val="0"/>
          <w:sz w:val="24"/>
          <w:szCs w:val="24"/>
          <w:lang w:eastAsia="en-GB"/>
          <w14:ligatures w14:val="none"/>
        </w:rPr>
        <w:t>z</w:t>
      </w:r>
      <w:r w:rsidRPr="00DD04D5">
        <w:rPr>
          <w:rFonts w:eastAsia="Times New Roman" w:cstheme="minorHAnsi"/>
          <w:color w:val="222222"/>
          <w:kern w:val="0"/>
          <w:sz w:val="24"/>
          <w:szCs w:val="24"/>
          <w:lang w:eastAsia="en-GB"/>
          <w14:ligatures w14:val="none"/>
        </w:rPr>
        <w:t xml:space="preserve">es cultural differences and helps reduce biases that ethnic minority groups face, promoting a more inclusive healthcare system in Wales (Hatch </w:t>
      </w:r>
      <w:r w:rsidRPr="00DD04D5">
        <w:rPr>
          <w:rFonts w:eastAsia="Times New Roman" w:cstheme="minorHAnsi"/>
          <w:i/>
          <w:iCs/>
          <w:color w:val="222222"/>
          <w:kern w:val="0"/>
          <w:sz w:val="24"/>
          <w:szCs w:val="24"/>
          <w:lang w:eastAsia="en-GB"/>
          <w14:ligatures w14:val="none"/>
        </w:rPr>
        <w:t>et al.,</w:t>
      </w:r>
      <w:r w:rsidRPr="00DD04D5">
        <w:rPr>
          <w:rFonts w:eastAsia="Times New Roman" w:cstheme="minorHAnsi"/>
          <w:color w:val="222222"/>
          <w:kern w:val="0"/>
          <w:sz w:val="24"/>
          <w:szCs w:val="24"/>
          <w:lang w:eastAsia="en-GB"/>
          <w14:ligatures w14:val="none"/>
        </w:rPr>
        <w:t xml:space="preserve"> 2021). </w:t>
      </w:r>
      <w:r w:rsidR="00341D3F" w:rsidRPr="0063164D">
        <w:rPr>
          <w:rFonts w:eastAsia="Times New Roman" w:cstheme="minorHAnsi"/>
          <w:color w:val="222222"/>
          <w:kern w:val="0"/>
          <w:sz w:val="24"/>
          <w:szCs w:val="24"/>
          <w:lang w:eastAsia="en-GB"/>
          <w14:ligatures w14:val="none"/>
        </w:rPr>
        <w:t>F</w:t>
      </w:r>
      <w:r w:rsidR="00C70307" w:rsidRPr="0063164D">
        <w:rPr>
          <w:rFonts w:eastAsia="Times New Roman" w:cstheme="minorHAnsi"/>
          <w:color w:val="222222"/>
          <w:kern w:val="0"/>
          <w:sz w:val="24"/>
          <w:szCs w:val="24"/>
          <w:lang w:eastAsia="en-GB"/>
          <w14:ligatures w14:val="none"/>
        </w:rPr>
        <w:t xml:space="preserve">igure 3 </w:t>
      </w:r>
      <w:r w:rsidR="005C224F" w:rsidRPr="0063164D">
        <w:rPr>
          <w:rFonts w:eastAsia="Times New Roman" w:cstheme="minorHAnsi"/>
          <w:color w:val="222222"/>
          <w:kern w:val="0"/>
          <w:sz w:val="24"/>
          <w:szCs w:val="24"/>
          <w:lang w:eastAsia="en-GB"/>
          <w14:ligatures w14:val="none"/>
        </w:rPr>
        <w:t>explain</w:t>
      </w:r>
      <w:r w:rsidR="00CC7B4D" w:rsidRPr="0063164D">
        <w:rPr>
          <w:rFonts w:eastAsia="Times New Roman" w:cstheme="minorHAnsi"/>
          <w:color w:val="222222"/>
          <w:kern w:val="0"/>
          <w:sz w:val="24"/>
          <w:szCs w:val="24"/>
          <w:lang w:eastAsia="en-GB"/>
          <w14:ligatures w14:val="none"/>
        </w:rPr>
        <w:t>s</w:t>
      </w:r>
      <w:r w:rsidR="00341D3F" w:rsidRPr="0063164D">
        <w:rPr>
          <w:rFonts w:eastAsia="Times New Roman" w:cstheme="minorHAnsi"/>
          <w:color w:val="222222"/>
          <w:kern w:val="0"/>
          <w:sz w:val="24"/>
          <w:szCs w:val="24"/>
          <w:lang w:eastAsia="en-GB"/>
          <w14:ligatures w14:val="none"/>
        </w:rPr>
        <w:t xml:space="preserve"> life expe</w:t>
      </w:r>
      <w:r w:rsidR="00CC7B4D" w:rsidRPr="0063164D">
        <w:rPr>
          <w:rFonts w:eastAsia="Times New Roman" w:cstheme="minorHAnsi"/>
          <w:color w:val="222222"/>
          <w:kern w:val="0"/>
          <w:sz w:val="24"/>
          <w:szCs w:val="24"/>
          <w:lang w:eastAsia="en-GB"/>
          <w14:ligatures w14:val="none"/>
        </w:rPr>
        <w:t xml:space="preserve">ctancy increased and </w:t>
      </w:r>
      <w:r w:rsidR="00F76335" w:rsidRPr="0063164D">
        <w:rPr>
          <w:rFonts w:eastAsia="Times New Roman" w:cstheme="minorHAnsi"/>
          <w:color w:val="222222"/>
          <w:kern w:val="0"/>
          <w:sz w:val="24"/>
          <w:szCs w:val="24"/>
          <w:lang w:eastAsia="en-GB"/>
          <w14:ligatures w14:val="none"/>
        </w:rPr>
        <w:t>life expectancy</w:t>
      </w:r>
      <w:r w:rsidR="00B247F6" w:rsidRPr="0063164D">
        <w:rPr>
          <w:rFonts w:eastAsia="Times New Roman" w:cstheme="minorHAnsi"/>
          <w:color w:val="222222"/>
          <w:kern w:val="0"/>
          <w:sz w:val="24"/>
          <w:szCs w:val="24"/>
          <w:lang w:eastAsia="en-GB"/>
          <w14:ligatures w14:val="none"/>
        </w:rPr>
        <w:t xml:space="preserve"> remains stable.</w:t>
      </w:r>
      <w:r w:rsidR="005C224F" w:rsidRPr="0063164D">
        <w:rPr>
          <w:rFonts w:eastAsia="Times New Roman" w:cstheme="minorHAnsi"/>
          <w:color w:val="222222"/>
          <w:kern w:val="0"/>
          <w:sz w:val="24"/>
          <w:szCs w:val="24"/>
          <w:lang w:eastAsia="en-GB"/>
          <w14:ligatures w14:val="none"/>
        </w:rPr>
        <w:t xml:space="preserve"> </w:t>
      </w:r>
    </w:p>
    <w:p w14:paraId="28CD6250" w14:textId="3FC6D658" w:rsidR="0005306D" w:rsidRPr="0063164D" w:rsidRDefault="00DD04D5"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Current Context and Statistics</w:t>
      </w:r>
      <w:r w:rsidR="00B0394D" w:rsidRPr="0063164D">
        <w:rPr>
          <w:rFonts w:eastAsia="Times New Roman" w:cstheme="minorHAnsi"/>
          <w:color w:val="222222"/>
          <w:kern w:val="0"/>
          <w:sz w:val="24"/>
          <w:szCs w:val="24"/>
          <w:lang w:eastAsia="en-GB"/>
          <w14:ligatures w14:val="none"/>
        </w:rPr>
        <w:t>.</w:t>
      </w:r>
    </w:p>
    <w:p w14:paraId="690801A7" w14:textId="77777777" w:rsidR="007A3480" w:rsidRPr="0063164D" w:rsidRDefault="007A3480"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p>
    <w:p w14:paraId="1642A722" w14:textId="2AA7E8D9" w:rsidR="00CD3FC4" w:rsidRPr="0063164D" w:rsidRDefault="00CD3FC4"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r w:rsidRPr="0063164D">
        <w:rPr>
          <w:rFonts w:cstheme="minorHAnsi"/>
          <w:noProof/>
          <w:sz w:val="24"/>
          <w:szCs w:val="24"/>
        </w:rPr>
        <w:drawing>
          <wp:inline distT="0" distB="0" distL="0" distR="0" wp14:anchorId="58ACFF3F" wp14:editId="5C77C106">
            <wp:extent cx="5724525" cy="2038237"/>
            <wp:effectExtent l="0" t="0" r="0" b="635"/>
            <wp:docPr id="21" name="Picture 18" descr="A comparison of people with their arms raise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18" descr="A comparison of people with their arms raised&#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58379" cy="2085896"/>
                    </a:xfrm>
                    <a:prstGeom prst="rect">
                      <a:avLst/>
                    </a:prstGeom>
                    <a:noFill/>
                    <a:ln>
                      <a:noFill/>
                    </a:ln>
                  </pic:spPr>
                </pic:pic>
              </a:graphicData>
            </a:graphic>
          </wp:inline>
        </w:drawing>
      </w:r>
    </w:p>
    <w:p w14:paraId="0A21CBE0" w14:textId="5378B70D" w:rsidR="00826ED0" w:rsidRPr="00DD04D5" w:rsidRDefault="00C77D5C" w:rsidP="0063164D">
      <w:pPr>
        <w:shd w:val="clear" w:color="auto" w:fill="FFFFFF"/>
        <w:spacing w:beforeAutospacing="1" w:after="0" w:afterAutospacing="1" w:line="360" w:lineRule="auto"/>
        <w:textAlignment w:val="baseline"/>
        <w:rPr>
          <w:rFonts w:eastAsia="Times New Roman" w:cstheme="minorHAnsi"/>
          <w:color w:val="222222"/>
          <w:kern w:val="0"/>
          <w:sz w:val="24"/>
          <w:szCs w:val="24"/>
          <w:lang w:eastAsia="en-GB"/>
          <w14:ligatures w14:val="none"/>
        </w:rPr>
      </w:pPr>
      <w:r w:rsidRPr="0063164D">
        <w:rPr>
          <w:rFonts w:eastAsia="Times New Roman" w:cstheme="minorHAnsi"/>
          <w:b/>
          <w:bCs/>
          <w:color w:val="222222"/>
          <w:kern w:val="0"/>
          <w:sz w:val="24"/>
          <w:szCs w:val="24"/>
          <w:lang w:eastAsia="en-GB"/>
          <w14:ligatures w14:val="none"/>
        </w:rPr>
        <w:t>F</w:t>
      </w:r>
      <w:r w:rsidR="006A3C7C" w:rsidRPr="0063164D">
        <w:rPr>
          <w:rFonts w:eastAsia="Times New Roman" w:cstheme="minorHAnsi"/>
          <w:b/>
          <w:bCs/>
          <w:color w:val="222222"/>
          <w:kern w:val="0"/>
          <w:sz w:val="24"/>
          <w:szCs w:val="24"/>
          <w:lang w:eastAsia="en-GB"/>
          <w14:ligatures w14:val="none"/>
        </w:rPr>
        <w:t>igure :</w:t>
      </w:r>
      <w:r w:rsidR="007950C8" w:rsidRPr="0063164D">
        <w:rPr>
          <w:rFonts w:eastAsia="Times New Roman" w:cstheme="minorHAnsi"/>
          <w:b/>
          <w:bCs/>
          <w:color w:val="222222"/>
          <w:kern w:val="0"/>
          <w:sz w:val="24"/>
          <w:szCs w:val="24"/>
          <w:lang w:eastAsia="en-GB"/>
          <w14:ligatures w14:val="none"/>
        </w:rPr>
        <w:t>4</w:t>
      </w:r>
      <w:r w:rsidR="00D63F63" w:rsidRPr="0063164D">
        <w:rPr>
          <w:rFonts w:eastAsia="Times New Roman" w:cstheme="minorHAnsi"/>
          <w:b/>
          <w:bCs/>
          <w:color w:val="222222"/>
          <w:kern w:val="0"/>
          <w:sz w:val="24"/>
          <w:szCs w:val="24"/>
          <w:lang w:eastAsia="en-GB"/>
          <w14:ligatures w14:val="none"/>
        </w:rPr>
        <w:t xml:space="preserve"> Expectancies</w:t>
      </w:r>
      <w:r w:rsidR="00B20216" w:rsidRPr="0063164D">
        <w:rPr>
          <w:rFonts w:eastAsia="Times New Roman" w:cstheme="minorHAnsi"/>
          <w:b/>
          <w:bCs/>
          <w:color w:val="222222"/>
          <w:kern w:val="0"/>
          <w:sz w:val="24"/>
          <w:szCs w:val="24"/>
          <w:lang w:eastAsia="en-GB"/>
          <w14:ligatures w14:val="none"/>
        </w:rPr>
        <w:t xml:space="preserve"> in Wales with </w:t>
      </w:r>
      <w:r w:rsidR="001974E8" w:rsidRPr="0063164D">
        <w:rPr>
          <w:rFonts w:eastAsia="Times New Roman" w:cstheme="minorHAnsi"/>
          <w:b/>
          <w:bCs/>
          <w:color w:val="222222"/>
          <w:kern w:val="0"/>
          <w:sz w:val="24"/>
          <w:szCs w:val="24"/>
          <w:lang w:eastAsia="en-GB"/>
          <w14:ligatures w14:val="none"/>
        </w:rPr>
        <w:t>inequality gap profile</w:t>
      </w:r>
      <w:r w:rsidR="001974E8" w:rsidRPr="0063164D">
        <w:rPr>
          <w:rFonts w:eastAsia="Times New Roman" w:cstheme="minorHAnsi"/>
          <w:color w:val="222222"/>
          <w:kern w:val="0"/>
          <w:sz w:val="24"/>
          <w:szCs w:val="24"/>
          <w:lang w:eastAsia="en-GB"/>
          <w14:ligatures w14:val="none"/>
        </w:rPr>
        <w:t>.</w:t>
      </w:r>
      <w:r w:rsidR="00D63F63" w:rsidRPr="0063164D">
        <w:rPr>
          <w:rFonts w:eastAsia="Times New Roman" w:cstheme="minorHAnsi"/>
          <w:color w:val="222222"/>
          <w:kern w:val="0"/>
          <w:sz w:val="24"/>
          <w:szCs w:val="24"/>
          <w:lang w:eastAsia="en-GB"/>
          <w14:ligatures w14:val="none"/>
        </w:rPr>
        <w:t xml:space="preserve"> </w:t>
      </w:r>
      <w:r w:rsidR="00826ED0" w:rsidRPr="0063164D">
        <w:rPr>
          <w:rFonts w:eastAsia="Times New Roman" w:cstheme="minorHAnsi"/>
          <w:color w:val="222222"/>
          <w:kern w:val="0"/>
          <w:sz w:val="24"/>
          <w:szCs w:val="24"/>
          <w:lang w:eastAsia="en-GB"/>
          <w14:ligatures w14:val="none"/>
        </w:rPr>
        <w:t>(Public Health Wales</w:t>
      </w:r>
      <w:r w:rsidR="00746842" w:rsidRPr="0063164D">
        <w:rPr>
          <w:rFonts w:eastAsia="Times New Roman" w:cstheme="minorHAnsi"/>
          <w:color w:val="222222"/>
          <w:kern w:val="0"/>
          <w:sz w:val="24"/>
          <w:szCs w:val="24"/>
          <w:lang w:eastAsia="en-GB"/>
          <w14:ligatures w14:val="none"/>
        </w:rPr>
        <w:t>, 2022).</w:t>
      </w:r>
    </w:p>
    <w:p w14:paraId="679B3850"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In 2020, the number of deaths surged significantly due to COVID-19, which is expected to affect future estimates of life expectancy. From 2018 to 2020, life expectancy in Wales averaged 82 years for women and 78 years for men. This period also marked the lowest life expectancy for females since data collection began in 2011-2013. </w:t>
      </w:r>
    </w:p>
    <w:p w14:paraId="48CC41A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lastRenderedPageBreak/>
        <w:t>During this same time, healthy life expectancy was reported at 62 years for women and 61 years for men. Men experience a higher percentage of their lives in good health, about 78.5%, while women spend approximately 76.0%. </w:t>
      </w:r>
    </w:p>
    <w:p w14:paraId="30F0A388" w14:textId="5785F540" w:rsidR="009B1769" w:rsidRPr="0063164D"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The disparity in life expectancy between the most and least deprived populations in Wales has been steadily increasing in recent years for both genders, reflecting a growing inequality. The gap for men is more than a year greater than that for women. In contrast, the difference in healthy life expectancy has remained constant from 2011-2013 to 2018-2020 for both males and females, although the gap for females exceeds that of males by more than three and a half years (Public Health Wales 2022)</w:t>
      </w:r>
      <w:r w:rsidR="00940283" w:rsidRPr="0063164D">
        <w:rPr>
          <w:rFonts w:eastAsia="Times New Roman" w:cstheme="minorHAnsi"/>
          <w:color w:val="222222"/>
          <w:kern w:val="0"/>
          <w:sz w:val="24"/>
          <w:szCs w:val="24"/>
          <w:lang w:eastAsia="en-GB"/>
          <w14:ligatures w14:val="none"/>
        </w:rPr>
        <w:t>.</w:t>
      </w:r>
    </w:p>
    <w:p w14:paraId="3AA5CD32" w14:textId="1A876309" w:rsidR="00DD04D5" w:rsidRPr="00DD04D5" w:rsidRDefault="009B1769" w:rsidP="0063164D">
      <w:pPr>
        <w:shd w:val="clear" w:color="auto" w:fill="FFFFFF"/>
        <w:spacing w:before="100" w:beforeAutospacing="1" w:after="100" w:afterAutospacing="1" w:line="360" w:lineRule="auto"/>
        <w:rPr>
          <w:rFonts w:eastAsia="Times New Roman" w:cstheme="minorHAnsi"/>
          <w:b/>
          <w:bCs/>
          <w:color w:val="222222"/>
          <w:kern w:val="0"/>
          <w:sz w:val="24"/>
          <w:szCs w:val="24"/>
          <w:lang w:eastAsia="en-GB"/>
          <w14:ligatures w14:val="none"/>
        </w:rPr>
      </w:pPr>
      <w:r w:rsidRPr="0063164D">
        <w:rPr>
          <w:rFonts w:eastAsia="Times New Roman" w:cstheme="minorHAnsi"/>
          <w:b/>
          <w:bCs/>
          <w:color w:val="222222"/>
          <w:kern w:val="0"/>
          <w:sz w:val="24"/>
          <w:szCs w:val="24"/>
          <w:lang w:eastAsia="en-GB"/>
          <w14:ligatures w14:val="none"/>
        </w:rPr>
        <w:t>Equity: the foundation of a fair and prosperous society</w:t>
      </w:r>
      <w:r w:rsidR="008B7574" w:rsidRPr="0063164D">
        <w:rPr>
          <w:rFonts w:eastAsia="Times New Roman" w:cstheme="minorHAnsi"/>
          <w:b/>
          <w:bCs/>
          <w:color w:val="222222"/>
          <w:kern w:val="0"/>
          <w:sz w:val="24"/>
          <w:szCs w:val="24"/>
          <w:lang w:eastAsia="en-GB"/>
          <w14:ligatures w14:val="none"/>
        </w:rPr>
        <w:t>.</w:t>
      </w:r>
    </w:p>
    <w:p w14:paraId="05BDBEB9"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This policy brief is grounded in the belief that health equity is foundational to a fair and prosperous society. Health inequalities impact individuals, entire communities, and the nation’s social and economic well-being (World Health Organization, 2018).  </w:t>
      </w:r>
    </w:p>
    <w:p w14:paraId="5B4A8497" w14:textId="06DD28E5"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Addressing these disparities requires a commitment to tackling the root causes o</w:t>
      </w:r>
      <w:r w:rsidR="007B76EA" w:rsidRPr="0063164D">
        <w:rPr>
          <w:rFonts w:eastAsia="Times New Roman" w:cstheme="minorHAnsi"/>
          <w:color w:val="222222"/>
          <w:kern w:val="0"/>
          <w:sz w:val="24"/>
          <w:szCs w:val="24"/>
          <w:lang w:eastAsia="en-GB"/>
          <w14:ligatures w14:val="none"/>
        </w:rPr>
        <w:t>f</w:t>
      </w:r>
      <w:r w:rsidRPr="00DD04D5">
        <w:rPr>
          <w:rFonts w:eastAsia="Times New Roman" w:cstheme="minorHAnsi"/>
          <w:color w:val="222222"/>
          <w:kern w:val="0"/>
          <w:sz w:val="24"/>
          <w:szCs w:val="24"/>
          <w:lang w:eastAsia="en-GB"/>
          <w14:ligatures w14:val="none"/>
        </w:rPr>
        <w:t xml:space="preserve"> unequal health outcomes, commonly known as the social determinants of health</w:t>
      </w:r>
      <w:r w:rsidR="007B76EA" w:rsidRPr="0063164D">
        <w:rPr>
          <w:rFonts w:eastAsia="Times New Roman" w:cstheme="minorHAnsi"/>
          <w:color w:val="222222"/>
          <w:kern w:val="0"/>
          <w:sz w:val="24"/>
          <w:szCs w:val="24"/>
          <w:lang w:eastAsia="en-GB"/>
          <w14:ligatures w14:val="none"/>
        </w:rPr>
        <w:t>. T</w:t>
      </w:r>
      <w:r w:rsidRPr="00DD04D5">
        <w:rPr>
          <w:rFonts w:eastAsia="Times New Roman" w:cstheme="minorHAnsi"/>
          <w:color w:val="222222"/>
          <w:kern w:val="0"/>
          <w:sz w:val="24"/>
          <w:szCs w:val="24"/>
          <w:lang w:eastAsia="en-GB"/>
          <w14:ligatures w14:val="none"/>
        </w:rPr>
        <w:t>hese include housing, income, education, employment opportunities, and access to social support networks (Marmot,2010). </w:t>
      </w:r>
    </w:p>
    <w:p w14:paraId="54CD7656" w14:textId="5952C450"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Ensuring equitable access to safe, affordable housing is critical, as poor living conditions can exacerbate chronic health issues and limit individuals’ ability to lead healthy lives. Moreover, income inequality direct</w:t>
      </w:r>
      <w:r w:rsidR="007B76EA" w:rsidRPr="0063164D">
        <w:rPr>
          <w:rFonts w:eastAsia="Times New Roman" w:cstheme="minorHAnsi"/>
          <w:color w:val="222222"/>
          <w:kern w:val="0"/>
          <w:sz w:val="24"/>
          <w:szCs w:val="24"/>
          <w:lang w:eastAsia="en-GB"/>
          <w14:ligatures w14:val="none"/>
        </w:rPr>
        <w:t>ly</w:t>
      </w:r>
      <w:r w:rsidRPr="00DD04D5">
        <w:rPr>
          <w:rFonts w:eastAsia="Times New Roman" w:cstheme="minorHAnsi"/>
          <w:color w:val="222222"/>
          <w:kern w:val="0"/>
          <w:sz w:val="24"/>
          <w:szCs w:val="24"/>
          <w:lang w:eastAsia="en-GB"/>
          <w14:ligatures w14:val="none"/>
        </w:rPr>
        <w:t xml:space="preserve"> </w:t>
      </w:r>
      <w:r w:rsidR="007B76EA" w:rsidRPr="0063164D">
        <w:rPr>
          <w:rFonts w:eastAsia="Times New Roman" w:cstheme="minorHAnsi"/>
          <w:color w:val="222222"/>
          <w:kern w:val="0"/>
          <w:sz w:val="24"/>
          <w:szCs w:val="24"/>
          <w:lang w:eastAsia="en-GB"/>
          <w14:ligatures w14:val="none"/>
        </w:rPr>
        <w:t>a</w:t>
      </w:r>
      <w:r w:rsidRPr="00DD04D5">
        <w:rPr>
          <w:rFonts w:eastAsia="Times New Roman" w:cstheme="minorHAnsi"/>
          <w:color w:val="222222"/>
          <w:kern w:val="0"/>
          <w:sz w:val="24"/>
          <w:szCs w:val="24"/>
          <w:lang w:eastAsia="en-GB"/>
          <w14:ligatures w14:val="none"/>
        </w:rPr>
        <w:t>ffect</w:t>
      </w:r>
      <w:r w:rsidR="007B76EA" w:rsidRPr="0063164D">
        <w:rPr>
          <w:rFonts w:eastAsia="Times New Roman" w:cstheme="minorHAnsi"/>
          <w:color w:val="222222"/>
          <w:kern w:val="0"/>
          <w:sz w:val="24"/>
          <w:szCs w:val="24"/>
          <w:lang w:eastAsia="en-GB"/>
          <w14:ligatures w14:val="none"/>
        </w:rPr>
        <w:t>s</w:t>
      </w:r>
      <w:r w:rsidRPr="00DD04D5">
        <w:rPr>
          <w:rFonts w:eastAsia="Times New Roman" w:cstheme="minorHAnsi"/>
          <w:color w:val="222222"/>
          <w:kern w:val="0"/>
          <w:sz w:val="24"/>
          <w:szCs w:val="24"/>
          <w:lang w:eastAsia="en-GB"/>
          <w14:ligatures w14:val="none"/>
        </w:rPr>
        <w:t xml:space="preserve"> health, as lower-income individuals often face barriers to quality healthcare, nutritious food, and safe environments (Public Health Wales, 2021). Education also plays a crucial role, as higher levels of education are associated with better health outcomes and increased health literacy, enabling individuals to make informed health decisions (Marmot, 2010). </w:t>
      </w:r>
    </w:p>
    <w:p w14:paraId="6941A724"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 xml:space="preserve">This policy brief advocates for the Welsh Government to prioritize and invest in strategies that promote fair access to healthcare, with a strong focus on addressing the specific needs of rural and ethnic minority communities. People in rural areas often face significant challenges in accessing healthcare services due to distance, lack of public transportation, </w:t>
      </w:r>
      <w:r w:rsidRPr="00DD04D5">
        <w:rPr>
          <w:rFonts w:eastAsia="Times New Roman" w:cstheme="minorHAnsi"/>
          <w:color w:val="222222"/>
          <w:kern w:val="0"/>
          <w:sz w:val="24"/>
          <w:szCs w:val="24"/>
          <w:lang w:eastAsia="en-GB"/>
          <w14:ligatures w14:val="none"/>
        </w:rPr>
        <w:lastRenderedPageBreak/>
        <w:t>and a shortage of healthcare providers (Welsh Government,2020). Ethnic minority communities in Wales face additional barriers, including cultural and language differences, which may hinder their ability to access and navigate healthcare services effectively (Office for National Statistics, 2021). Recognizing and addressing these unique needs is essential to fostering an inclusive healthcare system that serves all citizens. </w:t>
      </w:r>
    </w:p>
    <w:p w14:paraId="16B6117B"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By adopting policies targeting these social determinants and allocating resources where needed most, the Welsh Government can work towards reducing health disparities, building healthier communities, and creating a more equitable society for future generations (Welsh Government, 2015). </w:t>
      </w:r>
    </w:p>
    <w:p w14:paraId="61C969C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b/>
          <w:bCs/>
          <w:kern w:val="0"/>
          <w:sz w:val="24"/>
          <w:szCs w:val="24"/>
          <w:lang w:eastAsia="en-GB"/>
          <w14:ligatures w14:val="none"/>
        </w:rPr>
      </w:pPr>
      <w:r w:rsidRPr="00DD04D5">
        <w:rPr>
          <w:rFonts w:eastAsia="Times New Roman" w:cstheme="minorHAnsi"/>
          <w:color w:val="222222"/>
          <w:kern w:val="0"/>
          <w:sz w:val="24"/>
          <w:szCs w:val="24"/>
          <w:lang w:eastAsia="en-GB"/>
          <w14:ligatures w14:val="none"/>
        </w:rPr>
        <w:t> </w:t>
      </w:r>
      <w:r w:rsidRPr="00DD04D5">
        <w:rPr>
          <w:rFonts w:eastAsia="Times New Roman" w:cstheme="minorHAnsi"/>
          <w:b/>
          <w:bCs/>
          <w:color w:val="222222"/>
          <w:kern w:val="0"/>
          <w:sz w:val="24"/>
          <w:szCs w:val="24"/>
          <w:lang w:eastAsia="en-GB"/>
          <w14:ligatures w14:val="none"/>
        </w:rPr>
        <w:t>Recommendations </w:t>
      </w:r>
    </w:p>
    <w:p w14:paraId="06EB1BA9"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To effectively address health inequalities and disparities in Wales, the following recommendations are proposed: </w:t>
      </w:r>
    </w:p>
    <w:p w14:paraId="0490D041"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 </w:t>
      </w:r>
      <w:r w:rsidRPr="00DD04D5">
        <w:rPr>
          <w:rFonts w:eastAsia="Times New Roman" w:cstheme="minorHAnsi"/>
          <w:b/>
          <w:bCs/>
          <w:color w:val="222222"/>
          <w:kern w:val="0"/>
          <w:sz w:val="24"/>
          <w:szCs w:val="24"/>
          <w:lang w:eastAsia="en-GB"/>
          <w14:ligatures w14:val="none"/>
        </w:rPr>
        <w:t>Increase Funding for Health Services in Deprived Areas</w:t>
      </w:r>
      <w:r w:rsidRPr="00DD04D5">
        <w:rPr>
          <w:rFonts w:eastAsia="Times New Roman" w:cstheme="minorHAnsi"/>
          <w:color w:val="222222"/>
          <w:kern w:val="0"/>
          <w:sz w:val="24"/>
          <w:szCs w:val="24"/>
          <w:lang w:eastAsia="en-GB"/>
          <w14:ligatures w14:val="none"/>
        </w:rPr>
        <w:t>: The Welsh Government should prioritize expanding healthcare access in rural areas to reduce health disparities. Residents in these regions face significant challenges in obtaining timely care, which contributes to inequalities in health outcomes. Mobile health units, which can bring primary care directly to rural communities, along with telemedicine services for remote consultations, would alleviate these barriers. Such investments would enhance access to basic and specialized healthcare, ensuring that all Welsh residents receive necessary services regardless of location (Public Health Wales, 2021). </w:t>
      </w:r>
    </w:p>
    <w:p w14:paraId="4292076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Implementing comprehensive health education programs</w:t>
      </w:r>
      <w:r w:rsidRPr="00DD04D5">
        <w:rPr>
          <w:rFonts w:eastAsia="Times New Roman" w:cstheme="minorHAnsi"/>
          <w:color w:val="222222"/>
          <w:kern w:val="0"/>
          <w:sz w:val="24"/>
          <w:szCs w:val="24"/>
          <w:lang w:eastAsia="en-GB"/>
          <w14:ligatures w14:val="none"/>
        </w:rPr>
        <w:t xml:space="preserve">: Tailored health education programs that address the specific needs of diverse populations can help improve health literacy and encourage preventative care. The program should be culturally sensitive to all communities, particularly minority ethnic groups. Evidence indicates that health education significantly impacts health </w:t>
      </w:r>
      <w:proofErr w:type="spellStart"/>
      <w:r w:rsidRPr="00DD04D5">
        <w:rPr>
          <w:rFonts w:eastAsia="Times New Roman" w:cstheme="minorHAnsi"/>
          <w:color w:val="222222"/>
          <w:kern w:val="0"/>
          <w:sz w:val="24"/>
          <w:szCs w:val="24"/>
          <w:lang w:eastAsia="en-GB"/>
          <w14:ligatures w14:val="none"/>
        </w:rPr>
        <w:t>behaviors</w:t>
      </w:r>
      <w:proofErr w:type="spellEnd"/>
      <w:r w:rsidRPr="00DD04D5">
        <w:rPr>
          <w:rFonts w:eastAsia="Times New Roman" w:cstheme="minorHAnsi"/>
          <w:color w:val="222222"/>
          <w:kern w:val="0"/>
          <w:sz w:val="24"/>
          <w:szCs w:val="24"/>
          <w:lang w:eastAsia="en-GB"/>
          <w14:ligatures w14:val="none"/>
        </w:rPr>
        <w:t xml:space="preserve"> and outcomes, reinforcing the importance of equitable health access (National Health Service England, 2024). </w:t>
      </w:r>
    </w:p>
    <w:p w14:paraId="77321629"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Enhance Transportation Service for Rural Communities</w:t>
      </w:r>
      <w:r w:rsidRPr="00DD04D5">
        <w:rPr>
          <w:rFonts w:eastAsia="Times New Roman" w:cstheme="minorHAnsi"/>
          <w:color w:val="222222"/>
          <w:kern w:val="0"/>
          <w:sz w:val="24"/>
          <w:szCs w:val="24"/>
          <w:lang w:eastAsia="en-GB"/>
          <w14:ligatures w14:val="none"/>
        </w:rPr>
        <w:t xml:space="preserve">: Improving transportation options for rural residents can facilitate access to healthcare services. Initiatives such as community </w:t>
      </w:r>
      <w:r w:rsidRPr="00DD04D5">
        <w:rPr>
          <w:rFonts w:eastAsia="Times New Roman" w:cstheme="minorHAnsi"/>
          <w:color w:val="222222"/>
          <w:kern w:val="0"/>
          <w:sz w:val="24"/>
          <w:szCs w:val="24"/>
          <w:lang w:eastAsia="en-GB"/>
          <w14:ligatures w14:val="none"/>
        </w:rPr>
        <w:lastRenderedPageBreak/>
        <w:t>transport schemes or telehealth services can bridge the gap for individuals living in remote areas. Accessible transportation options correlate with higher healthcare utilization rates, supporting the belief that everyone should have the means to seek medical care (Bright et al., 2021). </w:t>
      </w:r>
    </w:p>
    <w:p w14:paraId="578921BF"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 xml:space="preserve">Expand Access to Mental Health Services: </w:t>
      </w:r>
      <w:r w:rsidRPr="00DD04D5">
        <w:rPr>
          <w:rFonts w:eastAsia="Times New Roman" w:cstheme="minorHAnsi"/>
          <w:color w:val="222222"/>
          <w:kern w:val="0"/>
          <w:sz w:val="24"/>
          <w:szCs w:val="24"/>
          <w:lang w:eastAsia="en-GB"/>
          <w14:ligatures w14:val="none"/>
        </w:rPr>
        <w:t>Promoting preventive healthcare programs is vital for reducing long-term healthcare costs and health inequalities. Public health campaigns focusing on smoking cessation, physical activity, and eating should be expanded, particularly in deprived areas. Additionally, mental health support services must be prioritized, with early intervention initiatives implemented in schools and workplaces. Such preventive measures would significantly improve health outcomes in low-income communities, lessening the overall burden on the healthcare system.  </w:t>
      </w:r>
    </w:p>
    <w:p w14:paraId="42E08A28"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 xml:space="preserve">Social determinants of health: </w:t>
      </w:r>
      <w:r w:rsidRPr="00DD04D5">
        <w:rPr>
          <w:rFonts w:eastAsia="Times New Roman" w:cstheme="minorHAnsi"/>
          <w:color w:val="222222"/>
          <w:kern w:val="0"/>
          <w:sz w:val="24"/>
          <w:szCs w:val="24"/>
          <w:lang w:eastAsia="en-GB"/>
          <w14:ligatures w14:val="none"/>
        </w:rPr>
        <w:t>Addressing socioeconomic determinants of health is equally critical, as poverty remains a primary driver of health inequalities in Wales. Increasing funding for community-based health initiatives, particularly those supporting low-income families, is essential. The Welsh Government could alleviate health risks by offering subsidies for healthy food, and diet-related chronic conditions. Additionally, expanding affordable housing projects would improve vulnerable households' living conditions, reducing the risks linked to substandard housing (World Health Organization,2024). </w:t>
      </w:r>
    </w:p>
    <w:p w14:paraId="3B20FE58"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b/>
          <w:bCs/>
          <w:kern w:val="0"/>
          <w:sz w:val="24"/>
          <w:szCs w:val="24"/>
          <w:lang w:eastAsia="en-GB"/>
          <w14:ligatures w14:val="none"/>
        </w:rPr>
      </w:pPr>
      <w:r w:rsidRPr="00DD04D5">
        <w:rPr>
          <w:rFonts w:eastAsia="Times New Roman" w:cstheme="minorHAnsi"/>
          <w:b/>
          <w:bCs/>
          <w:color w:val="222222"/>
          <w:kern w:val="0"/>
          <w:sz w:val="24"/>
          <w:szCs w:val="24"/>
          <w:lang w:eastAsia="en-GB"/>
          <w14:ligatures w14:val="none"/>
        </w:rPr>
        <w:t>Conclusion  </w:t>
      </w:r>
    </w:p>
    <w:p w14:paraId="71DE48C1" w14:textId="2FF6F09D"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r w:rsidRPr="00DD04D5">
        <w:rPr>
          <w:rFonts w:eastAsia="Times New Roman" w:cstheme="minorHAnsi"/>
          <w:color w:val="222222"/>
          <w:kern w:val="0"/>
          <w:sz w:val="24"/>
          <w:szCs w:val="24"/>
          <w:lang w:eastAsia="en-GB"/>
          <w14:ligatures w14:val="none"/>
        </w:rPr>
        <w:t>Addressing health inequalities and disparities in Wales is a pressing concern that demands immediate attention and action. By understanding the key factors contributing to these disparities and implementing targeted policy changes, Wales can foster a healthier, more equitable society. The proposed recommendations aim to mitigate health inequalities and improve health outcomes for all residents, ensuring everyone can lead a healthy and fulfilling life.  </w:t>
      </w:r>
    </w:p>
    <w:p w14:paraId="779A10A4"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r w:rsidRPr="00DD04D5">
        <w:rPr>
          <w:rFonts w:eastAsia="Times New Roman" w:cstheme="minorHAnsi"/>
          <w:b/>
          <w:bCs/>
          <w:kern w:val="0"/>
          <w:sz w:val="24"/>
          <w:szCs w:val="24"/>
          <w:lang w:eastAsia="en-GB"/>
          <w14:ligatures w14:val="none"/>
        </w:rPr>
        <w:t>References</w:t>
      </w:r>
      <w:r w:rsidRPr="00DD04D5">
        <w:rPr>
          <w:rFonts w:eastAsia="Times New Roman" w:cstheme="minorHAnsi"/>
          <w:kern w:val="0"/>
          <w:sz w:val="24"/>
          <w:szCs w:val="24"/>
          <w:lang w:eastAsia="en-GB"/>
          <w14:ligatures w14:val="none"/>
        </w:rPr>
        <w:t> </w:t>
      </w:r>
    </w:p>
    <w:p w14:paraId="20C8C8A6" w14:textId="3F8C0C68" w:rsidR="00DD04D5" w:rsidRPr="00DD04D5" w:rsidRDefault="00DD04D5" w:rsidP="0063164D">
      <w:pPr>
        <w:spacing w:after="0" w:line="360" w:lineRule="auto"/>
        <w:ind w:left="720" w:hanging="720"/>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lastRenderedPageBreak/>
        <w:t>Braveman P., Gottlieb, L.</w:t>
      </w:r>
      <w:r w:rsidR="00305FFA" w:rsidRPr="0063164D">
        <w:rPr>
          <w:rFonts w:eastAsia="Times New Roman" w:cstheme="minorHAnsi"/>
          <w:kern w:val="0"/>
          <w:sz w:val="24"/>
          <w:szCs w:val="24"/>
          <w:lang w:eastAsia="en-GB"/>
          <w14:ligatures w14:val="none"/>
        </w:rPr>
        <w:t xml:space="preserve"> </w:t>
      </w:r>
      <w:r w:rsidRPr="00DD04D5">
        <w:rPr>
          <w:rFonts w:eastAsia="Times New Roman" w:cstheme="minorHAnsi"/>
          <w:kern w:val="0"/>
          <w:sz w:val="24"/>
          <w:szCs w:val="24"/>
          <w:lang w:eastAsia="en-GB"/>
          <w14:ligatures w14:val="none"/>
        </w:rPr>
        <w:t xml:space="preserve">(2014) ‘The social determinants of health: It’s Time to Consider the causes of the causes’, </w:t>
      </w:r>
      <w:r w:rsidRPr="00DD04D5">
        <w:rPr>
          <w:rFonts w:eastAsia="Times New Roman" w:cstheme="minorHAnsi"/>
          <w:i/>
          <w:iCs/>
          <w:kern w:val="0"/>
          <w:sz w:val="24"/>
          <w:szCs w:val="24"/>
          <w:lang w:eastAsia="en-GB"/>
          <w14:ligatures w14:val="none"/>
        </w:rPr>
        <w:t>Public Health Reports,</w:t>
      </w:r>
      <w:r w:rsidRPr="00DD04D5">
        <w:rPr>
          <w:rFonts w:eastAsia="Times New Roman" w:cstheme="minorHAnsi"/>
          <w:kern w:val="0"/>
          <w:sz w:val="24"/>
          <w:szCs w:val="24"/>
          <w:lang w:eastAsia="en-GB"/>
          <w14:ligatures w14:val="none"/>
        </w:rPr>
        <w:t xml:space="preserve"> (2) pp. 19-31. DOI: </w:t>
      </w:r>
      <w:hyperlink r:id="rId12" w:tgtFrame="_blank" w:history="1">
        <w:r w:rsidRPr="00DD04D5">
          <w:rPr>
            <w:rFonts w:eastAsia="Times New Roman" w:cstheme="minorHAnsi"/>
            <w:color w:val="0563C1"/>
            <w:kern w:val="0"/>
            <w:sz w:val="24"/>
            <w:szCs w:val="24"/>
            <w:u w:val="single"/>
            <w:lang w:eastAsia="en-GB"/>
            <w14:ligatures w14:val="none"/>
          </w:rPr>
          <w:t>10.1177/00333549141291S206</w:t>
        </w:r>
      </w:hyperlink>
      <w:r w:rsidRPr="00DD04D5">
        <w:rPr>
          <w:rFonts w:eastAsia="Times New Roman" w:cstheme="minorHAnsi"/>
          <w:kern w:val="0"/>
          <w:sz w:val="24"/>
          <w:szCs w:val="24"/>
          <w:lang w:eastAsia="en-GB"/>
          <w14:ligatures w14:val="none"/>
        </w:rPr>
        <w:t> </w:t>
      </w:r>
    </w:p>
    <w:p w14:paraId="2855F82C" w14:textId="22EB3B5F" w:rsidR="00205CCF" w:rsidRPr="0063164D" w:rsidRDefault="00DD04D5" w:rsidP="0063164D">
      <w:pPr>
        <w:shd w:val="clear" w:color="auto" w:fill="FFFFFF"/>
        <w:spacing w:beforeAutospacing="1" w:after="0" w:afterAutospacing="1" w:line="360" w:lineRule="auto"/>
        <w:ind w:left="720" w:hanging="720"/>
        <w:textAlignment w:val="baseline"/>
        <w:rPr>
          <w:rFonts w:eastAsia="Times New Roman" w:cstheme="minorHAnsi"/>
          <w:kern w:val="0"/>
          <w:sz w:val="24"/>
          <w:szCs w:val="24"/>
          <w:lang w:eastAsia="en-GB"/>
          <w14:ligatures w14:val="none"/>
        </w:rPr>
      </w:pPr>
      <w:r w:rsidRPr="00DD04D5">
        <w:rPr>
          <w:rFonts w:eastAsia="Times New Roman" w:cstheme="minorHAnsi"/>
          <w:color w:val="000000"/>
          <w:kern w:val="0"/>
          <w:sz w:val="24"/>
          <w:szCs w:val="24"/>
          <w:lang w:eastAsia="en-GB"/>
          <w14:ligatures w14:val="none"/>
        </w:rPr>
        <w:t xml:space="preserve">Bright, D., Hodgson K., Preece, E., Davies, A., R. (2021) </w:t>
      </w:r>
      <w:r w:rsidRPr="00DD04D5">
        <w:rPr>
          <w:rFonts w:eastAsia="Times New Roman" w:cstheme="minorHAnsi"/>
          <w:i/>
          <w:iCs/>
          <w:color w:val="000000"/>
          <w:kern w:val="0"/>
          <w:sz w:val="24"/>
          <w:szCs w:val="24"/>
          <w:lang w:eastAsia="en-GB"/>
          <w14:ligatures w14:val="none"/>
        </w:rPr>
        <w:t xml:space="preserve">Use of the internet and digital technology to manage health in Wales: Past, current, and future preferences. </w:t>
      </w:r>
      <w:r w:rsidRPr="00DD04D5">
        <w:rPr>
          <w:rFonts w:eastAsia="Times New Roman" w:cstheme="minorHAnsi"/>
          <w:color w:val="000000"/>
          <w:kern w:val="0"/>
          <w:sz w:val="24"/>
          <w:szCs w:val="24"/>
          <w:lang w:eastAsia="en-GB"/>
          <w14:ligatures w14:val="none"/>
        </w:rPr>
        <w:t xml:space="preserve">Available at: </w:t>
      </w:r>
      <w:hyperlink r:id="rId13" w:tgtFrame="_blank" w:history="1">
        <w:r w:rsidRPr="00DD04D5">
          <w:rPr>
            <w:rFonts w:eastAsia="Times New Roman" w:cstheme="minorHAnsi"/>
            <w:color w:val="0563C1"/>
            <w:kern w:val="0"/>
            <w:sz w:val="24"/>
            <w:szCs w:val="24"/>
            <w:u w:val="single"/>
            <w:lang w:eastAsia="en-GB"/>
            <w14:ligatures w14:val="none"/>
          </w:rPr>
          <w:t>https://phw.nhs.wales/news/proportion-of-people-using-the-internet-frequently-to-</w:t>
        </w:r>
      </w:hyperlink>
      <w:r w:rsidRPr="00DD04D5">
        <w:rPr>
          <w:rFonts w:eastAsia="Times New Roman" w:cstheme="minorHAnsi"/>
          <w:kern w:val="0"/>
          <w:sz w:val="24"/>
          <w:szCs w:val="24"/>
          <w:lang w:eastAsia="en-GB"/>
          <w14:ligatures w14:val="none"/>
        </w:rPr>
        <w:t>(Accessed: 25 October 2024) </w:t>
      </w:r>
    </w:p>
    <w:p w14:paraId="72C6D82F" w14:textId="3C87B0DF" w:rsidR="00205CCF" w:rsidRPr="0063164D" w:rsidRDefault="00205CCF" w:rsidP="0063164D">
      <w:pPr>
        <w:spacing w:after="0" w:line="360" w:lineRule="auto"/>
        <w:ind w:left="720" w:hanging="720"/>
        <w:textAlignment w:val="baseline"/>
        <w:rPr>
          <w:rFonts w:eastAsia="Times New Roman" w:cstheme="minorHAnsi"/>
          <w:kern w:val="0"/>
          <w:sz w:val="24"/>
          <w:szCs w:val="24"/>
          <w:lang w:eastAsia="en-GB"/>
          <w14:ligatures w14:val="none"/>
        </w:rPr>
      </w:pPr>
      <w:r w:rsidRPr="00DD04D5">
        <w:rPr>
          <w:rFonts w:eastAsia="Times New Roman" w:cstheme="minorHAnsi"/>
          <w:color w:val="1B1B1B"/>
          <w:kern w:val="0"/>
          <w:sz w:val="24"/>
          <w:szCs w:val="24"/>
          <w:shd w:val="clear" w:color="auto" w:fill="FFFFFF"/>
          <w:lang w:eastAsia="en-GB"/>
          <w14:ligatures w14:val="none"/>
        </w:rPr>
        <w:t xml:space="preserve">Dixon. A., Grand, J., Le., Henderson, J., Murray, R., </w:t>
      </w:r>
      <w:proofErr w:type="spellStart"/>
      <w:r w:rsidRPr="00DD04D5">
        <w:rPr>
          <w:rFonts w:eastAsia="Times New Roman" w:cstheme="minorHAnsi"/>
          <w:color w:val="1B1B1B"/>
          <w:kern w:val="0"/>
          <w:sz w:val="24"/>
          <w:szCs w:val="24"/>
          <w:shd w:val="clear" w:color="auto" w:fill="FFFFFF"/>
          <w:lang w:eastAsia="en-GB"/>
          <w14:ligatures w14:val="none"/>
        </w:rPr>
        <w:t>Poteliakhoff</w:t>
      </w:r>
      <w:proofErr w:type="spellEnd"/>
      <w:r w:rsidRPr="00DD04D5">
        <w:rPr>
          <w:rFonts w:eastAsia="Times New Roman" w:cstheme="minorHAnsi"/>
          <w:color w:val="1B1B1B"/>
          <w:kern w:val="0"/>
          <w:sz w:val="24"/>
          <w:szCs w:val="24"/>
          <w:shd w:val="clear" w:color="auto" w:fill="FFFFFF"/>
          <w:lang w:eastAsia="en-GB"/>
          <w14:ligatures w14:val="none"/>
        </w:rPr>
        <w:t xml:space="preserve">, E. (2007) ‘Is the British National Health Service equitable? The evidence of socioeconomic differences in utilization’, </w:t>
      </w:r>
      <w:r w:rsidRPr="00DD04D5">
        <w:rPr>
          <w:rFonts w:eastAsia="Times New Roman" w:cstheme="minorHAnsi"/>
          <w:i/>
          <w:iCs/>
          <w:color w:val="1B1B1B"/>
          <w:kern w:val="0"/>
          <w:sz w:val="24"/>
          <w:szCs w:val="24"/>
          <w:shd w:val="clear" w:color="auto" w:fill="FFFFFF"/>
          <w:lang w:eastAsia="en-GB"/>
          <w14:ligatures w14:val="none"/>
        </w:rPr>
        <w:t xml:space="preserve">Journal of Health Services, Research and Policy, </w:t>
      </w:r>
      <w:r w:rsidRPr="00DD04D5">
        <w:rPr>
          <w:rFonts w:eastAsia="Times New Roman" w:cstheme="minorHAnsi"/>
          <w:color w:val="1B1B1B"/>
          <w:kern w:val="0"/>
          <w:sz w:val="24"/>
          <w:szCs w:val="24"/>
          <w:shd w:val="clear" w:color="auto" w:fill="FFFFFF"/>
          <w:lang w:eastAsia="en-GB"/>
          <w14:ligatures w14:val="none"/>
        </w:rPr>
        <w:t>12(2) pp. 104-9. DOI: DOI: </w:t>
      </w:r>
      <w:hyperlink r:id="rId14" w:tgtFrame="_blank" w:history="1">
        <w:r w:rsidRPr="00DD04D5">
          <w:rPr>
            <w:rFonts w:eastAsia="Times New Roman" w:cstheme="minorHAnsi"/>
            <w:color w:val="0563C1"/>
            <w:kern w:val="0"/>
            <w:sz w:val="24"/>
            <w:szCs w:val="24"/>
            <w:u w:val="single"/>
            <w:shd w:val="clear" w:color="auto" w:fill="FFFFFF"/>
            <w:lang w:eastAsia="en-GB"/>
            <w14:ligatures w14:val="none"/>
          </w:rPr>
          <w:t>10.1258/135581907780279549</w:t>
        </w:r>
      </w:hyperlink>
      <w:r w:rsidRPr="00DD04D5">
        <w:rPr>
          <w:rFonts w:eastAsia="Times New Roman" w:cstheme="minorHAnsi"/>
          <w:color w:val="1B1B1B"/>
          <w:kern w:val="0"/>
          <w:sz w:val="24"/>
          <w:szCs w:val="24"/>
          <w:lang w:eastAsia="en-GB"/>
          <w14:ligatures w14:val="none"/>
        </w:rPr>
        <w:t> </w:t>
      </w:r>
    </w:p>
    <w:p w14:paraId="281C033D" w14:textId="77777777" w:rsidR="00437C90" w:rsidRPr="0063164D" w:rsidRDefault="00437C90" w:rsidP="0063164D">
      <w:pPr>
        <w:pStyle w:val="NormalWeb"/>
        <w:shd w:val="clear" w:color="auto" w:fill="FFFFFF"/>
        <w:spacing w:line="360" w:lineRule="auto"/>
        <w:rPr>
          <w:rFonts w:asciiTheme="minorHAnsi" w:hAnsiTheme="minorHAnsi" w:cstheme="minorHAnsi"/>
          <w:i/>
          <w:iCs/>
        </w:rPr>
      </w:pPr>
      <w:r w:rsidRPr="0063164D">
        <w:rPr>
          <w:rFonts w:asciiTheme="minorHAnsi" w:hAnsiTheme="minorHAnsi" w:cstheme="minorHAnsi"/>
        </w:rPr>
        <w:t> Equality and Human Rights Commission</w:t>
      </w:r>
      <w:r w:rsidRPr="0063164D">
        <w:rPr>
          <w:rFonts w:asciiTheme="minorHAnsi" w:hAnsiTheme="minorHAnsi" w:cstheme="minorHAnsi"/>
          <w:i/>
          <w:iCs/>
        </w:rPr>
        <w:t xml:space="preserve"> (2018) Is Wales Fairer? The state of equality and human rights 2018, Cardiff.</w:t>
      </w:r>
    </w:p>
    <w:p w14:paraId="70FEB275" w14:textId="68097A70" w:rsidR="00437C90" w:rsidRPr="00DD04D5" w:rsidRDefault="00437C90" w:rsidP="0063164D">
      <w:pPr>
        <w:pStyle w:val="NormalWeb"/>
        <w:shd w:val="clear" w:color="auto" w:fill="FFFFFF"/>
        <w:spacing w:line="360" w:lineRule="auto"/>
        <w:rPr>
          <w:rFonts w:asciiTheme="minorHAnsi" w:hAnsiTheme="minorHAnsi" w:cstheme="minorHAnsi"/>
          <w:i/>
          <w:iCs/>
        </w:rPr>
      </w:pPr>
      <w:r w:rsidRPr="0063164D">
        <w:rPr>
          <w:rFonts w:asciiTheme="minorHAnsi" w:hAnsiTheme="minorHAnsi" w:cstheme="minorHAnsi"/>
        </w:rPr>
        <w:t>Equality and Human Rights Commission (2020)</w:t>
      </w:r>
      <w:r w:rsidRPr="0063164D">
        <w:rPr>
          <w:rFonts w:asciiTheme="minorHAnsi" w:hAnsiTheme="minorHAnsi" w:cstheme="minorHAnsi"/>
          <w:i/>
          <w:iCs/>
        </w:rPr>
        <w:t xml:space="preserve"> Rebuilding a more equal and fairer Wales: ELGC Committee response, Cardiff.</w:t>
      </w:r>
    </w:p>
    <w:p w14:paraId="3036B9F9" w14:textId="77777777" w:rsidR="00DD04D5" w:rsidRPr="0063164D" w:rsidRDefault="00DD04D5" w:rsidP="0063164D">
      <w:pPr>
        <w:shd w:val="clear" w:color="auto" w:fill="FFFFFF"/>
        <w:spacing w:beforeAutospacing="1" w:after="0" w:afterAutospacing="1" w:line="360" w:lineRule="auto"/>
        <w:ind w:left="720" w:hanging="720"/>
        <w:textAlignment w:val="baseline"/>
        <w:rPr>
          <w:rFonts w:eastAsia="Times New Roman" w:cstheme="minorHAnsi"/>
          <w:i/>
          <w:iCs/>
          <w:kern w:val="0"/>
          <w:sz w:val="24"/>
          <w:szCs w:val="24"/>
          <w:lang w:eastAsia="en-GB"/>
          <w14:ligatures w14:val="none"/>
        </w:rPr>
      </w:pPr>
      <w:r w:rsidRPr="00DD04D5">
        <w:rPr>
          <w:rFonts w:eastAsia="Times New Roman" w:cstheme="minorHAnsi"/>
          <w:color w:val="1B1B1B"/>
          <w:kern w:val="0"/>
          <w:sz w:val="24"/>
          <w:szCs w:val="24"/>
          <w:shd w:val="clear" w:color="auto" w:fill="FFFFFF"/>
          <w:lang w:eastAsia="en-GB"/>
          <w14:ligatures w14:val="none"/>
        </w:rPr>
        <w:t>Hatch, S., Woodhead, C., Moriarty, Jo., Rhead, R., Connor, L., (2021)</w:t>
      </w:r>
      <w:r w:rsidRPr="00DD04D5">
        <w:rPr>
          <w:rFonts w:eastAsia="Times New Roman" w:cstheme="minorHAnsi"/>
          <w:i/>
          <w:iCs/>
          <w:color w:val="1B1B1B"/>
          <w:kern w:val="0"/>
          <w:sz w:val="24"/>
          <w:szCs w:val="24"/>
          <w:shd w:val="clear" w:color="auto" w:fill="FFFFFF"/>
          <w:lang w:eastAsia="en-GB"/>
          <w14:ligatures w14:val="none"/>
        </w:rPr>
        <w:t xml:space="preserve"> Improving Race Equality in Health and Social Care.</w:t>
      </w:r>
      <w:r w:rsidRPr="00DD04D5">
        <w:rPr>
          <w:rFonts w:eastAsia="Times New Roman" w:cstheme="minorHAnsi"/>
          <w:color w:val="1B1B1B"/>
          <w:kern w:val="0"/>
          <w:sz w:val="24"/>
          <w:szCs w:val="24"/>
          <w:shd w:val="clear" w:color="auto" w:fill="FFFFFF"/>
          <w:lang w:eastAsia="en-GB"/>
          <w14:ligatures w14:val="none"/>
        </w:rPr>
        <w:t xml:space="preserve"> Available at: </w:t>
      </w:r>
      <w:hyperlink r:id="rId15" w:tgtFrame="_blank" w:history="1">
        <w:r w:rsidRPr="00DD04D5">
          <w:rPr>
            <w:rFonts w:eastAsia="Times New Roman" w:cstheme="minorHAnsi"/>
            <w:color w:val="0563C1"/>
            <w:kern w:val="0"/>
            <w:sz w:val="24"/>
            <w:szCs w:val="24"/>
            <w:u w:val="single"/>
            <w:shd w:val="clear" w:color="auto" w:fill="FFFFFF"/>
            <w:lang w:eastAsia="en-GB"/>
            <w14:ligatures w14:val="none"/>
          </w:rPr>
          <w:t>https://www.wcpp.org.uk/wp-content/uploads/2021/03/Improving-Race-Equality-in-Health-and-Social-Care.pdf</w:t>
        </w:r>
      </w:hyperlink>
      <w:r w:rsidRPr="00DD04D5">
        <w:rPr>
          <w:rFonts w:eastAsia="Times New Roman" w:cstheme="minorHAnsi"/>
          <w:color w:val="0563C1"/>
          <w:kern w:val="0"/>
          <w:sz w:val="24"/>
          <w:szCs w:val="24"/>
          <w:u w:val="single"/>
          <w:shd w:val="clear" w:color="auto" w:fill="FFFFFF"/>
          <w:lang w:eastAsia="en-GB"/>
          <w14:ligatures w14:val="none"/>
        </w:rPr>
        <w:t xml:space="preserve"> </w:t>
      </w:r>
      <w:r w:rsidRPr="00DD04D5">
        <w:rPr>
          <w:rFonts w:eastAsia="Times New Roman" w:cstheme="minorHAnsi"/>
          <w:i/>
          <w:iCs/>
          <w:kern w:val="0"/>
          <w:sz w:val="24"/>
          <w:szCs w:val="24"/>
          <w:shd w:val="clear" w:color="auto" w:fill="FFFFFF"/>
          <w:lang w:eastAsia="en-GB"/>
          <w14:ligatures w14:val="none"/>
        </w:rPr>
        <w:t>(Accessed: 20 October 2024)</w:t>
      </w:r>
      <w:r w:rsidRPr="00DD04D5">
        <w:rPr>
          <w:rFonts w:eastAsia="Times New Roman" w:cstheme="minorHAnsi"/>
          <w:i/>
          <w:iCs/>
          <w:kern w:val="0"/>
          <w:sz w:val="24"/>
          <w:szCs w:val="24"/>
          <w:lang w:eastAsia="en-GB"/>
          <w14:ligatures w14:val="none"/>
        </w:rPr>
        <w:t> </w:t>
      </w:r>
    </w:p>
    <w:p w14:paraId="17621150" w14:textId="7453BAD5" w:rsidR="00643C9C" w:rsidRPr="0063164D" w:rsidRDefault="009F52E0" w:rsidP="0063164D">
      <w:pPr>
        <w:shd w:val="clear" w:color="auto" w:fill="FFFFFF"/>
        <w:spacing w:beforeAutospacing="1" w:after="0" w:afterAutospacing="1" w:line="360" w:lineRule="auto"/>
        <w:ind w:left="720" w:hanging="720"/>
        <w:textAlignment w:val="baseline"/>
        <w:rPr>
          <w:rFonts w:eastAsia="Times New Roman" w:cstheme="minorHAnsi"/>
          <w:i/>
          <w:iCs/>
          <w:kern w:val="0"/>
          <w:sz w:val="24"/>
          <w:szCs w:val="24"/>
          <w:lang w:eastAsia="en-GB"/>
          <w14:ligatures w14:val="none"/>
        </w:rPr>
      </w:pPr>
      <w:proofErr w:type="spellStart"/>
      <w:r w:rsidRPr="0063164D">
        <w:rPr>
          <w:rFonts w:eastAsia="Times New Roman" w:cstheme="minorHAnsi"/>
          <w:kern w:val="0"/>
          <w:sz w:val="24"/>
          <w:szCs w:val="24"/>
          <w:lang w:eastAsia="en-GB"/>
          <w14:ligatures w14:val="none"/>
        </w:rPr>
        <w:t>H</w:t>
      </w:r>
      <w:r w:rsidR="004238E8" w:rsidRPr="0063164D">
        <w:rPr>
          <w:rFonts w:eastAsia="Times New Roman" w:cstheme="minorHAnsi"/>
          <w:kern w:val="0"/>
          <w:sz w:val="24"/>
          <w:szCs w:val="24"/>
          <w:lang w:eastAsia="en-GB"/>
          <w14:ligatures w14:val="none"/>
        </w:rPr>
        <w:t>errieven,L</w:t>
      </w:r>
      <w:proofErr w:type="spellEnd"/>
      <w:r w:rsidR="004238E8" w:rsidRPr="0063164D">
        <w:rPr>
          <w:rFonts w:eastAsia="Times New Roman" w:cstheme="minorHAnsi"/>
          <w:kern w:val="0"/>
          <w:sz w:val="24"/>
          <w:szCs w:val="24"/>
          <w:lang w:eastAsia="en-GB"/>
          <w14:ligatures w14:val="none"/>
        </w:rPr>
        <w:t>., Davi</w:t>
      </w:r>
      <w:r w:rsidR="00AD1BBC" w:rsidRPr="0063164D">
        <w:rPr>
          <w:rFonts w:eastAsia="Times New Roman" w:cstheme="minorHAnsi"/>
          <w:kern w:val="0"/>
          <w:sz w:val="24"/>
          <w:szCs w:val="24"/>
          <w:lang w:eastAsia="en-GB"/>
          <w14:ligatures w14:val="none"/>
        </w:rPr>
        <w:t>es, C. ( 2021</w:t>
      </w:r>
      <w:r w:rsidR="00AD1BBC" w:rsidRPr="0063164D">
        <w:rPr>
          <w:rFonts w:eastAsia="Times New Roman" w:cstheme="minorHAnsi"/>
          <w:i/>
          <w:iCs/>
          <w:kern w:val="0"/>
          <w:sz w:val="24"/>
          <w:szCs w:val="24"/>
          <w:lang w:eastAsia="en-GB"/>
          <w14:ligatures w14:val="none"/>
        </w:rPr>
        <w:t>) Hea</w:t>
      </w:r>
      <w:r w:rsidR="009C566A" w:rsidRPr="0063164D">
        <w:rPr>
          <w:rFonts w:eastAsia="Times New Roman" w:cstheme="minorHAnsi"/>
          <w:i/>
          <w:iCs/>
          <w:kern w:val="0"/>
          <w:sz w:val="24"/>
          <w:szCs w:val="24"/>
          <w:lang w:eastAsia="en-GB"/>
          <w14:ligatures w14:val="none"/>
        </w:rPr>
        <w:t>lth Inequalities in the ED</w:t>
      </w:r>
      <w:r w:rsidR="003242EF" w:rsidRPr="0063164D">
        <w:rPr>
          <w:rFonts w:eastAsia="Times New Roman" w:cstheme="minorHAnsi"/>
          <w:i/>
          <w:iCs/>
          <w:kern w:val="0"/>
          <w:sz w:val="24"/>
          <w:szCs w:val="24"/>
          <w:lang w:eastAsia="en-GB"/>
          <w14:ligatures w14:val="none"/>
        </w:rPr>
        <w:t>?</w:t>
      </w:r>
      <w:r w:rsidR="003756BE" w:rsidRPr="0063164D">
        <w:rPr>
          <w:rFonts w:eastAsia="Times New Roman" w:cstheme="minorHAnsi"/>
          <w:i/>
          <w:iCs/>
          <w:kern w:val="0"/>
          <w:sz w:val="24"/>
          <w:szCs w:val="24"/>
          <w:lang w:eastAsia="en-GB"/>
          <w14:ligatures w14:val="none"/>
        </w:rPr>
        <w:t xml:space="preserve"> RCEM Learning. </w:t>
      </w:r>
    </w:p>
    <w:p w14:paraId="29F27D77" w14:textId="4B3CA5E0" w:rsidR="009F52E0" w:rsidRPr="0063164D" w:rsidRDefault="005342C1" w:rsidP="0063164D">
      <w:pPr>
        <w:shd w:val="clear" w:color="auto" w:fill="FFFFFF"/>
        <w:spacing w:beforeAutospacing="1" w:after="0" w:afterAutospacing="1" w:line="360" w:lineRule="auto"/>
        <w:ind w:left="720" w:hanging="720"/>
        <w:textAlignment w:val="baseline"/>
        <w:rPr>
          <w:rFonts w:cstheme="minorHAnsi"/>
          <w:sz w:val="24"/>
          <w:szCs w:val="24"/>
        </w:rPr>
      </w:pPr>
      <w:r w:rsidRPr="0063164D">
        <w:rPr>
          <w:rFonts w:eastAsia="Times New Roman" w:cstheme="minorHAnsi"/>
          <w:kern w:val="0"/>
          <w:sz w:val="24"/>
          <w:szCs w:val="24"/>
          <w:lang w:eastAsia="en-GB"/>
          <w14:ligatures w14:val="none"/>
        </w:rPr>
        <w:t>Available</w:t>
      </w:r>
      <w:r w:rsidR="003D5022" w:rsidRPr="0063164D">
        <w:rPr>
          <w:rFonts w:eastAsia="Times New Roman" w:cstheme="minorHAnsi"/>
          <w:kern w:val="0"/>
          <w:sz w:val="24"/>
          <w:szCs w:val="24"/>
          <w:lang w:eastAsia="en-GB"/>
          <w14:ligatures w14:val="none"/>
        </w:rPr>
        <w:t xml:space="preserve"> </w:t>
      </w:r>
      <w:proofErr w:type="spellStart"/>
      <w:r w:rsidR="003D5022" w:rsidRPr="0063164D">
        <w:rPr>
          <w:rFonts w:eastAsia="Times New Roman" w:cstheme="minorHAnsi"/>
          <w:kern w:val="0"/>
          <w:sz w:val="24"/>
          <w:szCs w:val="24"/>
          <w:lang w:eastAsia="en-GB"/>
          <w14:ligatures w14:val="none"/>
        </w:rPr>
        <w:t>at:</w:t>
      </w:r>
      <w:hyperlink r:id="rId16" w:history="1">
        <w:r w:rsidR="003D5022" w:rsidRPr="0063164D">
          <w:rPr>
            <w:rFonts w:cstheme="minorHAnsi"/>
            <w:color w:val="0000FF"/>
            <w:sz w:val="24"/>
            <w:szCs w:val="24"/>
            <w:u w:val="single"/>
          </w:rPr>
          <w:t>Health</w:t>
        </w:r>
        <w:proofErr w:type="spellEnd"/>
        <w:r w:rsidR="003D5022" w:rsidRPr="0063164D">
          <w:rPr>
            <w:rFonts w:cstheme="minorHAnsi"/>
            <w:color w:val="0000FF"/>
            <w:sz w:val="24"/>
            <w:szCs w:val="24"/>
            <w:u w:val="single"/>
          </w:rPr>
          <w:t xml:space="preserve"> Inequalities in the ED - </w:t>
        </w:r>
        <w:proofErr w:type="spellStart"/>
        <w:r w:rsidR="003D5022" w:rsidRPr="0063164D">
          <w:rPr>
            <w:rFonts w:cstheme="minorHAnsi"/>
            <w:color w:val="0000FF"/>
            <w:sz w:val="24"/>
            <w:szCs w:val="24"/>
            <w:u w:val="single"/>
          </w:rPr>
          <w:t>RCEMLearning</w:t>
        </w:r>
        <w:proofErr w:type="spellEnd"/>
      </w:hyperlink>
    </w:p>
    <w:p w14:paraId="0B547E58" w14:textId="539EF523" w:rsidR="00A2498B" w:rsidRPr="00DD04D5" w:rsidRDefault="00B626FB" w:rsidP="0063164D">
      <w:pPr>
        <w:shd w:val="clear" w:color="auto" w:fill="FFFFFF"/>
        <w:spacing w:beforeAutospacing="1" w:after="0" w:afterAutospacing="1" w:line="360" w:lineRule="auto"/>
        <w:ind w:left="720" w:hanging="720"/>
        <w:textAlignment w:val="baseline"/>
        <w:rPr>
          <w:rFonts w:eastAsia="Times New Roman" w:cstheme="minorHAnsi"/>
          <w:i/>
          <w:iCs/>
          <w:kern w:val="0"/>
          <w:sz w:val="24"/>
          <w:szCs w:val="24"/>
          <w:lang w:eastAsia="en-GB"/>
          <w14:ligatures w14:val="none"/>
        </w:rPr>
      </w:pPr>
      <w:r w:rsidRPr="0063164D">
        <w:rPr>
          <w:rFonts w:cstheme="minorHAnsi"/>
          <w:i/>
          <w:iCs/>
          <w:sz w:val="24"/>
          <w:szCs w:val="24"/>
        </w:rPr>
        <w:t>(</w:t>
      </w:r>
      <w:r w:rsidR="00A2498B" w:rsidRPr="0063164D">
        <w:rPr>
          <w:rFonts w:cstheme="minorHAnsi"/>
          <w:i/>
          <w:iCs/>
          <w:sz w:val="24"/>
          <w:szCs w:val="24"/>
        </w:rPr>
        <w:t>Accessed:</w:t>
      </w:r>
      <w:r w:rsidR="00C8294D" w:rsidRPr="0063164D">
        <w:rPr>
          <w:rFonts w:cstheme="minorHAnsi"/>
          <w:i/>
          <w:iCs/>
          <w:sz w:val="24"/>
          <w:szCs w:val="24"/>
        </w:rPr>
        <w:t>12</w:t>
      </w:r>
      <w:r w:rsidRPr="0063164D">
        <w:rPr>
          <w:rFonts w:cstheme="minorHAnsi"/>
          <w:i/>
          <w:iCs/>
          <w:sz w:val="24"/>
          <w:szCs w:val="24"/>
        </w:rPr>
        <w:t xml:space="preserve"> April 2021)</w:t>
      </w:r>
    </w:p>
    <w:p w14:paraId="3E895867" w14:textId="77777777" w:rsidR="00DD04D5" w:rsidRPr="00DD04D5" w:rsidRDefault="00DD04D5" w:rsidP="0063164D">
      <w:pPr>
        <w:shd w:val="clear" w:color="auto" w:fill="FFFFFF"/>
        <w:spacing w:beforeAutospacing="1" w:after="0" w:afterAutospacing="1" w:line="360" w:lineRule="auto"/>
        <w:ind w:left="720" w:hanging="720"/>
        <w:textAlignment w:val="baseline"/>
        <w:rPr>
          <w:rFonts w:eastAsia="Times New Roman" w:cstheme="minorHAnsi"/>
          <w:kern w:val="0"/>
          <w:sz w:val="24"/>
          <w:szCs w:val="24"/>
          <w:lang w:eastAsia="en-GB"/>
          <w14:ligatures w14:val="none"/>
        </w:rPr>
      </w:pPr>
      <w:r w:rsidRPr="00DD04D5">
        <w:rPr>
          <w:rFonts w:eastAsia="Times New Roman" w:cstheme="minorHAnsi"/>
          <w:color w:val="1B1B1B"/>
          <w:kern w:val="0"/>
          <w:sz w:val="24"/>
          <w:szCs w:val="24"/>
          <w:shd w:val="clear" w:color="auto" w:fill="FFFFFF"/>
          <w:lang w:eastAsia="en-GB"/>
          <w14:ligatures w14:val="none"/>
        </w:rPr>
        <w:t xml:space="preserve">International Labour Organization (2023) Social justice for rural populations means prosperity for the planet. </w:t>
      </w:r>
      <w:r w:rsidRPr="00DD04D5">
        <w:rPr>
          <w:rFonts w:eastAsia="Times New Roman" w:cstheme="minorHAnsi"/>
          <w:i/>
          <w:iCs/>
          <w:color w:val="1B1B1B"/>
          <w:kern w:val="0"/>
          <w:sz w:val="24"/>
          <w:szCs w:val="24"/>
          <w:shd w:val="clear" w:color="auto" w:fill="FFFFFF"/>
          <w:lang w:eastAsia="en-GB"/>
          <w14:ligatures w14:val="none"/>
        </w:rPr>
        <w:t xml:space="preserve">Available at: </w:t>
      </w:r>
      <w:hyperlink r:id="rId17" w:anchor="introduction" w:tgtFrame="_blank" w:history="1">
        <w:r w:rsidRPr="00DD04D5">
          <w:rPr>
            <w:rFonts w:eastAsia="Times New Roman" w:cstheme="minorHAnsi"/>
            <w:i/>
            <w:iCs/>
            <w:color w:val="0563C1"/>
            <w:kern w:val="0"/>
            <w:sz w:val="24"/>
            <w:szCs w:val="24"/>
            <w:u w:val="single"/>
            <w:shd w:val="clear" w:color="auto" w:fill="FFFFFF"/>
            <w:lang w:eastAsia="en-GB"/>
            <w14:ligatures w14:val="none"/>
          </w:rPr>
          <w:t>https://webapps.ilo.org/infostories/en-GB/Stories/Employment/rural-economies#introduction</w:t>
        </w:r>
      </w:hyperlink>
      <w:r w:rsidRPr="00DD04D5">
        <w:rPr>
          <w:rFonts w:eastAsia="Times New Roman" w:cstheme="minorHAnsi"/>
          <w:i/>
          <w:iCs/>
          <w:kern w:val="0"/>
          <w:sz w:val="24"/>
          <w:szCs w:val="24"/>
          <w:shd w:val="clear" w:color="auto" w:fill="FFFFFF"/>
          <w:lang w:eastAsia="en-GB"/>
          <w14:ligatures w14:val="none"/>
        </w:rPr>
        <w:t xml:space="preserve"> (Accessed: 20 October 2024)</w:t>
      </w:r>
      <w:r w:rsidRPr="00DD04D5">
        <w:rPr>
          <w:rFonts w:eastAsia="Times New Roman" w:cstheme="minorHAnsi"/>
          <w:kern w:val="0"/>
          <w:sz w:val="24"/>
          <w:szCs w:val="24"/>
          <w:lang w:eastAsia="en-GB"/>
          <w14:ligatures w14:val="none"/>
        </w:rPr>
        <w:t> </w:t>
      </w:r>
    </w:p>
    <w:p w14:paraId="3611442E" w14:textId="77777777" w:rsidR="00DD04D5" w:rsidRPr="00DD04D5" w:rsidRDefault="00DD04D5" w:rsidP="0063164D">
      <w:pPr>
        <w:spacing w:after="0" w:line="360" w:lineRule="auto"/>
        <w:ind w:left="720" w:hanging="720"/>
        <w:textAlignment w:val="baseline"/>
        <w:rPr>
          <w:rFonts w:eastAsia="Times New Roman" w:cstheme="minorHAnsi"/>
          <w:kern w:val="0"/>
          <w:sz w:val="24"/>
          <w:szCs w:val="24"/>
          <w:lang w:eastAsia="en-GB"/>
          <w14:ligatures w14:val="none"/>
        </w:rPr>
      </w:pPr>
      <w:r w:rsidRPr="00DD04D5">
        <w:rPr>
          <w:rFonts w:eastAsia="Times New Roman" w:cstheme="minorHAnsi"/>
          <w:kern w:val="0"/>
          <w:sz w:val="24"/>
          <w:szCs w:val="24"/>
          <w:lang w:eastAsia="en-GB"/>
          <w14:ligatures w14:val="none"/>
        </w:rPr>
        <w:lastRenderedPageBreak/>
        <w:t xml:space="preserve">Kadel R., </w:t>
      </w:r>
      <w:proofErr w:type="spellStart"/>
      <w:r w:rsidRPr="00DD04D5">
        <w:rPr>
          <w:rFonts w:eastAsia="Times New Roman" w:cstheme="minorHAnsi"/>
          <w:kern w:val="0"/>
          <w:sz w:val="24"/>
          <w:szCs w:val="24"/>
          <w:lang w:eastAsia="en-GB"/>
          <w14:ligatures w14:val="none"/>
        </w:rPr>
        <w:t>Allen,J</w:t>
      </w:r>
      <w:proofErr w:type="spellEnd"/>
      <w:r w:rsidRPr="00DD04D5">
        <w:rPr>
          <w:rFonts w:eastAsia="Times New Roman" w:cstheme="minorHAnsi"/>
          <w:kern w:val="0"/>
          <w:sz w:val="24"/>
          <w:szCs w:val="24"/>
          <w:lang w:eastAsia="en-GB"/>
          <w14:ligatures w14:val="none"/>
        </w:rPr>
        <w:t xml:space="preserve">., Darlington, O., Masters, R., Collins, B., Charles, J., M., Asaria, M.,  </w:t>
      </w:r>
      <w:proofErr w:type="spellStart"/>
      <w:r w:rsidRPr="00DD04D5">
        <w:rPr>
          <w:rFonts w:eastAsia="Times New Roman" w:cstheme="minorHAnsi"/>
          <w:kern w:val="0"/>
          <w:sz w:val="24"/>
          <w:szCs w:val="24"/>
          <w:lang w:eastAsia="en-GB"/>
          <w14:ligatures w14:val="none"/>
        </w:rPr>
        <w:t>Dyakova</w:t>
      </w:r>
      <w:proofErr w:type="spellEnd"/>
      <w:r w:rsidRPr="00DD04D5">
        <w:rPr>
          <w:rFonts w:eastAsia="Times New Roman" w:cstheme="minorHAnsi"/>
          <w:kern w:val="0"/>
          <w:sz w:val="24"/>
          <w:szCs w:val="24"/>
          <w:lang w:eastAsia="en-GB"/>
          <w14:ligatures w14:val="none"/>
        </w:rPr>
        <w:t xml:space="preserve">, M., Bellis, M., Cookson, R., (2022) ‘Cost of health inequality to the NHS in Wales’, </w:t>
      </w:r>
      <w:r w:rsidRPr="00DD04D5">
        <w:rPr>
          <w:rFonts w:eastAsia="Times New Roman" w:cstheme="minorHAnsi"/>
          <w:i/>
          <w:iCs/>
          <w:kern w:val="0"/>
          <w:sz w:val="24"/>
          <w:szCs w:val="24"/>
          <w:lang w:eastAsia="en-GB"/>
          <w14:ligatures w14:val="none"/>
        </w:rPr>
        <w:t xml:space="preserve">Frontier Public Health, </w:t>
      </w:r>
      <w:r w:rsidRPr="00DD04D5">
        <w:rPr>
          <w:rFonts w:eastAsia="Times New Roman" w:cstheme="minorHAnsi"/>
          <w:kern w:val="0"/>
          <w:sz w:val="24"/>
          <w:szCs w:val="24"/>
          <w:lang w:eastAsia="en-GB"/>
          <w14:ligatures w14:val="none"/>
        </w:rPr>
        <w:t>12. DOI:  </w:t>
      </w:r>
      <w:hyperlink r:id="rId18" w:tgtFrame="_blank" w:history="1">
        <w:r w:rsidRPr="00DD04D5">
          <w:rPr>
            <w:rFonts w:eastAsia="Times New Roman" w:cstheme="minorHAnsi"/>
            <w:color w:val="0563C1"/>
            <w:kern w:val="0"/>
            <w:sz w:val="24"/>
            <w:szCs w:val="24"/>
            <w:u w:val="single"/>
            <w:lang w:eastAsia="en-GB"/>
            <w14:ligatures w14:val="none"/>
          </w:rPr>
          <w:t>10.3389/fpubh.2022.959283</w:t>
        </w:r>
      </w:hyperlink>
      <w:r w:rsidRPr="00DD04D5">
        <w:rPr>
          <w:rFonts w:eastAsia="Times New Roman" w:cstheme="minorHAnsi"/>
          <w:kern w:val="0"/>
          <w:sz w:val="24"/>
          <w:szCs w:val="24"/>
          <w:lang w:eastAsia="en-GB"/>
          <w14:ligatures w14:val="none"/>
        </w:rPr>
        <w:t> </w:t>
      </w:r>
    </w:p>
    <w:p w14:paraId="4F716D9B" w14:textId="11C09A75"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Marmot, M., Bell, R</w:t>
      </w:r>
      <w:r w:rsidRPr="00DD04D5">
        <w:rPr>
          <w:rFonts w:eastAsia="Times New Roman" w:cstheme="minorHAnsi"/>
          <w:i/>
          <w:iCs/>
          <w:kern w:val="0"/>
          <w:sz w:val="24"/>
          <w:szCs w:val="24"/>
          <w:lang w:eastAsia="en-GB"/>
          <w14:ligatures w14:val="none"/>
        </w:rPr>
        <w:t xml:space="preserve">. (2012) </w:t>
      </w:r>
      <w:r w:rsidRPr="00DD04D5">
        <w:rPr>
          <w:rFonts w:eastAsia="Times New Roman" w:cstheme="minorHAnsi"/>
          <w:kern w:val="0"/>
          <w:sz w:val="24"/>
          <w:szCs w:val="24"/>
          <w:lang w:eastAsia="en-GB"/>
          <w14:ligatures w14:val="none"/>
        </w:rPr>
        <w:t>Fair society, healthy lives</w:t>
      </w:r>
      <w:r w:rsidRPr="00DD04D5">
        <w:rPr>
          <w:rFonts w:eastAsia="Times New Roman" w:cstheme="minorHAnsi"/>
          <w:i/>
          <w:iCs/>
          <w:kern w:val="0"/>
          <w:sz w:val="24"/>
          <w:szCs w:val="24"/>
          <w:lang w:eastAsia="en-GB"/>
          <w14:ligatures w14:val="none"/>
        </w:rPr>
        <w:t>, (1) 4-10</w:t>
      </w:r>
      <w:r w:rsidR="00991E45" w:rsidRPr="0063164D">
        <w:rPr>
          <w:rFonts w:eastAsia="Times New Roman" w:cstheme="minorHAnsi"/>
          <w:i/>
          <w:iCs/>
          <w:kern w:val="0"/>
          <w:sz w:val="24"/>
          <w:szCs w:val="24"/>
          <w:lang w:eastAsia="en-GB"/>
          <w14:ligatures w14:val="none"/>
        </w:rPr>
        <w:t xml:space="preserve"> Public health. </w:t>
      </w:r>
      <w:r w:rsidRPr="00DD04D5">
        <w:rPr>
          <w:rFonts w:eastAsia="Times New Roman" w:cstheme="minorHAnsi"/>
          <w:i/>
          <w:iCs/>
          <w:kern w:val="0"/>
          <w:sz w:val="24"/>
          <w:szCs w:val="24"/>
          <w:lang w:eastAsia="en-GB"/>
          <w14:ligatures w14:val="none"/>
        </w:rPr>
        <w:t>  </w:t>
      </w:r>
    </w:p>
    <w:p w14:paraId="5F1F985F" w14:textId="4C5618A1" w:rsidR="006D12AF" w:rsidRPr="00DD04D5" w:rsidRDefault="00DD04D5" w:rsidP="0063164D">
      <w:pPr>
        <w:spacing w:after="0" w:line="360" w:lineRule="auto"/>
        <w:textAlignment w:val="baseline"/>
        <w:rPr>
          <w:rFonts w:eastAsia="Times New Roman" w:cstheme="minorHAnsi"/>
          <w:kern w:val="0"/>
          <w:sz w:val="24"/>
          <w:szCs w:val="24"/>
          <w:lang w:eastAsia="en-GB"/>
          <w14:ligatures w14:val="none"/>
        </w:rPr>
      </w:pPr>
      <w:hyperlink r:id="rId19" w:tgtFrame="_blank" w:history="1">
        <w:r w:rsidRPr="00DD04D5">
          <w:rPr>
            <w:rFonts w:eastAsia="Times New Roman" w:cstheme="minorHAnsi"/>
            <w:i/>
            <w:iCs/>
            <w:color w:val="0563C1"/>
            <w:kern w:val="0"/>
            <w:sz w:val="24"/>
            <w:szCs w:val="24"/>
            <w:u w:val="single"/>
            <w:lang w:eastAsia="en-GB"/>
            <w14:ligatures w14:val="none"/>
          </w:rPr>
          <w:t>https://pubmed.ncbi.nlm.nih.gov/22784581/</w:t>
        </w:r>
      </w:hyperlink>
    </w:p>
    <w:p w14:paraId="644E3695" w14:textId="1F9B9443" w:rsidR="00684772" w:rsidRPr="0063164D" w:rsidRDefault="00DD04D5" w:rsidP="0063164D">
      <w:pPr>
        <w:spacing w:after="0"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Marmot, M., (2010) Fair Society, Healthy lives</w:t>
      </w:r>
      <w:r w:rsidRPr="00DD04D5">
        <w:rPr>
          <w:rFonts w:eastAsia="Times New Roman" w:cstheme="minorHAnsi"/>
          <w:i/>
          <w:iCs/>
          <w:kern w:val="0"/>
          <w:sz w:val="24"/>
          <w:szCs w:val="24"/>
          <w:lang w:eastAsia="en-GB"/>
          <w14:ligatures w14:val="none"/>
        </w:rPr>
        <w:t>: The Marmot Review. Strategic Review of Health Inequalities in England post -2010. </w:t>
      </w:r>
    </w:p>
    <w:p w14:paraId="0A80F847" w14:textId="06AF447B" w:rsidR="00684772" w:rsidRPr="00DD04D5" w:rsidRDefault="00684772" w:rsidP="0063164D">
      <w:pPr>
        <w:spacing w:after="0" w:line="360" w:lineRule="auto"/>
        <w:textAlignment w:val="baseline"/>
        <w:rPr>
          <w:rFonts w:eastAsia="Times New Roman" w:cstheme="minorHAnsi"/>
          <w:i/>
          <w:iCs/>
          <w:kern w:val="0"/>
          <w:sz w:val="24"/>
          <w:szCs w:val="24"/>
          <w:lang w:eastAsia="en-GB"/>
          <w14:ligatures w14:val="none"/>
        </w:rPr>
      </w:pPr>
      <w:hyperlink r:id="rId20" w:history="1">
        <w:r w:rsidRPr="0063164D">
          <w:rPr>
            <w:rStyle w:val="Hyperlink"/>
            <w:rFonts w:eastAsia="Times New Roman" w:cstheme="minorHAnsi"/>
            <w:i/>
            <w:iCs/>
            <w:kern w:val="0"/>
            <w:sz w:val="24"/>
            <w:szCs w:val="24"/>
            <w:lang w:eastAsia="en-GB"/>
            <w14:ligatures w14:val="none"/>
          </w:rPr>
          <w:t>https://www.gov.uk/research-for-development-outputs/fair-society-healthy-lives-the-marmot-review-strategic-review-of-health-inequalities-in-england-post-2010</w:t>
        </w:r>
      </w:hyperlink>
    </w:p>
    <w:p w14:paraId="316CF2F9" w14:textId="77777777" w:rsidR="00DD04D5" w:rsidRPr="00DD04D5" w:rsidRDefault="00DD04D5" w:rsidP="0063164D">
      <w:pPr>
        <w:spacing w:after="0"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National Health Service</w:t>
      </w:r>
      <w:r w:rsidRPr="00DD04D5">
        <w:rPr>
          <w:rFonts w:eastAsia="Times New Roman" w:cstheme="minorHAnsi"/>
          <w:i/>
          <w:iCs/>
          <w:kern w:val="0"/>
          <w:sz w:val="24"/>
          <w:szCs w:val="24"/>
          <w:lang w:eastAsia="en-GB"/>
          <w14:ligatures w14:val="none"/>
        </w:rPr>
        <w:t xml:space="preserve"> (2024) Cultural Competence and Cultural Safety. </w:t>
      </w:r>
    </w:p>
    <w:p w14:paraId="436C841A" w14:textId="02F0847F" w:rsidR="000E7096" w:rsidRPr="0063164D" w:rsidRDefault="00DD04D5" w:rsidP="0063164D">
      <w:pPr>
        <w:spacing w:after="0" w:line="360" w:lineRule="auto"/>
        <w:textAlignment w:val="baseline"/>
        <w:rPr>
          <w:rFonts w:eastAsia="Times New Roman" w:cstheme="minorHAnsi"/>
          <w:kern w:val="0"/>
          <w:sz w:val="24"/>
          <w:szCs w:val="24"/>
          <w:lang w:eastAsia="en-GB"/>
          <w14:ligatures w14:val="none"/>
        </w:rPr>
      </w:pPr>
      <w:hyperlink r:id="rId21" w:anchor=":~:text=Cultural%20competence%20and%20Cultural%20Safety%20is%20a%20key%20aspect%20of,Midwives%20and%20other%20key%20stakeholders" w:tgtFrame="_blank" w:history="1">
        <w:r w:rsidRPr="00DD04D5">
          <w:rPr>
            <w:rFonts w:eastAsia="Times New Roman" w:cstheme="minorHAnsi"/>
            <w:i/>
            <w:iCs/>
            <w:color w:val="0563C1"/>
            <w:kern w:val="0"/>
            <w:sz w:val="24"/>
            <w:szCs w:val="24"/>
            <w:u w:val="single"/>
            <w:lang w:eastAsia="en-GB"/>
            <w14:ligatures w14:val="none"/>
          </w:rPr>
          <w:t>https://www.e-lfh.org.uk/programmes/cultural-competence/#:~:text=Cultural%20competence%20and%20Cultural%20Safety%20is%20a%20key%20aspect%20of,Midwives%20and%20other%20key%20stakeholders</w:t>
        </w:r>
      </w:hyperlink>
      <w:r w:rsidRPr="00DD04D5">
        <w:rPr>
          <w:rFonts w:eastAsia="Times New Roman" w:cstheme="minorHAnsi"/>
          <w:kern w:val="0"/>
          <w:sz w:val="24"/>
          <w:szCs w:val="24"/>
          <w:lang w:eastAsia="en-GB"/>
          <w14:ligatures w14:val="none"/>
        </w:rPr>
        <w:t>.</w:t>
      </w:r>
    </w:p>
    <w:p w14:paraId="6C3D96C1" w14:textId="540B8881" w:rsidR="000E7096" w:rsidRPr="0063164D" w:rsidRDefault="00B87C7D" w:rsidP="0063164D">
      <w:pPr>
        <w:spacing w:after="0" w:line="360" w:lineRule="auto"/>
        <w:textAlignment w:val="baseline"/>
        <w:rPr>
          <w:rFonts w:eastAsia="Times New Roman" w:cstheme="minorHAnsi"/>
          <w:i/>
          <w:iCs/>
          <w:kern w:val="0"/>
          <w:sz w:val="24"/>
          <w:szCs w:val="24"/>
          <w:lang w:eastAsia="en-GB"/>
          <w14:ligatures w14:val="none"/>
        </w:rPr>
      </w:pPr>
      <w:proofErr w:type="spellStart"/>
      <w:r w:rsidRPr="0063164D">
        <w:rPr>
          <w:rFonts w:eastAsia="Times New Roman" w:cstheme="minorHAnsi"/>
          <w:kern w:val="0"/>
          <w:sz w:val="24"/>
          <w:szCs w:val="24"/>
          <w:lang w:eastAsia="en-GB"/>
          <w14:ligatures w14:val="none"/>
        </w:rPr>
        <w:t>Meurling</w:t>
      </w:r>
      <w:proofErr w:type="spellEnd"/>
      <w:r w:rsidRPr="0063164D">
        <w:rPr>
          <w:rFonts w:eastAsia="Times New Roman" w:cstheme="minorHAnsi"/>
          <w:kern w:val="0"/>
          <w:sz w:val="24"/>
          <w:szCs w:val="24"/>
          <w:lang w:eastAsia="en-GB"/>
          <w14:ligatures w14:val="none"/>
        </w:rPr>
        <w:t xml:space="preserve">, </w:t>
      </w:r>
      <w:r w:rsidR="001E3C42" w:rsidRPr="0063164D">
        <w:rPr>
          <w:rFonts w:eastAsia="Times New Roman" w:cstheme="minorHAnsi"/>
          <w:kern w:val="0"/>
          <w:sz w:val="24"/>
          <w:szCs w:val="24"/>
          <w:lang w:eastAsia="en-GB"/>
          <w14:ligatures w14:val="none"/>
        </w:rPr>
        <w:t>C.,</w:t>
      </w:r>
      <w:r w:rsidRPr="0063164D">
        <w:rPr>
          <w:rFonts w:eastAsia="Times New Roman" w:cstheme="minorHAnsi"/>
          <w:kern w:val="0"/>
          <w:sz w:val="24"/>
          <w:szCs w:val="24"/>
          <w:lang w:eastAsia="en-GB"/>
          <w14:ligatures w14:val="none"/>
        </w:rPr>
        <w:t xml:space="preserve"> R., Adell</w:t>
      </w:r>
      <w:r w:rsidR="00CF5457" w:rsidRPr="0063164D">
        <w:rPr>
          <w:rFonts w:eastAsia="Times New Roman" w:cstheme="minorHAnsi"/>
          <w:kern w:val="0"/>
          <w:sz w:val="24"/>
          <w:szCs w:val="24"/>
          <w:lang w:eastAsia="en-GB"/>
          <w14:ligatures w14:val="none"/>
        </w:rPr>
        <w:t>, E., Wolf, M., Calling, S.,</w:t>
      </w:r>
      <w:r w:rsidR="001F2DA9" w:rsidRPr="0063164D">
        <w:rPr>
          <w:rFonts w:eastAsia="Times New Roman" w:cstheme="minorHAnsi"/>
          <w:kern w:val="0"/>
          <w:sz w:val="24"/>
          <w:szCs w:val="24"/>
          <w:lang w:eastAsia="en-GB"/>
          <w14:ligatures w14:val="none"/>
        </w:rPr>
        <w:t xml:space="preserve"> </w:t>
      </w:r>
      <w:proofErr w:type="spellStart"/>
      <w:r w:rsidR="001F2DA9" w:rsidRPr="0063164D">
        <w:rPr>
          <w:rFonts w:eastAsia="Times New Roman" w:cstheme="minorHAnsi"/>
          <w:kern w:val="0"/>
          <w:sz w:val="24"/>
          <w:szCs w:val="24"/>
          <w:lang w:eastAsia="en-GB"/>
          <w14:ligatures w14:val="none"/>
        </w:rPr>
        <w:t>Ny</w:t>
      </w:r>
      <w:r w:rsidR="009F7420" w:rsidRPr="0063164D">
        <w:rPr>
          <w:rFonts w:eastAsia="Times New Roman" w:cstheme="minorHAnsi"/>
          <w:kern w:val="0"/>
          <w:sz w:val="24"/>
          <w:szCs w:val="24"/>
          <w:lang w:eastAsia="en-GB"/>
          <w14:ligatures w14:val="none"/>
        </w:rPr>
        <w:t>mberg</w:t>
      </w:r>
      <w:proofErr w:type="spellEnd"/>
      <w:r w:rsidR="009F7420" w:rsidRPr="0063164D">
        <w:rPr>
          <w:rFonts w:eastAsia="Times New Roman" w:cstheme="minorHAnsi"/>
          <w:kern w:val="0"/>
          <w:sz w:val="24"/>
          <w:szCs w:val="24"/>
          <w:lang w:eastAsia="en-GB"/>
          <w14:ligatures w14:val="none"/>
        </w:rPr>
        <w:t>, M.</w:t>
      </w:r>
      <w:r w:rsidR="001F2DA9" w:rsidRPr="0063164D">
        <w:rPr>
          <w:rFonts w:eastAsia="Times New Roman" w:cstheme="minorHAnsi"/>
          <w:kern w:val="0"/>
          <w:sz w:val="24"/>
          <w:szCs w:val="24"/>
          <w:lang w:eastAsia="en-GB"/>
          <w14:ligatures w14:val="none"/>
        </w:rPr>
        <w:t xml:space="preserve">, V., </w:t>
      </w:r>
      <w:proofErr w:type="spellStart"/>
      <w:r w:rsidR="009F7420" w:rsidRPr="0063164D">
        <w:rPr>
          <w:rFonts w:eastAsia="Times New Roman" w:cstheme="minorHAnsi"/>
          <w:kern w:val="0"/>
          <w:sz w:val="24"/>
          <w:szCs w:val="24"/>
          <w:lang w:eastAsia="en-GB"/>
          <w14:ligatures w14:val="none"/>
        </w:rPr>
        <w:t>Bol</w:t>
      </w:r>
      <w:r w:rsidR="00C47956" w:rsidRPr="0063164D">
        <w:rPr>
          <w:rFonts w:eastAsia="Times New Roman" w:cstheme="minorHAnsi"/>
          <w:kern w:val="0"/>
          <w:sz w:val="24"/>
          <w:szCs w:val="24"/>
          <w:lang w:eastAsia="en-GB"/>
          <w14:ligatures w14:val="none"/>
        </w:rPr>
        <w:t>msjo</w:t>
      </w:r>
      <w:proofErr w:type="spellEnd"/>
      <w:r w:rsidR="00C47956" w:rsidRPr="0063164D">
        <w:rPr>
          <w:rFonts w:eastAsia="Times New Roman" w:cstheme="minorHAnsi"/>
          <w:kern w:val="0"/>
          <w:sz w:val="24"/>
          <w:szCs w:val="24"/>
          <w:lang w:eastAsia="en-GB"/>
          <w14:ligatures w14:val="none"/>
        </w:rPr>
        <w:t>, B., B.,(2023)</w:t>
      </w:r>
      <w:r w:rsidR="00C47956" w:rsidRPr="0063164D">
        <w:rPr>
          <w:rFonts w:eastAsia="Times New Roman" w:cstheme="minorHAnsi"/>
          <w:i/>
          <w:iCs/>
          <w:kern w:val="0"/>
          <w:sz w:val="24"/>
          <w:szCs w:val="24"/>
          <w:lang w:eastAsia="en-GB"/>
          <w14:ligatures w14:val="none"/>
        </w:rPr>
        <w:t xml:space="preserve"> Tele</w:t>
      </w:r>
      <w:r w:rsidR="005B70E8" w:rsidRPr="0063164D">
        <w:rPr>
          <w:rFonts w:eastAsia="Times New Roman" w:cstheme="minorHAnsi"/>
          <w:i/>
          <w:iCs/>
          <w:kern w:val="0"/>
          <w:sz w:val="24"/>
          <w:szCs w:val="24"/>
          <w:lang w:eastAsia="en-GB"/>
          <w14:ligatures w14:val="none"/>
        </w:rPr>
        <w:t xml:space="preserve">medicine in Swedish primary health care </w:t>
      </w:r>
      <w:r w:rsidR="00977DEF" w:rsidRPr="0063164D">
        <w:rPr>
          <w:rFonts w:eastAsia="Times New Roman" w:cstheme="minorHAnsi"/>
          <w:i/>
          <w:iCs/>
          <w:kern w:val="0"/>
          <w:sz w:val="24"/>
          <w:szCs w:val="24"/>
          <w:lang w:eastAsia="en-GB"/>
          <w14:ligatures w14:val="none"/>
        </w:rPr>
        <w:t>– a web-based survey e</w:t>
      </w:r>
      <w:r w:rsidR="001E3C42" w:rsidRPr="0063164D">
        <w:rPr>
          <w:rFonts w:eastAsia="Times New Roman" w:cstheme="minorHAnsi"/>
          <w:i/>
          <w:iCs/>
          <w:kern w:val="0"/>
          <w:sz w:val="24"/>
          <w:szCs w:val="24"/>
          <w:lang w:eastAsia="en-GB"/>
          <w14:ligatures w14:val="none"/>
        </w:rPr>
        <w:t>m</w:t>
      </w:r>
      <w:r w:rsidR="00977DEF" w:rsidRPr="0063164D">
        <w:rPr>
          <w:rFonts w:eastAsia="Times New Roman" w:cstheme="minorHAnsi"/>
          <w:i/>
          <w:iCs/>
          <w:kern w:val="0"/>
          <w:sz w:val="24"/>
          <w:szCs w:val="24"/>
          <w:lang w:eastAsia="en-GB"/>
          <w14:ligatures w14:val="none"/>
        </w:rPr>
        <w:t>ploying patient satisfaction</w:t>
      </w:r>
      <w:r w:rsidR="00AC3B4E" w:rsidRPr="0063164D">
        <w:rPr>
          <w:rFonts w:eastAsia="Times New Roman" w:cstheme="minorHAnsi"/>
          <w:i/>
          <w:iCs/>
          <w:kern w:val="0"/>
          <w:sz w:val="24"/>
          <w:szCs w:val="24"/>
          <w:lang w:eastAsia="en-GB"/>
          <w14:ligatures w14:val="none"/>
        </w:rPr>
        <w:t>, 23,(1),</w:t>
      </w:r>
      <w:r w:rsidR="001E3C42" w:rsidRPr="0063164D">
        <w:rPr>
          <w:rFonts w:eastAsia="Times New Roman" w:cstheme="minorHAnsi"/>
          <w:i/>
          <w:iCs/>
          <w:kern w:val="0"/>
          <w:sz w:val="24"/>
          <w:szCs w:val="24"/>
          <w:lang w:eastAsia="en-GB"/>
          <w14:ligatures w14:val="none"/>
        </w:rPr>
        <w:t>12</w:t>
      </w:r>
      <w:r w:rsidR="00F97F23" w:rsidRPr="0063164D">
        <w:rPr>
          <w:rFonts w:eastAsia="Times New Roman" w:cstheme="minorHAnsi"/>
          <w:i/>
          <w:iCs/>
          <w:kern w:val="0"/>
          <w:sz w:val="24"/>
          <w:szCs w:val="24"/>
          <w:lang w:eastAsia="en-GB"/>
          <w14:ligatures w14:val="none"/>
        </w:rPr>
        <w:t>9.</w:t>
      </w:r>
    </w:p>
    <w:p w14:paraId="2EAB0422" w14:textId="0CC91DC2" w:rsidR="00F817BC" w:rsidRPr="00DD04D5" w:rsidRDefault="00DD04D5" w:rsidP="0063164D">
      <w:pPr>
        <w:spacing w:after="0"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hyperlink r:id="rId22" w:history="1">
        <w:r w:rsidR="00F817BC" w:rsidRPr="0063164D">
          <w:rPr>
            <w:rStyle w:val="Hyperlink"/>
            <w:rFonts w:eastAsia="Times New Roman" w:cstheme="minorHAnsi"/>
            <w:i/>
            <w:iCs/>
            <w:kern w:val="0"/>
            <w:sz w:val="24"/>
            <w:szCs w:val="24"/>
            <w:lang w:eastAsia="en-GB"/>
            <w14:ligatures w14:val="none"/>
          </w:rPr>
          <w:t>https://bmchealthservres.biomedcentral.com/articles/10.1186/s12913-023-09133-z#citea</w:t>
        </w:r>
      </w:hyperlink>
    </w:p>
    <w:p w14:paraId="37FB4DB7"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shd w:val="clear" w:color="auto" w:fill="FFFFFF"/>
          <w:lang w:eastAsia="en-GB"/>
          <w14:ligatures w14:val="none"/>
        </w:rPr>
        <w:t> </w:t>
      </w:r>
      <w:r w:rsidRPr="00DD04D5">
        <w:rPr>
          <w:rFonts w:eastAsia="Times New Roman" w:cstheme="minorHAnsi"/>
          <w:color w:val="1B1B1B"/>
          <w:kern w:val="0"/>
          <w:sz w:val="24"/>
          <w:szCs w:val="24"/>
          <w:shd w:val="clear" w:color="auto" w:fill="FFFFFF"/>
          <w:lang w:eastAsia="en-GB"/>
          <w14:ligatures w14:val="none"/>
        </w:rPr>
        <w:t>Office for National Statistics, (2019)</w:t>
      </w:r>
      <w:r w:rsidRPr="00DD04D5">
        <w:rPr>
          <w:rFonts w:eastAsia="Times New Roman" w:cstheme="minorHAnsi"/>
          <w:i/>
          <w:iCs/>
          <w:color w:val="1B1B1B"/>
          <w:kern w:val="0"/>
          <w:sz w:val="24"/>
          <w:szCs w:val="24"/>
          <w:shd w:val="clear" w:color="auto" w:fill="FFFFFF"/>
          <w:lang w:eastAsia="en-GB"/>
          <w14:ligatures w14:val="none"/>
        </w:rPr>
        <w:t xml:space="preserve"> </w:t>
      </w:r>
      <w:r w:rsidRPr="00DD04D5">
        <w:rPr>
          <w:rFonts w:eastAsia="Times New Roman" w:cstheme="minorHAnsi"/>
          <w:color w:val="1B1B1B"/>
          <w:kern w:val="0"/>
          <w:sz w:val="24"/>
          <w:szCs w:val="24"/>
          <w:shd w:val="clear" w:color="auto" w:fill="FFFFFF"/>
          <w:lang w:eastAsia="en-GB"/>
          <w14:ligatures w14:val="none"/>
        </w:rPr>
        <w:t>Population Estimates for the UK, England and</w:t>
      </w:r>
      <w:r w:rsidRPr="00DD04D5">
        <w:rPr>
          <w:rFonts w:eastAsia="Times New Roman" w:cstheme="minorHAnsi"/>
          <w:i/>
          <w:iCs/>
          <w:color w:val="1B1B1B"/>
          <w:kern w:val="0"/>
          <w:sz w:val="24"/>
          <w:szCs w:val="24"/>
          <w:shd w:val="clear" w:color="auto" w:fill="FFFFFF"/>
          <w:lang w:eastAsia="en-GB"/>
          <w14:ligatures w14:val="none"/>
        </w:rPr>
        <w:t xml:space="preserve"> Wales, Scotland, and Northern Ireland: Mid-2018.</w:t>
      </w:r>
      <w:r w:rsidRPr="00DD04D5">
        <w:rPr>
          <w:rFonts w:eastAsia="Times New Roman" w:cstheme="minorHAnsi"/>
          <w:i/>
          <w:iCs/>
          <w:color w:val="1B1B1B"/>
          <w:kern w:val="0"/>
          <w:sz w:val="24"/>
          <w:szCs w:val="24"/>
          <w:lang w:eastAsia="en-GB"/>
          <w14:ligatures w14:val="none"/>
        </w:rPr>
        <w:t> </w:t>
      </w:r>
    </w:p>
    <w:p w14:paraId="3EE13DD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hyperlink r:id="rId23" w:anchor="B2" w:tgtFrame="_blank" w:history="1">
        <w:r w:rsidRPr="00DD04D5">
          <w:rPr>
            <w:rFonts w:eastAsia="Times New Roman" w:cstheme="minorHAnsi"/>
            <w:i/>
            <w:iCs/>
            <w:color w:val="0563C1"/>
            <w:kern w:val="0"/>
            <w:sz w:val="24"/>
            <w:szCs w:val="24"/>
            <w:u w:val="single"/>
            <w:shd w:val="clear" w:color="auto" w:fill="FFFFFF"/>
            <w:lang w:eastAsia="en-GB"/>
            <w14:ligatures w14:val="none"/>
          </w:rPr>
          <w:t>https://pmc.ncbi.nlm.nih.gov/articles/PMC9523137/#B2</w:t>
        </w:r>
      </w:hyperlink>
      <w:r w:rsidRPr="00DD04D5">
        <w:rPr>
          <w:rFonts w:eastAsia="Times New Roman" w:cstheme="minorHAnsi"/>
          <w:color w:val="1B1B1B"/>
          <w:kern w:val="0"/>
          <w:sz w:val="24"/>
          <w:szCs w:val="24"/>
          <w:lang w:eastAsia="en-GB"/>
          <w14:ligatures w14:val="none"/>
        </w:rPr>
        <w:t> </w:t>
      </w:r>
    </w:p>
    <w:p w14:paraId="620D810C"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color w:val="1B1B1B"/>
          <w:kern w:val="0"/>
          <w:sz w:val="24"/>
          <w:szCs w:val="24"/>
          <w:shd w:val="clear" w:color="auto" w:fill="FFFFFF"/>
          <w:lang w:eastAsia="en-GB"/>
          <w14:ligatures w14:val="none"/>
        </w:rPr>
        <w:t>Office for National Statistics</w:t>
      </w:r>
      <w:r w:rsidRPr="00DD04D5">
        <w:rPr>
          <w:rFonts w:eastAsia="Times New Roman" w:cstheme="minorHAnsi"/>
          <w:i/>
          <w:iCs/>
          <w:color w:val="1B1B1B"/>
          <w:kern w:val="0"/>
          <w:sz w:val="24"/>
          <w:szCs w:val="24"/>
          <w:shd w:val="clear" w:color="auto" w:fill="FFFFFF"/>
          <w:lang w:eastAsia="en-GB"/>
          <w14:ligatures w14:val="none"/>
        </w:rPr>
        <w:t xml:space="preserve"> </w:t>
      </w:r>
      <w:r w:rsidRPr="00DD04D5">
        <w:rPr>
          <w:rFonts w:eastAsia="Times New Roman" w:cstheme="minorHAnsi"/>
          <w:color w:val="1B1B1B"/>
          <w:kern w:val="0"/>
          <w:sz w:val="24"/>
          <w:szCs w:val="24"/>
          <w:shd w:val="clear" w:color="auto" w:fill="FFFFFF"/>
          <w:lang w:eastAsia="en-GB"/>
          <w14:ligatures w14:val="none"/>
        </w:rPr>
        <w:t>(2021)</w:t>
      </w:r>
      <w:r w:rsidRPr="00DD04D5">
        <w:rPr>
          <w:rFonts w:eastAsia="Times New Roman" w:cstheme="minorHAnsi"/>
          <w:i/>
          <w:iCs/>
          <w:color w:val="1B1B1B"/>
          <w:kern w:val="0"/>
          <w:sz w:val="24"/>
          <w:szCs w:val="24"/>
          <w:shd w:val="clear" w:color="auto" w:fill="FFFFFF"/>
          <w:lang w:eastAsia="en-GB"/>
          <w14:ligatures w14:val="none"/>
        </w:rPr>
        <w:t xml:space="preserve"> Health state life expectancies by national deprivation deciles, Wales:2017 to 2019</w:t>
      </w:r>
      <w:r w:rsidRPr="00DD04D5">
        <w:rPr>
          <w:rFonts w:eastAsia="Times New Roman" w:cstheme="minorHAnsi"/>
          <w:i/>
          <w:iCs/>
          <w:color w:val="1B1B1B"/>
          <w:kern w:val="0"/>
          <w:sz w:val="24"/>
          <w:szCs w:val="24"/>
          <w:lang w:eastAsia="en-GB"/>
          <w14:ligatures w14:val="none"/>
        </w:rPr>
        <w:t> </w:t>
      </w:r>
    </w:p>
    <w:p w14:paraId="3B1C8872" w14:textId="77777777" w:rsidR="00DD04D5" w:rsidRPr="00DD04D5" w:rsidRDefault="00DD04D5" w:rsidP="0063164D">
      <w:pPr>
        <w:spacing w:after="0" w:line="360" w:lineRule="auto"/>
        <w:textAlignment w:val="baseline"/>
        <w:rPr>
          <w:rFonts w:eastAsia="Times New Roman" w:cstheme="minorHAnsi"/>
          <w:kern w:val="0"/>
          <w:sz w:val="24"/>
          <w:szCs w:val="24"/>
          <w:lang w:eastAsia="en-GB"/>
          <w14:ligatures w14:val="none"/>
        </w:rPr>
      </w:pPr>
      <w:hyperlink r:id="rId24" w:tgtFrame="_blank" w:history="1">
        <w:r w:rsidRPr="00DD04D5">
          <w:rPr>
            <w:rFonts w:eastAsia="Times New Roman" w:cstheme="minorHAnsi"/>
            <w:i/>
            <w:iCs/>
            <w:color w:val="0563C1"/>
            <w:kern w:val="0"/>
            <w:sz w:val="24"/>
            <w:szCs w:val="24"/>
            <w:u w:val="single"/>
            <w:shd w:val="clear" w:color="auto" w:fill="FFFFFF"/>
            <w:lang w:eastAsia="en-GB"/>
            <w14:ligatures w14:val="none"/>
          </w:rPr>
          <w:t>https://www.ons.gov.uk/peoplepopulationandcommunity/healthandsocialcare/healthinequalities/bulletins/healthstatelifeexpectanciesbynationaldeprivationdecileswales/2017to2019</w:t>
        </w:r>
      </w:hyperlink>
      <w:r w:rsidRPr="00DD04D5">
        <w:rPr>
          <w:rFonts w:eastAsia="Times New Roman" w:cstheme="minorHAnsi"/>
          <w:color w:val="1B1B1B"/>
          <w:kern w:val="0"/>
          <w:sz w:val="24"/>
          <w:szCs w:val="24"/>
          <w:lang w:eastAsia="en-GB"/>
          <w14:ligatures w14:val="none"/>
        </w:rPr>
        <w:t> </w:t>
      </w:r>
    </w:p>
    <w:p w14:paraId="50AB4425"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Office for National Statistics (2021)</w:t>
      </w:r>
      <w:r w:rsidRPr="00DD04D5">
        <w:rPr>
          <w:rFonts w:eastAsia="Times New Roman" w:cstheme="minorHAnsi"/>
          <w:i/>
          <w:iCs/>
          <w:kern w:val="0"/>
          <w:sz w:val="24"/>
          <w:szCs w:val="24"/>
          <w:lang w:eastAsia="en-GB"/>
          <w14:ligatures w14:val="none"/>
        </w:rPr>
        <w:t xml:space="preserve"> </w:t>
      </w:r>
      <w:r w:rsidRPr="00DD04D5">
        <w:rPr>
          <w:rFonts w:eastAsia="Times New Roman" w:cstheme="minorHAnsi"/>
          <w:kern w:val="0"/>
          <w:sz w:val="24"/>
          <w:szCs w:val="24"/>
          <w:lang w:eastAsia="en-GB"/>
          <w14:ligatures w14:val="none"/>
        </w:rPr>
        <w:t>Coronavirus (COVID-19) related deaths by ethnic</w:t>
      </w:r>
      <w:r w:rsidRPr="00DD04D5">
        <w:rPr>
          <w:rFonts w:eastAsia="Times New Roman" w:cstheme="minorHAnsi"/>
          <w:i/>
          <w:iCs/>
          <w:kern w:val="0"/>
          <w:sz w:val="24"/>
          <w:szCs w:val="24"/>
          <w:lang w:eastAsia="en-GB"/>
          <w14:ligatures w14:val="none"/>
        </w:rPr>
        <w:t xml:space="preserve"> group, England, and Wales: 2 March 2020 to 15 May 2020.  </w:t>
      </w:r>
    </w:p>
    <w:p w14:paraId="55622B43"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kern w:val="0"/>
          <w:sz w:val="24"/>
          <w:szCs w:val="24"/>
          <w:lang w:eastAsia="en-GB"/>
          <w14:ligatures w14:val="none"/>
        </w:rPr>
      </w:pPr>
      <w:hyperlink r:id="rId25" w:tgtFrame="_blank" w:history="1">
        <w:r w:rsidRPr="00DD04D5">
          <w:rPr>
            <w:rFonts w:eastAsia="Times New Roman" w:cstheme="minorHAnsi"/>
            <w:i/>
            <w:iCs/>
            <w:color w:val="0563C1"/>
            <w:kern w:val="0"/>
            <w:sz w:val="24"/>
            <w:szCs w:val="24"/>
            <w:u w:val="single"/>
            <w:shd w:val="clear" w:color="auto" w:fill="FFFFFF"/>
            <w:lang w:eastAsia="en-GB"/>
            <w14:ligatures w14:val="none"/>
          </w:rPr>
          <w:t>https://www.ons.gov.uk/peoplepopulationandcommunity/healthandsocialcare/healthinequalities/bulletins/healthstatelifeexpectanciesbynationaldeprivationdecileswales/2017to2019</w:t>
        </w:r>
      </w:hyperlink>
      <w:r w:rsidRPr="00DD04D5">
        <w:rPr>
          <w:rFonts w:eastAsia="Times New Roman" w:cstheme="minorHAnsi"/>
          <w:color w:val="1B1B1B"/>
          <w:kern w:val="0"/>
          <w:sz w:val="24"/>
          <w:szCs w:val="24"/>
          <w:lang w:eastAsia="en-GB"/>
          <w14:ligatures w14:val="none"/>
        </w:rPr>
        <w:t> </w:t>
      </w:r>
    </w:p>
    <w:p w14:paraId="322291CB"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color w:val="222222"/>
          <w:kern w:val="0"/>
          <w:sz w:val="24"/>
          <w:szCs w:val="24"/>
          <w:lang w:eastAsia="en-GB"/>
          <w14:ligatures w14:val="none"/>
        </w:rPr>
        <w:t>Office for National Statistics. (2021) Health inequalities in Wales</w:t>
      </w:r>
      <w:r w:rsidRPr="00DD04D5">
        <w:rPr>
          <w:rFonts w:eastAsia="Times New Roman" w:cstheme="minorHAnsi"/>
          <w:i/>
          <w:iCs/>
          <w:color w:val="222222"/>
          <w:kern w:val="0"/>
          <w:sz w:val="24"/>
          <w:szCs w:val="24"/>
          <w:lang w:eastAsia="en-GB"/>
          <w14:ligatures w14:val="none"/>
        </w:rPr>
        <w:t>. Retrieved from ONS website. </w:t>
      </w:r>
    </w:p>
    <w:p w14:paraId="733FD429" w14:textId="7FEA89A4"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r w:rsidRPr="00DD04D5">
        <w:rPr>
          <w:rFonts w:eastAsia="Times New Roman" w:cstheme="minorHAnsi"/>
          <w:kern w:val="0"/>
          <w:sz w:val="24"/>
          <w:szCs w:val="24"/>
          <w:lang w:eastAsia="en-GB"/>
          <w14:ligatures w14:val="none"/>
        </w:rPr>
        <w:t>Ogbonna, E. (2020)</w:t>
      </w:r>
      <w:r w:rsidRPr="00DD04D5">
        <w:rPr>
          <w:rFonts w:eastAsia="Times New Roman" w:cstheme="minorHAnsi"/>
          <w:i/>
          <w:iCs/>
          <w:kern w:val="0"/>
          <w:sz w:val="24"/>
          <w:szCs w:val="24"/>
          <w:lang w:eastAsia="en-GB"/>
          <w14:ligatures w14:val="none"/>
        </w:rPr>
        <w:t xml:space="preserve"> First minister’s BAME COVID-19 advisory group: report of the socioeconomic subgroup. </w:t>
      </w:r>
    </w:p>
    <w:p w14:paraId="72BB2AAB"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hyperlink r:id="rId26" w:tgtFrame="_blank" w:history="1">
        <w:r w:rsidRPr="00DD04D5">
          <w:rPr>
            <w:rFonts w:eastAsia="Times New Roman" w:cstheme="minorHAnsi"/>
            <w:i/>
            <w:iCs/>
            <w:color w:val="0563C1"/>
            <w:kern w:val="0"/>
            <w:sz w:val="24"/>
            <w:szCs w:val="24"/>
            <w:u w:val="single"/>
            <w:lang w:eastAsia="en-GB"/>
            <w14:ligatures w14:val="none"/>
          </w:rPr>
          <w:t>https://www.gov.wales/sites/default/files/publications/2020-06/first-ministers-bame-covid-19-advisory-group-report-of-the-socioeconomic-subgroup.pdf</w:t>
        </w:r>
      </w:hyperlink>
      <w:r w:rsidRPr="00DD04D5">
        <w:rPr>
          <w:rFonts w:eastAsia="Times New Roman" w:cstheme="minorHAnsi"/>
          <w:i/>
          <w:iCs/>
          <w:kern w:val="0"/>
          <w:sz w:val="24"/>
          <w:szCs w:val="24"/>
          <w:lang w:eastAsia="en-GB"/>
          <w14:ligatures w14:val="none"/>
        </w:rPr>
        <w:t> </w:t>
      </w:r>
    </w:p>
    <w:p w14:paraId="162BFE10" w14:textId="0FFE0E06" w:rsidR="0066338D" w:rsidRPr="00DD04D5" w:rsidRDefault="0066338D" w:rsidP="0063164D">
      <w:pPr>
        <w:pStyle w:val="NormalWeb"/>
        <w:shd w:val="clear" w:color="auto" w:fill="FFFFFF"/>
        <w:spacing w:line="360" w:lineRule="auto"/>
        <w:rPr>
          <w:rFonts w:asciiTheme="minorHAnsi" w:hAnsiTheme="minorHAnsi" w:cstheme="minorHAnsi"/>
        </w:rPr>
      </w:pPr>
      <w:r w:rsidRPr="0063164D">
        <w:rPr>
          <w:rFonts w:asciiTheme="minorHAnsi" w:hAnsiTheme="minorHAnsi" w:cstheme="minorHAnsi"/>
        </w:rPr>
        <w:t xml:space="preserve"> Public Health Wales (2022) </w:t>
      </w:r>
      <w:r w:rsidRPr="0063164D">
        <w:rPr>
          <w:rFonts w:asciiTheme="minorHAnsi" w:hAnsiTheme="minorHAnsi" w:cstheme="minorHAnsi"/>
          <w:i/>
          <w:iCs/>
        </w:rPr>
        <w:t xml:space="preserve">Rural communities face pivotal time of changes as ‘Triple challenges’ impacts take effect.  </w:t>
      </w:r>
      <w:r w:rsidRPr="0063164D">
        <w:rPr>
          <w:rFonts w:asciiTheme="minorHAnsi" w:hAnsiTheme="minorHAnsi" w:cstheme="minorHAnsi"/>
        </w:rPr>
        <w:t xml:space="preserve">Cardiff: Public Health Wales.  Available at: </w:t>
      </w:r>
      <w:hyperlink r:id="rId27" w:history="1">
        <w:r w:rsidRPr="0063164D">
          <w:rPr>
            <w:rStyle w:val="Hyperlink"/>
            <w:rFonts w:asciiTheme="minorHAnsi" w:hAnsiTheme="minorHAnsi" w:cstheme="minorHAnsi"/>
          </w:rPr>
          <w:t>https://phw.nhs.wales/news/rural-communities-face-pivotal-time-of-change-as-triple-challenge-impacts-take-effect/</w:t>
        </w:r>
      </w:hyperlink>
      <w:r w:rsidRPr="0063164D">
        <w:rPr>
          <w:rFonts w:asciiTheme="minorHAnsi" w:hAnsiTheme="minorHAnsi" w:cstheme="minorHAnsi"/>
        </w:rPr>
        <w:t xml:space="preserve">  (Accessed: 5</w:t>
      </w:r>
      <w:r w:rsidRPr="0063164D">
        <w:rPr>
          <w:rFonts w:asciiTheme="minorHAnsi" w:hAnsiTheme="minorHAnsi" w:cstheme="minorHAnsi"/>
          <w:vertAlign w:val="superscript"/>
        </w:rPr>
        <w:t>th</w:t>
      </w:r>
      <w:r w:rsidRPr="0063164D">
        <w:rPr>
          <w:rFonts w:asciiTheme="minorHAnsi" w:hAnsiTheme="minorHAnsi" w:cstheme="minorHAnsi"/>
        </w:rPr>
        <w:t xml:space="preserve"> November, 2024)</w:t>
      </w:r>
      <w:r w:rsidR="000F5A66" w:rsidRPr="0063164D">
        <w:rPr>
          <w:rFonts w:asciiTheme="minorHAnsi" w:hAnsiTheme="minorHAnsi" w:cstheme="minorHAnsi"/>
        </w:rPr>
        <w:t>.</w:t>
      </w:r>
    </w:p>
    <w:p w14:paraId="1CD10538" w14:textId="77777777" w:rsidR="00DD04D5" w:rsidRPr="00DD04D5" w:rsidRDefault="00DD04D5" w:rsidP="0063164D">
      <w:pPr>
        <w:spacing w:after="0"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Public Health Wales (2022</w:t>
      </w:r>
      <w:r w:rsidRPr="00DD04D5">
        <w:rPr>
          <w:rFonts w:eastAsia="Times New Roman" w:cstheme="minorHAnsi"/>
          <w:i/>
          <w:iCs/>
          <w:kern w:val="0"/>
          <w:sz w:val="24"/>
          <w:szCs w:val="24"/>
          <w:lang w:eastAsia="en-GB"/>
          <w14:ligatures w14:val="none"/>
        </w:rPr>
        <w:t>) Inequalities in life expectancy increased while inequalities in healthy life expectancy remained stable.  </w:t>
      </w:r>
    </w:p>
    <w:p w14:paraId="1143F850" w14:textId="38D4F721" w:rsidR="00662780" w:rsidRPr="0063164D" w:rsidRDefault="00DD04D5" w:rsidP="0063164D">
      <w:pPr>
        <w:spacing w:after="0"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t>Public Health Wales (2021)</w:t>
      </w:r>
      <w:r w:rsidRPr="00DD04D5">
        <w:rPr>
          <w:rFonts w:eastAsia="Times New Roman" w:cstheme="minorHAnsi"/>
          <w:i/>
          <w:iCs/>
          <w:kern w:val="0"/>
          <w:sz w:val="24"/>
          <w:szCs w:val="24"/>
          <w:lang w:eastAsia="en-GB"/>
          <w14:ligatures w14:val="none"/>
        </w:rPr>
        <w:t>   Health Equity in Wales: A Shared Approach.  </w:t>
      </w:r>
    </w:p>
    <w:p w14:paraId="64F6820A" w14:textId="65B1F749" w:rsidR="00662780" w:rsidRPr="0063164D" w:rsidRDefault="00662780" w:rsidP="0063164D">
      <w:pPr>
        <w:spacing w:after="0" w:line="360" w:lineRule="auto"/>
        <w:textAlignment w:val="baseline"/>
        <w:rPr>
          <w:rFonts w:eastAsia="Times New Roman" w:cstheme="minorHAnsi"/>
          <w:i/>
          <w:iCs/>
          <w:kern w:val="0"/>
          <w:sz w:val="24"/>
          <w:szCs w:val="24"/>
          <w:lang w:eastAsia="en-GB"/>
          <w14:ligatures w14:val="none"/>
        </w:rPr>
      </w:pPr>
      <w:r w:rsidRPr="0063164D">
        <w:rPr>
          <w:rFonts w:eastAsia="Times New Roman" w:cstheme="minorHAnsi"/>
          <w:i/>
          <w:iCs/>
          <w:kern w:val="0"/>
          <w:sz w:val="24"/>
          <w:szCs w:val="24"/>
          <w:lang w:eastAsia="en-GB"/>
          <w14:ligatures w14:val="none"/>
        </w:rPr>
        <w:t xml:space="preserve">Public </w:t>
      </w:r>
      <w:r w:rsidR="008B22CF" w:rsidRPr="0063164D">
        <w:rPr>
          <w:rFonts w:eastAsia="Times New Roman" w:cstheme="minorHAnsi"/>
          <w:i/>
          <w:iCs/>
          <w:kern w:val="0"/>
          <w:sz w:val="24"/>
          <w:szCs w:val="24"/>
          <w:lang w:eastAsia="en-GB"/>
          <w14:ligatures w14:val="none"/>
        </w:rPr>
        <w:t>H</w:t>
      </w:r>
      <w:r w:rsidRPr="0063164D">
        <w:rPr>
          <w:rFonts w:eastAsia="Times New Roman" w:cstheme="minorHAnsi"/>
          <w:i/>
          <w:iCs/>
          <w:kern w:val="0"/>
          <w:sz w:val="24"/>
          <w:szCs w:val="24"/>
          <w:lang w:eastAsia="en-GB"/>
          <w14:ligatures w14:val="none"/>
        </w:rPr>
        <w:t>eal</w:t>
      </w:r>
      <w:r w:rsidR="0061004E" w:rsidRPr="0063164D">
        <w:rPr>
          <w:rFonts w:eastAsia="Times New Roman" w:cstheme="minorHAnsi"/>
          <w:i/>
          <w:iCs/>
          <w:kern w:val="0"/>
          <w:sz w:val="24"/>
          <w:szCs w:val="24"/>
          <w:lang w:eastAsia="en-GB"/>
          <w14:ligatures w14:val="none"/>
        </w:rPr>
        <w:t xml:space="preserve">th Wales (2022) </w:t>
      </w:r>
      <w:r w:rsidR="00A71946" w:rsidRPr="0063164D">
        <w:rPr>
          <w:rFonts w:eastAsia="Times New Roman" w:cstheme="minorHAnsi"/>
          <w:i/>
          <w:iCs/>
          <w:kern w:val="0"/>
          <w:sz w:val="24"/>
          <w:szCs w:val="24"/>
          <w:lang w:eastAsia="en-GB"/>
          <w14:ligatures w14:val="none"/>
        </w:rPr>
        <w:t>Health</w:t>
      </w:r>
      <w:r w:rsidR="008B22CF" w:rsidRPr="0063164D">
        <w:rPr>
          <w:rFonts w:eastAsia="Times New Roman" w:cstheme="minorHAnsi"/>
          <w:i/>
          <w:iCs/>
          <w:kern w:val="0"/>
          <w:sz w:val="24"/>
          <w:szCs w:val="24"/>
          <w:lang w:eastAsia="en-GB"/>
          <w14:ligatures w14:val="none"/>
        </w:rPr>
        <w:t xml:space="preserve"> wealth</w:t>
      </w:r>
      <w:r w:rsidR="00930875" w:rsidRPr="0063164D">
        <w:rPr>
          <w:rFonts w:eastAsia="Times New Roman" w:cstheme="minorHAnsi"/>
          <w:i/>
          <w:iCs/>
          <w:kern w:val="0"/>
          <w:sz w:val="24"/>
          <w:szCs w:val="24"/>
          <w:lang w:eastAsia="en-GB"/>
          <w14:ligatures w14:val="none"/>
        </w:rPr>
        <w:t>: why tackling health ineq</w:t>
      </w:r>
      <w:r w:rsidR="006A2DDC" w:rsidRPr="0063164D">
        <w:rPr>
          <w:rFonts w:eastAsia="Times New Roman" w:cstheme="minorHAnsi"/>
          <w:i/>
          <w:iCs/>
          <w:kern w:val="0"/>
          <w:sz w:val="24"/>
          <w:szCs w:val="24"/>
          <w:lang w:eastAsia="en-GB"/>
          <w14:ligatures w14:val="none"/>
        </w:rPr>
        <w:t xml:space="preserve">ualities </w:t>
      </w:r>
      <w:r w:rsidR="002156D2" w:rsidRPr="0063164D">
        <w:rPr>
          <w:rFonts w:eastAsia="Times New Roman" w:cstheme="minorHAnsi"/>
          <w:i/>
          <w:iCs/>
          <w:kern w:val="0"/>
          <w:sz w:val="24"/>
          <w:szCs w:val="24"/>
          <w:lang w:eastAsia="en-GB"/>
          <w14:ligatures w14:val="none"/>
        </w:rPr>
        <w:t>is</w:t>
      </w:r>
      <w:r w:rsidR="006A2DDC" w:rsidRPr="0063164D">
        <w:rPr>
          <w:rFonts w:eastAsia="Times New Roman" w:cstheme="minorHAnsi"/>
          <w:i/>
          <w:iCs/>
          <w:kern w:val="0"/>
          <w:sz w:val="24"/>
          <w:szCs w:val="24"/>
          <w:lang w:eastAsia="en-GB"/>
          <w14:ligatures w14:val="none"/>
        </w:rPr>
        <w:t xml:space="preserve"> so important.</w:t>
      </w:r>
      <w:r w:rsidR="00A71946" w:rsidRPr="0063164D">
        <w:rPr>
          <w:rFonts w:eastAsia="Times New Roman" w:cstheme="minorHAnsi"/>
          <w:i/>
          <w:iCs/>
          <w:kern w:val="0"/>
          <w:sz w:val="24"/>
          <w:szCs w:val="24"/>
          <w:lang w:eastAsia="en-GB"/>
          <w14:ligatures w14:val="none"/>
        </w:rPr>
        <w:t xml:space="preserve"> </w:t>
      </w:r>
    </w:p>
    <w:p w14:paraId="54EABF5D" w14:textId="28EFFD9C" w:rsidR="00662780" w:rsidRPr="00DD04D5" w:rsidRDefault="00662780" w:rsidP="0063164D">
      <w:pPr>
        <w:spacing w:after="0" w:line="360" w:lineRule="auto"/>
        <w:textAlignment w:val="baseline"/>
        <w:rPr>
          <w:rFonts w:eastAsia="Times New Roman" w:cstheme="minorHAnsi"/>
          <w:i/>
          <w:iCs/>
          <w:kern w:val="0"/>
          <w:sz w:val="24"/>
          <w:szCs w:val="24"/>
          <w:lang w:eastAsia="en-GB"/>
          <w14:ligatures w14:val="none"/>
        </w:rPr>
      </w:pPr>
      <w:hyperlink r:id="rId28" w:history="1">
        <w:r w:rsidRPr="0063164D">
          <w:rPr>
            <w:rStyle w:val="Hyperlink"/>
            <w:rFonts w:eastAsia="Times New Roman" w:cstheme="minorHAnsi"/>
            <w:i/>
            <w:iCs/>
            <w:kern w:val="0"/>
            <w:sz w:val="24"/>
            <w:szCs w:val="24"/>
            <w:lang w:eastAsia="en-GB"/>
            <w14:ligatures w14:val="none"/>
          </w:rPr>
          <w:t>https://research.senedd.wales/research-articles/health-and-wealth-why-tackling-health-inequalities-is-so-important/</w:t>
        </w:r>
      </w:hyperlink>
    </w:p>
    <w:p w14:paraId="427D2A63"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shd w:val="clear" w:color="auto" w:fill="FFFFFF"/>
          <w:lang w:eastAsia="en-GB"/>
          <w14:ligatures w14:val="none"/>
        </w:rPr>
        <w:t> </w:t>
      </w:r>
      <w:r w:rsidRPr="00DD04D5">
        <w:rPr>
          <w:rFonts w:eastAsia="Times New Roman" w:cstheme="minorHAnsi"/>
          <w:color w:val="1B1B1B"/>
          <w:kern w:val="0"/>
          <w:sz w:val="24"/>
          <w:szCs w:val="24"/>
          <w:shd w:val="clear" w:color="auto" w:fill="FFFFFF"/>
          <w:lang w:eastAsia="en-GB"/>
          <w14:ligatures w14:val="none"/>
        </w:rPr>
        <w:t>Southern Medical Association</w:t>
      </w:r>
      <w:r w:rsidRPr="00DD04D5">
        <w:rPr>
          <w:rFonts w:eastAsia="Times New Roman" w:cstheme="minorHAnsi"/>
          <w:i/>
          <w:iCs/>
          <w:color w:val="1B1B1B"/>
          <w:kern w:val="0"/>
          <w:sz w:val="24"/>
          <w:szCs w:val="24"/>
          <w:shd w:val="clear" w:color="auto" w:fill="FFFFFF"/>
          <w:lang w:eastAsia="en-GB"/>
          <w14:ligatures w14:val="none"/>
        </w:rPr>
        <w:t xml:space="preserve"> (2020) The UK National Health Service: A Rural Verse Urban Perspective.</w:t>
      </w:r>
      <w:r w:rsidRPr="00DD04D5">
        <w:rPr>
          <w:rFonts w:eastAsia="Times New Roman" w:cstheme="minorHAnsi"/>
          <w:i/>
          <w:iCs/>
          <w:color w:val="1B1B1B"/>
          <w:kern w:val="0"/>
          <w:sz w:val="24"/>
          <w:szCs w:val="24"/>
          <w:lang w:eastAsia="en-GB"/>
          <w14:ligatures w14:val="none"/>
        </w:rPr>
        <w:t> </w:t>
      </w:r>
    </w:p>
    <w:p w14:paraId="21F718C8" w14:textId="76064066" w:rsidR="00AD426C" w:rsidRPr="00DD04D5" w:rsidRDefault="00DD04D5" w:rsidP="0063164D">
      <w:pPr>
        <w:shd w:val="clear" w:color="auto" w:fill="FFFFFF"/>
        <w:spacing w:beforeAutospacing="1" w:after="0" w:afterAutospacing="1" w:line="360" w:lineRule="auto"/>
        <w:textAlignment w:val="baseline"/>
        <w:rPr>
          <w:rFonts w:eastAsia="Times New Roman" w:cstheme="minorHAnsi"/>
          <w:color w:val="1B1B1B"/>
          <w:kern w:val="0"/>
          <w:sz w:val="24"/>
          <w:szCs w:val="24"/>
          <w:lang w:eastAsia="en-GB"/>
          <w14:ligatures w14:val="none"/>
        </w:rPr>
      </w:pPr>
      <w:hyperlink r:id="rId29" w:tgtFrame="_blank" w:history="1">
        <w:r w:rsidRPr="00DD04D5">
          <w:rPr>
            <w:rFonts w:eastAsia="Times New Roman" w:cstheme="minorHAnsi"/>
            <w:i/>
            <w:iCs/>
            <w:color w:val="0563C1"/>
            <w:kern w:val="0"/>
            <w:sz w:val="24"/>
            <w:szCs w:val="24"/>
            <w:u w:val="single"/>
            <w:shd w:val="clear" w:color="auto" w:fill="FFFFFF"/>
            <w:lang w:eastAsia="en-GB"/>
            <w14:ligatures w14:val="none"/>
          </w:rPr>
          <w:t>https://sma.org/the-uk-national-health-service/</w:t>
        </w:r>
      </w:hyperlink>
      <w:r w:rsidRPr="00DD04D5">
        <w:rPr>
          <w:rFonts w:eastAsia="Times New Roman" w:cstheme="minorHAnsi"/>
          <w:color w:val="1B1B1B"/>
          <w:kern w:val="0"/>
          <w:sz w:val="24"/>
          <w:szCs w:val="24"/>
          <w:lang w:eastAsia="en-GB"/>
          <w14:ligatures w14:val="none"/>
        </w:rPr>
        <w:t> </w:t>
      </w:r>
    </w:p>
    <w:p w14:paraId="0328B5C1"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color w:val="1B1B1B"/>
          <w:kern w:val="0"/>
          <w:sz w:val="24"/>
          <w:szCs w:val="24"/>
          <w:shd w:val="clear" w:color="auto" w:fill="FFFFFF"/>
          <w:lang w:eastAsia="en-GB"/>
          <w14:ligatures w14:val="none"/>
        </w:rPr>
        <w:t> United Nations (2021</w:t>
      </w:r>
      <w:r w:rsidRPr="00DD04D5">
        <w:rPr>
          <w:rFonts w:eastAsia="Times New Roman" w:cstheme="minorHAnsi"/>
          <w:i/>
          <w:iCs/>
          <w:color w:val="1B1B1B"/>
          <w:kern w:val="0"/>
          <w:sz w:val="24"/>
          <w:szCs w:val="24"/>
          <w:shd w:val="clear" w:color="auto" w:fill="FFFFFF"/>
          <w:lang w:eastAsia="en-GB"/>
          <w14:ligatures w14:val="none"/>
        </w:rPr>
        <w:t>) Reducing Poverty and Inequality In Rural Areas: Key To Inclusive Development.</w:t>
      </w:r>
      <w:r w:rsidRPr="00DD04D5">
        <w:rPr>
          <w:rFonts w:eastAsia="Times New Roman" w:cstheme="minorHAnsi"/>
          <w:i/>
          <w:iCs/>
          <w:color w:val="1B1B1B"/>
          <w:kern w:val="0"/>
          <w:sz w:val="24"/>
          <w:szCs w:val="24"/>
          <w:lang w:eastAsia="en-GB"/>
          <w14:ligatures w14:val="none"/>
        </w:rPr>
        <w:t> </w:t>
      </w:r>
    </w:p>
    <w:p w14:paraId="4BD14F0E"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hyperlink r:id="rId30" w:tgtFrame="_blank" w:history="1">
        <w:r w:rsidRPr="00DD04D5">
          <w:rPr>
            <w:rFonts w:eastAsia="Times New Roman" w:cstheme="minorHAnsi"/>
            <w:i/>
            <w:iCs/>
            <w:color w:val="0563C1"/>
            <w:kern w:val="0"/>
            <w:sz w:val="24"/>
            <w:szCs w:val="24"/>
            <w:u w:val="single"/>
            <w:shd w:val="clear" w:color="auto" w:fill="FFFFFF"/>
            <w:lang w:eastAsia="en-GB"/>
            <w14:ligatures w14:val="none"/>
          </w:rPr>
          <w:t>https://social.desa.un.org/publications/reducing-poverty-and-inequality-in-rural-areas-key-to-inclusive-development</w:t>
        </w:r>
      </w:hyperlink>
      <w:r w:rsidRPr="00DD04D5">
        <w:rPr>
          <w:rFonts w:eastAsia="Times New Roman" w:cstheme="minorHAnsi"/>
          <w:i/>
          <w:iCs/>
          <w:color w:val="1B1B1B"/>
          <w:kern w:val="0"/>
          <w:sz w:val="24"/>
          <w:szCs w:val="24"/>
          <w:lang w:eastAsia="en-GB"/>
          <w14:ligatures w14:val="none"/>
        </w:rPr>
        <w:t> </w:t>
      </w:r>
    </w:p>
    <w:p w14:paraId="37D2B0CB" w14:textId="5816DC85"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kern w:val="0"/>
          <w:sz w:val="24"/>
          <w:szCs w:val="24"/>
          <w:lang w:eastAsia="en-GB"/>
          <w14:ligatures w14:val="none"/>
        </w:rPr>
        <w:lastRenderedPageBreak/>
        <w:t>Welsh Government (2020)</w:t>
      </w:r>
      <w:r w:rsidRPr="00DD04D5">
        <w:rPr>
          <w:rFonts w:eastAsia="Times New Roman" w:cstheme="minorHAnsi"/>
          <w:i/>
          <w:iCs/>
          <w:kern w:val="0"/>
          <w:sz w:val="24"/>
          <w:szCs w:val="24"/>
          <w:lang w:eastAsia="en-GB"/>
          <w14:ligatures w14:val="none"/>
        </w:rPr>
        <w:t xml:space="preserve"> Coronavirus (COVID-19) and the Black, Asian, and Minority Ethnic (BAME) population in Wales, Welsh Government. </w:t>
      </w:r>
    </w:p>
    <w:p w14:paraId="28D52B06"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color w:val="222222"/>
          <w:kern w:val="0"/>
          <w:sz w:val="24"/>
          <w:szCs w:val="24"/>
          <w:lang w:eastAsia="en-GB"/>
          <w14:ligatures w14:val="none"/>
        </w:rPr>
        <w:t>Welsh Government, (2015</w:t>
      </w:r>
      <w:r w:rsidRPr="00DD04D5">
        <w:rPr>
          <w:rFonts w:eastAsia="Times New Roman" w:cstheme="minorHAnsi"/>
          <w:i/>
          <w:iCs/>
          <w:color w:val="222222"/>
          <w:kern w:val="0"/>
          <w:sz w:val="24"/>
          <w:szCs w:val="24"/>
          <w:lang w:eastAsia="en-GB"/>
          <w14:ligatures w14:val="none"/>
        </w:rPr>
        <w:t>) Well-being of Future Generations (Wales) Act. Retrieved from Welsh Government website. </w:t>
      </w:r>
    </w:p>
    <w:p w14:paraId="14E03F67" w14:textId="0EC49A50"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222222"/>
          <w:kern w:val="0"/>
          <w:sz w:val="24"/>
          <w:szCs w:val="24"/>
          <w:lang w:eastAsia="en-GB"/>
          <w14:ligatures w14:val="none"/>
        </w:rPr>
        <w:t> </w:t>
      </w:r>
      <w:r w:rsidRPr="00DD04D5">
        <w:rPr>
          <w:rFonts w:eastAsia="Times New Roman" w:cstheme="minorHAnsi"/>
          <w:color w:val="222222"/>
          <w:kern w:val="0"/>
          <w:sz w:val="24"/>
          <w:szCs w:val="24"/>
          <w:lang w:eastAsia="en-GB"/>
          <w14:ligatures w14:val="none"/>
        </w:rPr>
        <w:t>Welsh Government, (2020)</w:t>
      </w:r>
      <w:r w:rsidRPr="00DD04D5">
        <w:rPr>
          <w:rFonts w:eastAsia="Times New Roman" w:cstheme="minorHAnsi"/>
          <w:i/>
          <w:iCs/>
          <w:color w:val="222222"/>
          <w:kern w:val="0"/>
          <w:sz w:val="24"/>
          <w:szCs w:val="24"/>
          <w:lang w:eastAsia="en-GB"/>
          <w14:ligatures w14:val="none"/>
        </w:rPr>
        <w:t xml:space="preserve"> Health Inequalities: The Impact of COVID-19. Retrieved from Welsh Government website. </w:t>
      </w:r>
      <w:r w:rsidR="00D64179" w:rsidRPr="0063164D">
        <w:rPr>
          <w:rFonts w:eastAsia="Times New Roman" w:cstheme="minorHAnsi"/>
          <w:i/>
          <w:iCs/>
          <w:color w:val="222222"/>
          <w:kern w:val="0"/>
          <w:sz w:val="24"/>
          <w:szCs w:val="24"/>
          <w:lang w:eastAsia="en-GB"/>
          <w14:ligatures w14:val="none"/>
        </w:rPr>
        <w:t xml:space="preserve"> </w:t>
      </w:r>
    </w:p>
    <w:p w14:paraId="79ED0B10"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hyperlink r:id="rId31" w:anchor="id=18&amp;iurl=https%3A%2F%2Fwww.kff.org%2Fwp-content%2Fuploads%2F2014%2F05%2F8597-figure-2.png&amp;action=close" w:tgtFrame="_blank" w:history="1">
        <w:r w:rsidRPr="00DD04D5">
          <w:rPr>
            <w:rFonts w:eastAsia="Times New Roman" w:cstheme="minorHAnsi"/>
            <w:i/>
            <w:iCs/>
            <w:color w:val="0563C1"/>
            <w:kern w:val="0"/>
            <w:sz w:val="24"/>
            <w:szCs w:val="24"/>
            <w:u w:val="single"/>
            <w:lang w:eastAsia="en-GB"/>
            <w14:ligatures w14:val="none"/>
          </w:rPr>
          <w:t>https://uk.images.search.yahoo.com/search/images;_ylt=AwrIeR3CBipn8AEA_VUM34lQ;_ylu=Y29sbwNpcjIEcG9zAzEEdnRpZAMEc2VjA3BpdnM-?p=health+inequality+in+urban+-+rural+in+wales+2020&amp;fr2=piv-web&amp;type=E211GB1456G0&amp;fr=mcafee#id=18&amp;iurl=https%3A%2F%2Fwww.kff.org%2Fwp-content%2Fuploads%2F2014%2F05%2F8597-figure-2.png&amp;action=close</w:t>
        </w:r>
      </w:hyperlink>
      <w:r w:rsidRPr="00DD04D5">
        <w:rPr>
          <w:rFonts w:eastAsia="Times New Roman" w:cstheme="minorHAnsi"/>
          <w:i/>
          <w:iCs/>
          <w:color w:val="0563C1"/>
          <w:kern w:val="0"/>
          <w:sz w:val="24"/>
          <w:szCs w:val="24"/>
          <w:lang w:eastAsia="en-GB"/>
          <w14:ligatures w14:val="none"/>
        </w:rPr>
        <w:t> </w:t>
      </w:r>
    </w:p>
    <w:p w14:paraId="24D7B181" w14:textId="575A2FC7" w:rsidR="00F9188B" w:rsidRPr="0063164D" w:rsidRDefault="00DD04D5" w:rsidP="0063164D">
      <w:pPr>
        <w:shd w:val="clear" w:color="auto" w:fill="FFFFFF"/>
        <w:spacing w:beforeAutospacing="1" w:after="0" w:afterAutospacing="1" w:line="360" w:lineRule="auto"/>
        <w:textAlignment w:val="baseline"/>
        <w:rPr>
          <w:rFonts w:eastAsia="Times New Roman" w:cstheme="minorHAnsi"/>
          <w:i/>
          <w:iCs/>
          <w:color w:val="0563C1"/>
          <w:kern w:val="0"/>
          <w:sz w:val="24"/>
          <w:szCs w:val="24"/>
          <w:u w:val="single"/>
          <w:lang w:val="nl-NL" w:eastAsia="en-GB"/>
          <w14:ligatures w14:val="none"/>
        </w:rPr>
      </w:pPr>
      <w:r w:rsidRPr="00DD04D5">
        <w:rPr>
          <w:rFonts w:eastAsia="Times New Roman" w:cstheme="minorHAnsi"/>
          <w:i/>
          <w:iCs/>
          <w:color w:val="0563C1"/>
          <w:kern w:val="0"/>
          <w:sz w:val="24"/>
          <w:szCs w:val="24"/>
          <w:lang w:val="nl-NL" w:eastAsia="en-GB"/>
          <w14:ligatures w14:val="none"/>
        </w:rPr>
        <w:t>ONS 2023</w:t>
      </w:r>
      <w:r w:rsidRPr="00DD04D5">
        <w:rPr>
          <w:rFonts w:eastAsia="Times New Roman" w:cstheme="minorHAnsi"/>
          <w:i/>
          <w:iCs/>
          <w:color w:val="0563C1"/>
          <w:kern w:val="0"/>
          <w:sz w:val="24"/>
          <w:szCs w:val="24"/>
          <w:u w:val="single"/>
          <w:lang w:val="nl-NL" w:eastAsia="en-GB"/>
          <w14:ligatures w14:val="none"/>
        </w:rPr>
        <w:t xml:space="preserve"> </w:t>
      </w:r>
      <w:hyperlink r:id="rId32" w:history="1">
        <w:r w:rsidR="00F9188B" w:rsidRPr="00DD04D5">
          <w:rPr>
            <w:rStyle w:val="Hyperlink"/>
            <w:rFonts w:eastAsia="Times New Roman" w:cstheme="minorHAnsi"/>
            <w:i/>
            <w:iCs/>
            <w:kern w:val="0"/>
            <w:sz w:val="24"/>
            <w:szCs w:val="24"/>
            <w:lang w:val="nl-NL" w:eastAsia="en-GB"/>
            <w14:ligatures w14:val="none"/>
          </w:rPr>
          <w:t>https://www.ons.gov.uk/peoplepopulationandcommunity/birthsdeathsandmarriages/deaths/articles/updatingethniccontrastsindeathsinvolvingthecoronaviruscovid19englandandwales/24january2020to23november2022#:~:text=Figure%201%3A%20In%20the%20latest,with%20the%20White%20British%20group</w:t>
        </w:r>
      </w:hyperlink>
    </w:p>
    <w:p w14:paraId="15CE4AF1" w14:textId="52A5270B" w:rsidR="00DD04D5" w:rsidRPr="0063164D" w:rsidRDefault="00DD04D5" w:rsidP="0063164D">
      <w:pPr>
        <w:shd w:val="clear" w:color="auto" w:fill="FFFFFF"/>
        <w:spacing w:beforeAutospacing="1" w:after="0" w:afterAutospacing="1" w:line="360" w:lineRule="auto"/>
        <w:textAlignment w:val="baseline"/>
        <w:rPr>
          <w:rFonts w:eastAsia="Times New Roman" w:cstheme="minorHAnsi"/>
          <w:i/>
          <w:iCs/>
          <w:color w:val="0563C1"/>
          <w:kern w:val="0"/>
          <w:sz w:val="24"/>
          <w:szCs w:val="24"/>
          <w:lang w:eastAsia="en-GB"/>
          <w14:ligatures w14:val="none"/>
        </w:rPr>
      </w:pPr>
      <w:r w:rsidRPr="00DD04D5">
        <w:rPr>
          <w:rFonts w:eastAsia="Times New Roman" w:cstheme="minorHAnsi"/>
          <w:i/>
          <w:iCs/>
          <w:color w:val="0563C1"/>
          <w:kern w:val="0"/>
          <w:sz w:val="24"/>
          <w:szCs w:val="24"/>
          <w:lang w:eastAsia="en-GB"/>
          <w14:ligatures w14:val="none"/>
        </w:rPr>
        <w:t> </w:t>
      </w:r>
      <w:hyperlink r:id="rId33" w:history="1">
        <w:r w:rsidR="00756171" w:rsidRPr="0063164D">
          <w:rPr>
            <w:rStyle w:val="Hyperlink"/>
            <w:rFonts w:eastAsia="Times New Roman" w:cstheme="minorHAnsi"/>
            <w:i/>
            <w:iCs/>
            <w:kern w:val="0"/>
            <w:sz w:val="24"/>
            <w:szCs w:val="24"/>
            <w:lang w:eastAsia="en-GB"/>
            <w14:ligatures w14:val="none"/>
          </w:rPr>
          <w:t>https://www.tes.com/teaching-resource/sociology-</w:t>
        </w:r>
        <w:r w:rsidR="00756171" w:rsidRPr="0063164D">
          <w:rPr>
            <w:rStyle w:val="Hyperlink"/>
            <w:rFonts w:eastAsia="Times New Roman" w:cstheme="minorHAnsi"/>
            <w:i/>
            <w:iCs/>
            <w:kern w:val="0"/>
            <w:sz w:val="24"/>
            <w:szCs w:val="24"/>
            <w:lang w:eastAsia="en-GB"/>
            <w14:ligatures w14:val="none"/>
          </w:rPr>
          <w:t>introduction-to-health-inequalities-in-health-ethnicity-11317409</w:t>
        </w:r>
      </w:hyperlink>
    </w:p>
    <w:p w14:paraId="5D16CDDD" w14:textId="77777777" w:rsidR="00756171" w:rsidRPr="0063164D" w:rsidRDefault="00756171" w:rsidP="0063164D">
      <w:pPr>
        <w:shd w:val="clear" w:color="auto" w:fill="FFFFFF"/>
        <w:spacing w:beforeAutospacing="1" w:after="0" w:afterAutospacing="1" w:line="360" w:lineRule="auto"/>
        <w:textAlignment w:val="baseline"/>
        <w:rPr>
          <w:rFonts w:eastAsia="Times New Roman" w:cstheme="minorHAnsi"/>
          <w:i/>
          <w:iCs/>
          <w:color w:val="0563C1"/>
          <w:kern w:val="0"/>
          <w:sz w:val="24"/>
          <w:szCs w:val="24"/>
          <w:lang w:eastAsia="en-GB"/>
          <w14:ligatures w14:val="none"/>
        </w:rPr>
      </w:pPr>
    </w:p>
    <w:p w14:paraId="61171E66" w14:textId="77777777" w:rsidR="00756171" w:rsidRPr="0063164D" w:rsidRDefault="00756171" w:rsidP="0063164D">
      <w:pPr>
        <w:shd w:val="clear" w:color="auto" w:fill="FFFFFF"/>
        <w:spacing w:beforeAutospacing="1" w:after="0" w:afterAutospacing="1" w:line="360" w:lineRule="auto"/>
        <w:textAlignment w:val="baseline"/>
        <w:rPr>
          <w:rFonts w:eastAsia="Times New Roman" w:cstheme="minorHAnsi"/>
          <w:i/>
          <w:iCs/>
          <w:color w:val="0563C1"/>
          <w:kern w:val="0"/>
          <w:sz w:val="24"/>
          <w:szCs w:val="24"/>
          <w:lang w:eastAsia="en-GB"/>
          <w14:ligatures w14:val="none"/>
        </w:rPr>
      </w:pPr>
    </w:p>
    <w:p w14:paraId="513B79CB" w14:textId="77777777" w:rsidR="00756171" w:rsidRPr="00DD04D5" w:rsidRDefault="00756171"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p>
    <w:p w14:paraId="261DC935"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5FBCBEEF"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66F5B801"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7BA0EEC1"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lastRenderedPageBreak/>
        <w:t> </w:t>
      </w:r>
    </w:p>
    <w:p w14:paraId="67F44DA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225332DE"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6CD34184"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7F85611B"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3AEB4843"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6F400B21"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1B1B1B"/>
          <w:kern w:val="0"/>
          <w:sz w:val="24"/>
          <w:szCs w:val="24"/>
          <w:lang w:eastAsia="en-GB"/>
          <w14:ligatures w14:val="none"/>
        </w:rPr>
        <w:t> </w:t>
      </w:r>
    </w:p>
    <w:p w14:paraId="06F7D432"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color w:val="222222"/>
          <w:kern w:val="0"/>
          <w:sz w:val="24"/>
          <w:szCs w:val="24"/>
          <w:lang w:val="nl-NL" w:eastAsia="en-GB"/>
          <w14:ligatures w14:val="none"/>
        </w:rPr>
        <w:t> </w:t>
      </w:r>
      <w:r w:rsidRPr="00DD04D5">
        <w:rPr>
          <w:rFonts w:eastAsia="Times New Roman" w:cstheme="minorHAnsi"/>
          <w:i/>
          <w:iCs/>
          <w:color w:val="222222"/>
          <w:kern w:val="0"/>
          <w:sz w:val="24"/>
          <w:szCs w:val="24"/>
          <w:lang w:eastAsia="en-GB"/>
          <w14:ligatures w14:val="none"/>
        </w:rPr>
        <w:t> </w:t>
      </w:r>
    </w:p>
    <w:p w14:paraId="6C944885"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0FAF05AA"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4878FB3C"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644B1AA4"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3049EA5C" w14:textId="77777777" w:rsidR="00DD04D5" w:rsidRPr="00DD04D5" w:rsidRDefault="00DD04D5" w:rsidP="0063164D">
      <w:pPr>
        <w:shd w:val="clear" w:color="auto" w:fill="FFFFFF"/>
        <w:spacing w:beforeAutospacing="1" w:after="0" w:afterAutospacing="1" w:line="360" w:lineRule="auto"/>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1EB08AAA" w14:textId="77777777" w:rsidR="00DD04D5" w:rsidRPr="00DD04D5" w:rsidRDefault="00DD04D5" w:rsidP="0063164D">
      <w:pPr>
        <w:spacing w:after="0" w:line="360" w:lineRule="auto"/>
        <w:ind w:left="720"/>
        <w:textAlignment w:val="baseline"/>
        <w:rPr>
          <w:rFonts w:eastAsia="Times New Roman" w:cstheme="minorHAnsi"/>
          <w:i/>
          <w:iCs/>
          <w:kern w:val="0"/>
          <w:sz w:val="24"/>
          <w:szCs w:val="24"/>
          <w:lang w:eastAsia="en-GB"/>
          <w14:ligatures w14:val="none"/>
        </w:rPr>
      </w:pPr>
      <w:r w:rsidRPr="00DD04D5">
        <w:rPr>
          <w:rFonts w:eastAsia="Times New Roman" w:cstheme="minorHAnsi"/>
          <w:i/>
          <w:iCs/>
          <w:kern w:val="0"/>
          <w:sz w:val="24"/>
          <w:szCs w:val="24"/>
          <w:lang w:eastAsia="en-GB"/>
          <w14:ligatures w14:val="none"/>
        </w:rPr>
        <w:t> </w:t>
      </w:r>
    </w:p>
    <w:p w14:paraId="75C45AEB" w14:textId="77777777" w:rsidR="00265743" w:rsidRPr="0063164D" w:rsidRDefault="00265743" w:rsidP="0063164D">
      <w:pPr>
        <w:spacing w:line="360" w:lineRule="auto"/>
        <w:rPr>
          <w:rFonts w:cstheme="minorHAnsi"/>
          <w:i/>
          <w:iCs/>
          <w:sz w:val="24"/>
          <w:szCs w:val="24"/>
        </w:rPr>
      </w:pPr>
    </w:p>
    <w:sectPr w:rsidR="00265743" w:rsidRPr="00631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4D5"/>
    <w:rsid w:val="000112F7"/>
    <w:rsid w:val="000144EF"/>
    <w:rsid w:val="000506E6"/>
    <w:rsid w:val="0005306D"/>
    <w:rsid w:val="00067A27"/>
    <w:rsid w:val="00076DF4"/>
    <w:rsid w:val="0008649A"/>
    <w:rsid w:val="00096E9B"/>
    <w:rsid w:val="000B005B"/>
    <w:rsid w:val="000C210E"/>
    <w:rsid w:val="000C523E"/>
    <w:rsid w:val="000D79E6"/>
    <w:rsid w:val="000E7096"/>
    <w:rsid w:val="000F5A66"/>
    <w:rsid w:val="00123E89"/>
    <w:rsid w:val="001754BB"/>
    <w:rsid w:val="00195282"/>
    <w:rsid w:val="001974E8"/>
    <w:rsid w:val="001A620F"/>
    <w:rsid w:val="001E3C42"/>
    <w:rsid w:val="001F2DA9"/>
    <w:rsid w:val="00205CCF"/>
    <w:rsid w:val="002156D2"/>
    <w:rsid w:val="00217451"/>
    <w:rsid w:val="00222CE3"/>
    <w:rsid w:val="00265743"/>
    <w:rsid w:val="002734D1"/>
    <w:rsid w:val="002735C6"/>
    <w:rsid w:val="002A0AA0"/>
    <w:rsid w:val="002A5939"/>
    <w:rsid w:val="002B7556"/>
    <w:rsid w:val="00305FFA"/>
    <w:rsid w:val="00324257"/>
    <w:rsid w:val="003242EF"/>
    <w:rsid w:val="00341D3F"/>
    <w:rsid w:val="003579A5"/>
    <w:rsid w:val="00372002"/>
    <w:rsid w:val="003756BE"/>
    <w:rsid w:val="003972CA"/>
    <w:rsid w:val="003A44E8"/>
    <w:rsid w:val="003A4B06"/>
    <w:rsid w:val="003B1F53"/>
    <w:rsid w:val="003D23F2"/>
    <w:rsid w:val="003D5022"/>
    <w:rsid w:val="003D65D3"/>
    <w:rsid w:val="003F7659"/>
    <w:rsid w:val="004238E8"/>
    <w:rsid w:val="00437C90"/>
    <w:rsid w:val="00450CA8"/>
    <w:rsid w:val="004574BF"/>
    <w:rsid w:val="004C3835"/>
    <w:rsid w:val="004C63AF"/>
    <w:rsid w:val="004D62C4"/>
    <w:rsid w:val="004E38D1"/>
    <w:rsid w:val="0050538A"/>
    <w:rsid w:val="0051534C"/>
    <w:rsid w:val="005238FE"/>
    <w:rsid w:val="005342C1"/>
    <w:rsid w:val="00544259"/>
    <w:rsid w:val="00593A01"/>
    <w:rsid w:val="005B70E8"/>
    <w:rsid w:val="005C224F"/>
    <w:rsid w:val="005D24F9"/>
    <w:rsid w:val="005D6535"/>
    <w:rsid w:val="005D78CF"/>
    <w:rsid w:val="0061004E"/>
    <w:rsid w:val="00615F3F"/>
    <w:rsid w:val="0063164D"/>
    <w:rsid w:val="00643C9C"/>
    <w:rsid w:val="00662780"/>
    <w:rsid w:val="0066338D"/>
    <w:rsid w:val="006738F4"/>
    <w:rsid w:val="00684772"/>
    <w:rsid w:val="00692205"/>
    <w:rsid w:val="00693F40"/>
    <w:rsid w:val="00695646"/>
    <w:rsid w:val="006A2DDC"/>
    <w:rsid w:val="006A3C7C"/>
    <w:rsid w:val="006A6C7A"/>
    <w:rsid w:val="006C0D5A"/>
    <w:rsid w:val="006D12AF"/>
    <w:rsid w:val="006D7AE9"/>
    <w:rsid w:val="006E0256"/>
    <w:rsid w:val="006E38B4"/>
    <w:rsid w:val="00707376"/>
    <w:rsid w:val="00746842"/>
    <w:rsid w:val="00756171"/>
    <w:rsid w:val="00786E91"/>
    <w:rsid w:val="00790F80"/>
    <w:rsid w:val="0079472E"/>
    <w:rsid w:val="007950C8"/>
    <w:rsid w:val="007A1BEA"/>
    <w:rsid w:val="007A3480"/>
    <w:rsid w:val="007A5F94"/>
    <w:rsid w:val="007B76EA"/>
    <w:rsid w:val="007D5124"/>
    <w:rsid w:val="00807059"/>
    <w:rsid w:val="0081540A"/>
    <w:rsid w:val="0082681F"/>
    <w:rsid w:val="00826ED0"/>
    <w:rsid w:val="00832D1A"/>
    <w:rsid w:val="008340CA"/>
    <w:rsid w:val="0085678C"/>
    <w:rsid w:val="00871D0D"/>
    <w:rsid w:val="008813E9"/>
    <w:rsid w:val="008B1AD0"/>
    <w:rsid w:val="008B22CF"/>
    <w:rsid w:val="008B7574"/>
    <w:rsid w:val="008B767C"/>
    <w:rsid w:val="008C7014"/>
    <w:rsid w:val="00930875"/>
    <w:rsid w:val="00940283"/>
    <w:rsid w:val="00953293"/>
    <w:rsid w:val="00962976"/>
    <w:rsid w:val="00964008"/>
    <w:rsid w:val="00977DEF"/>
    <w:rsid w:val="00991E45"/>
    <w:rsid w:val="009A4DE1"/>
    <w:rsid w:val="009A7D44"/>
    <w:rsid w:val="009B1769"/>
    <w:rsid w:val="009C430F"/>
    <w:rsid w:val="009C566A"/>
    <w:rsid w:val="009D412E"/>
    <w:rsid w:val="009F52E0"/>
    <w:rsid w:val="009F7420"/>
    <w:rsid w:val="00A002D1"/>
    <w:rsid w:val="00A01C74"/>
    <w:rsid w:val="00A139C5"/>
    <w:rsid w:val="00A151A5"/>
    <w:rsid w:val="00A2498B"/>
    <w:rsid w:val="00A41E44"/>
    <w:rsid w:val="00A66B89"/>
    <w:rsid w:val="00A71946"/>
    <w:rsid w:val="00A96DDE"/>
    <w:rsid w:val="00AA326E"/>
    <w:rsid w:val="00AB1AC0"/>
    <w:rsid w:val="00AC3B4E"/>
    <w:rsid w:val="00AD1BBC"/>
    <w:rsid w:val="00AD426C"/>
    <w:rsid w:val="00AD6ACF"/>
    <w:rsid w:val="00AF7C39"/>
    <w:rsid w:val="00B00061"/>
    <w:rsid w:val="00B0394D"/>
    <w:rsid w:val="00B20216"/>
    <w:rsid w:val="00B247F6"/>
    <w:rsid w:val="00B378DF"/>
    <w:rsid w:val="00B42DE5"/>
    <w:rsid w:val="00B5797C"/>
    <w:rsid w:val="00B626FB"/>
    <w:rsid w:val="00B65DB9"/>
    <w:rsid w:val="00B7003E"/>
    <w:rsid w:val="00B738AF"/>
    <w:rsid w:val="00B84660"/>
    <w:rsid w:val="00B87C7D"/>
    <w:rsid w:val="00BA6E2E"/>
    <w:rsid w:val="00BB037C"/>
    <w:rsid w:val="00BC3420"/>
    <w:rsid w:val="00BE4691"/>
    <w:rsid w:val="00C14C1D"/>
    <w:rsid w:val="00C32DA2"/>
    <w:rsid w:val="00C47956"/>
    <w:rsid w:val="00C620EF"/>
    <w:rsid w:val="00C70307"/>
    <w:rsid w:val="00C725AC"/>
    <w:rsid w:val="00C75C7B"/>
    <w:rsid w:val="00C77D5C"/>
    <w:rsid w:val="00C8294D"/>
    <w:rsid w:val="00C94DCC"/>
    <w:rsid w:val="00CC3307"/>
    <w:rsid w:val="00CC725D"/>
    <w:rsid w:val="00CC7B4D"/>
    <w:rsid w:val="00CD3BB2"/>
    <w:rsid w:val="00CD3FC4"/>
    <w:rsid w:val="00CF5457"/>
    <w:rsid w:val="00D13E21"/>
    <w:rsid w:val="00D52F8F"/>
    <w:rsid w:val="00D63F63"/>
    <w:rsid w:val="00D64179"/>
    <w:rsid w:val="00D90F81"/>
    <w:rsid w:val="00D94132"/>
    <w:rsid w:val="00DA0144"/>
    <w:rsid w:val="00DC6815"/>
    <w:rsid w:val="00DC74B4"/>
    <w:rsid w:val="00DD04D5"/>
    <w:rsid w:val="00DD6136"/>
    <w:rsid w:val="00E11192"/>
    <w:rsid w:val="00E12DE9"/>
    <w:rsid w:val="00E776B4"/>
    <w:rsid w:val="00E85A05"/>
    <w:rsid w:val="00E90406"/>
    <w:rsid w:val="00EC57C8"/>
    <w:rsid w:val="00ED3F0B"/>
    <w:rsid w:val="00EF0EED"/>
    <w:rsid w:val="00F35695"/>
    <w:rsid w:val="00F614CD"/>
    <w:rsid w:val="00F74ADF"/>
    <w:rsid w:val="00F76335"/>
    <w:rsid w:val="00F817BC"/>
    <w:rsid w:val="00F9188B"/>
    <w:rsid w:val="00F97F23"/>
    <w:rsid w:val="00FB3EC8"/>
    <w:rsid w:val="00FB6377"/>
    <w:rsid w:val="00FC63EE"/>
    <w:rsid w:val="00FF1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9D0721"/>
  <w15:chartTrackingRefBased/>
  <w15:docId w15:val="{B796A0D7-BF63-4BDC-B0A3-0CA4CC31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04D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D04D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D04D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D04D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D04D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D04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04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04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04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04D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D04D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D04D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D04D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D04D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D04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04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04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04D5"/>
    <w:rPr>
      <w:rFonts w:eastAsiaTheme="majorEastAsia" w:cstheme="majorBidi"/>
      <w:color w:val="272727" w:themeColor="text1" w:themeTint="D8"/>
    </w:rPr>
  </w:style>
  <w:style w:type="paragraph" w:styleId="Title">
    <w:name w:val="Title"/>
    <w:basedOn w:val="Normal"/>
    <w:next w:val="Normal"/>
    <w:link w:val="TitleChar"/>
    <w:uiPriority w:val="10"/>
    <w:qFormat/>
    <w:rsid w:val="00DD04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04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04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04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04D5"/>
    <w:pPr>
      <w:spacing w:before="160"/>
      <w:jc w:val="center"/>
    </w:pPr>
    <w:rPr>
      <w:i/>
      <w:iCs/>
      <w:color w:val="404040" w:themeColor="text1" w:themeTint="BF"/>
    </w:rPr>
  </w:style>
  <w:style w:type="character" w:customStyle="1" w:styleId="QuoteChar">
    <w:name w:val="Quote Char"/>
    <w:basedOn w:val="DefaultParagraphFont"/>
    <w:link w:val="Quote"/>
    <w:uiPriority w:val="29"/>
    <w:rsid w:val="00DD04D5"/>
    <w:rPr>
      <w:i/>
      <w:iCs/>
      <w:color w:val="404040" w:themeColor="text1" w:themeTint="BF"/>
    </w:rPr>
  </w:style>
  <w:style w:type="paragraph" w:styleId="ListParagraph">
    <w:name w:val="List Paragraph"/>
    <w:basedOn w:val="Normal"/>
    <w:uiPriority w:val="34"/>
    <w:qFormat/>
    <w:rsid w:val="00DD04D5"/>
    <w:pPr>
      <w:ind w:left="720"/>
      <w:contextualSpacing/>
    </w:pPr>
  </w:style>
  <w:style w:type="character" w:styleId="IntenseEmphasis">
    <w:name w:val="Intense Emphasis"/>
    <w:basedOn w:val="DefaultParagraphFont"/>
    <w:uiPriority w:val="21"/>
    <w:qFormat/>
    <w:rsid w:val="00DD04D5"/>
    <w:rPr>
      <w:i/>
      <w:iCs/>
      <w:color w:val="2F5496" w:themeColor="accent1" w:themeShade="BF"/>
    </w:rPr>
  </w:style>
  <w:style w:type="paragraph" w:styleId="IntenseQuote">
    <w:name w:val="Intense Quote"/>
    <w:basedOn w:val="Normal"/>
    <w:next w:val="Normal"/>
    <w:link w:val="IntenseQuoteChar"/>
    <w:uiPriority w:val="30"/>
    <w:qFormat/>
    <w:rsid w:val="00DD04D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D04D5"/>
    <w:rPr>
      <w:i/>
      <w:iCs/>
      <w:color w:val="2F5496" w:themeColor="accent1" w:themeShade="BF"/>
    </w:rPr>
  </w:style>
  <w:style w:type="character" w:styleId="IntenseReference">
    <w:name w:val="Intense Reference"/>
    <w:basedOn w:val="DefaultParagraphFont"/>
    <w:uiPriority w:val="32"/>
    <w:qFormat/>
    <w:rsid w:val="00DD04D5"/>
    <w:rPr>
      <w:b/>
      <w:bCs/>
      <w:smallCaps/>
      <w:color w:val="2F5496" w:themeColor="accent1" w:themeShade="BF"/>
      <w:spacing w:val="5"/>
    </w:rPr>
  </w:style>
  <w:style w:type="character" w:customStyle="1" w:styleId="wacimagecontainer">
    <w:name w:val="wacimagecontainer"/>
    <w:basedOn w:val="DefaultParagraphFont"/>
    <w:rsid w:val="007D5124"/>
  </w:style>
  <w:style w:type="paragraph" w:styleId="NormalWeb">
    <w:name w:val="Normal (Web)"/>
    <w:basedOn w:val="Normal"/>
    <w:uiPriority w:val="99"/>
    <w:unhideWhenUsed/>
    <w:rsid w:val="006633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6338D"/>
    <w:rPr>
      <w:color w:val="0563C1" w:themeColor="hyperlink"/>
      <w:u w:val="single"/>
    </w:rPr>
  </w:style>
  <w:style w:type="character" w:styleId="FollowedHyperlink">
    <w:name w:val="FollowedHyperlink"/>
    <w:basedOn w:val="DefaultParagraphFont"/>
    <w:uiPriority w:val="99"/>
    <w:semiHidden/>
    <w:unhideWhenUsed/>
    <w:rsid w:val="0066338D"/>
    <w:rPr>
      <w:color w:val="954F72" w:themeColor="followedHyperlink"/>
      <w:u w:val="single"/>
    </w:rPr>
  </w:style>
  <w:style w:type="character" w:styleId="UnresolvedMention">
    <w:name w:val="Unresolved Mention"/>
    <w:basedOn w:val="DefaultParagraphFont"/>
    <w:uiPriority w:val="99"/>
    <w:semiHidden/>
    <w:unhideWhenUsed/>
    <w:rsid w:val="00F817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68539209">
      <w:bodyDiv w:val="1"/>
      <w:marLeft w:val="0"/>
      <w:marRight w:val="0"/>
      <w:marTop w:val="0"/>
      <w:marBottom w:val="0"/>
      <w:divBdr>
        <w:top w:val="none" w:sz="0" w:space="0" w:color="auto"/>
        <w:left w:val="none" w:sz="0" w:space="0" w:color="auto"/>
        <w:bottom w:val="none" w:sz="0" w:space="0" w:color="auto"/>
        <w:right w:val="none" w:sz="0" w:space="0" w:color="auto"/>
      </w:divBdr>
      <w:divsChild>
        <w:div w:id="1806583429">
          <w:marLeft w:val="0"/>
          <w:marRight w:val="0"/>
          <w:marTop w:val="0"/>
          <w:marBottom w:val="0"/>
          <w:divBdr>
            <w:top w:val="none" w:sz="0" w:space="0" w:color="auto"/>
            <w:left w:val="none" w:sz="0" w:space="0" w:color="auto"/>
            <w:bottom w:val="none" w:sz="0" w:space="0" w:color="auto"/>
            <w:right w:val="none" w:sz="0" w:space="0" w:color="auto"/>
          </w:divBdr>
        </w:div>
        <w:div w:id="194931560">
          <w:marLeft w:val="0"/>
          <w:marRight w:val="0"/>
          <w:marTop w:val="0"/>
          <w:marBottom w:val="0"/>
          <w:divBdr>
            <w:top w:val="none" w:sz="0" w:space="0" w:color="auto"/>
            <w:left w:val="none" w:sz="0" w:space="0" w:color="auto"/>
            <w:bottom w:val="none" w:sz="0" w:space="0" w:color="auto"/>
            <w:right w:val="none" w:sz="0" w:space="0" w:color="auto"/>
          </w:divBdr>
        </w:div>
        <w:div w:id="545797964">
          <w:marLeft w:val="0"/>
          <w:marRight w:val="0"/>
          <w:marTop w:val="0"/>
          <w:marBottom w:val="0"/>
          <w:divBdr>
            <w:top w:val="none" w:sz="0" w:space="0" w:color="auto"/>
            <w:left w:val="none" w:sz="0" w:space="0" w:color="auto"/>
            <w:bottom w:val="none" w:sz="0" w:space="0" w:color="auto"/>
            <w:right w:val="none" w:sz="0" w:space="0" w:color="auto"/>
          </w:divBdr>
        </w:div>
        <w:div w:id="1735813474">
          <w:marLeft w:val="0"/>
          <w:marRight w:val="0"/>
          <w:marTop w:val="0"/>
          <w:marBottom w:val="0"/>
          <w:divBdr>
            <w:top w:val="none" w:sz="0" w:space="0" w:color="auto"/>
            <w:left w:val="none" w:sz="0" w:space="0" w:color="auto"/>
            <w:bottom w:val="none" w:sz="0" w:space="0" w:color="auto"/>
            <w:right w:val="none" w:sz="0" w:space="0" w:color="auto"/>
          </w:divBdr>
        </w:div>
        <w:div w:id="72942990">
          <w:marLeft w:val="0"/>
          <w:marRight w:val="0"/>
          <w:marTop w:val="0"/>
          <w:marBottom w:val="0"/>
          <w:divBdr>
            <w:top w:val="none" w:sz="0" w:space="0" w:color="auto"/>
            <w:left w:val="none" w:sz="0" w:space="0" w:color="auto"/>
            <w:bottom w:val="none" w:sz="0" w:space="0" w:color="auto"/>
            <w:right w:val="none" w:sz="0" w:space="0" w:color="auto"/>
          </w:divBdr>
        </w:div>
        <w:div w:id="523446364">
          <w:marLeft w:val="0"/>
          <w:marRight w:val="0"/>
          <w:marTop w:val="0"/>
          <w:marBottom w:val="0"/>
          <w:divBdr>
            <w:top w:val="none" w:sz="0" w:space="0" w:color="auto"/>
            <w:left w:val="none" w:sz="0" w:space="0" w:color="auto"/>
            <w:bottom w:val="none" w:sz="0" w:space="0" w:color="auto"/>
            <w:right w:val="none" w:sz="0" w:space="0" w:color="auto"/>
          </w:divBdr>
        </w:div>
        <w:div w:id="1623918063">
          <w:marLeft w:val="0"/>
          <w:marRight w:val="0"/>
          <w:marTop w:val="0"/>
          <w:marBottom w:val="0"/>
          <w:divBdr>
            <w:top w:val="none" w:sz="0" w:space="0" w:color="auto"/>
            <w:left w:val="none" w:sz="0" w:space="0" w:color="auto"/>
            <w:bottom w:val="none" w:sz="0" w:space="0" w:color="auto"/>
            <w:right w:val="none" w:sz="0" w:space="0" w:color="auto"/>
          </w:divBdr>
        </w:div>
        <w:div w:id="418331081">
          <w:marLeft w:val="0"/>
          <w:marRight w:val="0"/>
          <w:marTop w:val="0"/>
          <w:marBottom w:val="0"/>
          <w:divBdr>
            <w:top w:val="none" w:sz="0" w:space="0" w:color="auto"/>
            <w:left w:val="none" w:sz="0" w:space="0" w:color="auto"/>
            <w:bottom w:val="none" w:sz="0" w:space="0" w:color="auto"/>
            <w:right w:val="none" w:sz="0" w:space="0" w:color="auto"/>
          </w:divBdr>
        </w:div>
        <w:div w:id="2111125004">
          <w:marLeft w:val="0"/>
          <w:marRight w:val="0"/>
          <w:marTop w:val="0"/>
          <w:marBottom w:val="0"/>
          <w:divBdr>
            <w:top w:val="none" w:sz="0" w:space="0" w:color="auto"/>
            <w:left w:val="none" w:sz="0" w:space="0" w:color="auto"/>
            <w:bottom w:val="none" w:sz="0" w:space="0" w:color="auto"/>
            <w:right w:val="none" w:sz="0" w:space="0" w:color="auto"/>
          </w:divBdr>
        </w:div>
        <w:div w:id="1932160062">
          <w:marLeft w:val="0"/>
          <w:marRight w:val="0"/>
          <w:marTop w:val="0"/>
          <w:marBottom w:val="0"/>
          <w:divBdr>
            <w:top w:val="none" w:sz="0" w:space="0" w:color="auto"/>
            <w:left w:val="none" w:sz="0" w:space="0" w:color="auto"/>
            <w:bottom w:val="none" w:sz="0" w:space="0" w:color="auto"/>
            <w:right w:val="none" w:sz="0" w:space="0" w:color="auto"/>
          </w:divBdr>
        </w:div>
        <w:div w:id="663359329">
          <w:marLeft w:val="0"/>
          <w:marRight w:val="0"/>
          <w:marTop w:val="0"/>
          <w:marBottom w:val="0"/>
          <w:divBdr>
            <w:top w:val="none" w:sz="0" w:space="0" w:color="auto"/>
            <w:left w:val="none" w:sz="0" w:space="0" w:color="auto"/>
            <w:bottom w:val="none" w:sz="0" w:space="0" w:color="auto"/>
            <w:right w:val="none" w:sz="0" w:space="0" w:color="auto"/>
          </w:divBdr>
        </w:div>
        <w:div w:id="258611785">
          <w:marLeft w:val="0"/>
          <w:marRight w:val="0"/>
          <w:marTop w:val="0"/>
          <w:marBottom w:val="0"/>
          <w:divBdr>
            <w:top w:val="none" w:sz="0" w:space="0" w:color="auto"/>
            <w:left w:val="none" w:sz="0" w:space="0" w:color="auto"/>
            <w:bottom w:val="none" w:sz="0" w:space="0" w:color="auto"/>
            <w:right w:val="none" w:sz="0" w:space="0" w:color="auto"/>
          </w:divBdr>
        </w:div>
        <w:div w:id="1763724521">
          <w:marLeft w:val="0"/>
          <w:marRight w:val="0"/>
          <w:marTop w:val="0"/>
          <w:marBottom w:val="0"/>
          <w:divBdr>
            <w:top w:val="none" w:sz="0" w:space="0" w:color="auto"/>
            <w:left w:val="none" w:sz="0" w:space="0" w:color="auto"/>
            <w:bottom w:val="none" w:sz="0" w:space="0" w:color="auto"/>
            <w:right w:val="none" w:sz="0" w:space="0" w:color="auto"/>
          </w:divBdr>
        </w:div>
        <w:div w:id="830678923">
          <w:marLeft w:val="0"/>
          <w:marRight w:val="0"/>
          <w:marTop w:val="0"/>
          <w:marBottom w:val="0"/>
          <w:divBdr>
            <w:top w:val="none" w:sz="0" w:space="0" w:color="auto"/>
            <w:left w:val="none" w:sz="0" w:space="0" w:color="auto"/>
            <w:bottom w:val="none" w:sz="0" w:space="0" w:color="auto"/>
            <w:right w:val="none" w:sz="0" w:space="0" w:color="auto"/>
          </w:divBdr>
        </w:div>
        <w:div w:id="19085114">
          <w:marLeft w:val="0"/>
          <w:marRight w:val="0"/>
          <w:marTop w:val="0"/>
          <w:marBottom w:val="0"/>
          <w:divBdr>
            <w:top w:val="none" w:sz="0" w:space="0" w:color="auto"/>
            <w:left w:val="none" w:sz="0" w:space="0" w:color="auto"/>
            <w:bottom w:val="none" w:sz="0" w:space="0" w:color="auto"/>
            <w:right w:val="none" w:sz="0" w:space="0" w:color="auto"/>
          </w:divBdr>
        </w:div>
        <w:div w:id="914321142">
          <w:marLeft w:val="0"/>
          <w:marRight w:val="0"/>
          <w:marTop w:val="0"/>
          <w:marBottom w:val="0"/>
          <w:divBdr>
            <w:top w:val="none" w:sz="0" w:space="0" w:color="auto"/>
            <w:left w:val="none" w:sz="0" w:space="0" w:color="auto"/>
            <w:bottom w:val="none" w:sz="0" w:space="0" w:color="auto"/>
            <w:right w:val="none" w:sz="0" w:space="0" w:color="auto"/>
          </w:divBdr>
        </w:div>
        <w:div w:id="64959111">
          <w:marLeft w:val="0"/>
          <w:marRight w:val="0"/>
          <w:marTop w:val="0"/>
          <w:marBottom w:val="0"/>
          <w:divBdr>
            <w:top w:val="none" w:sz="0" w:space="0" w:color="auto"/>
            <w:left w:val="none" w:sz="0" w:space="0" w:color="auto"/>
            <w:bottom w:val="none" w:sz="0" w:space="0" w:color="auto"/>
            <w:right w:val="none" w:sz="0" w:space="0" w:color="auto"/>
          </w:divBdr>
        </w:div>
        <w:div w:id="1975985976">
          <w:marLeft w:val="0"/>
          <w:marRight w:val="0"/>
          <w:marTop w:val="0"/>
          <w:marBottom w:val="0"/>
          <w:divBdr>
            <w:top w:val="none" w:sz="0" w:space="0" w:color="auto"/>
            <w:left w:val="none" w:sz="0" w:space="0" w:color="auto"/>
            <w:bottom w:val="none" w:sz="0" w:space="0" w:color="auto"/>
            <w:right w:val="none" w:sz="0" w:space="0" w:color="auto"/>
          </w:divBdr>
        </w:div>
        <w:div w:id="571356253">
          <w:marLeft w:val="0"/>
          <w:marRight w:val="0"/>
          <w:marTop w:val="0"/>
          <w:marBottom w:val="0"/>
          <w:divBdr>
            <w:top w:val="none" w:sz="0" w:space="0" w:color="auto"/>
            <w:left w:val="none" w:sz="0" w:space="0" w:color="auto"/>
            <w:bottom w:val="none" w:sz="0" w:space="0" w:color="auto"/>
            <w:right w:val="none" w:sz="0" w:space="0" w:color="auto"/>
          </w:divBdr>
        </w:div>
        <w:div w:id="1790591722">
          <w:marLeft w:val="0"/>
          <w:marRight w:val="0"/>
          <w:marTop w:val="0"/>
          <w:marBottom w:val="0"/>
          <w:divBdr>
            <w:top w:val="none" w:sz="0" w:space="0" w:color="auto"/>
            <w:left w:val="none" w:sz="0" w:space="0" w:color="auto"/>
            <w:bottom w:val="none" w:sz="0" w:space="0" w:color="auto"/>
            <w:right w:val="none" w:sz="0" w:space="0" w:color="auto"/>
          </w:divBdr>
        </w:div>
        <w:div w:id="604654874">
          <w:marLeft w:val="0"/>
          <w:marRight w:val="0"/>
          <w:marTop w:val="0"/>
          <w:marBottom w:val="0"/>
          <w:divBdr>
            <w:top w:val="none" w:sz="0" w:space="0" w:color="auto"/>
            <w:left w:val="none" w:sz="0" w:space="0" w:color="auto"/>
            <w:bottom w:val="none" w:sz="0" w:space="0" w:color="auto"/>
            <w:right w:val="none" w:sz="0" w:space="0" w:color="auto"/>
          </w:divBdr>
        </w:div>
        <w:div w:id="2092309963">
          <w:marLeft w:val="0"/>
          <w:marRight w:val="0"/>
          <w:marTop w:val="0"/>
          <w:marBottom w:val="0"/>
          <w:divBdr>
            <w:top w:val="none" w:sz="0" w:space="0" w:color="auto"/>
            <w:left w:val="none" w:sz="0" w:space="0" w:color="auto"/>
            <w:bottom w:val="none" w:sz="0" w:space="0" w:color="auto"/>
            <w:right w:val="none" w:sz="0" w:space="0" w:color="auto"/>
          </w:divBdr>
        </w:div>
        <w:div w:id="381489543">
          <w:marLeft w:val="0"/>
          <w:marRight w:val="0"/>
          <w:marTop w:val="0"/>
          <w:marBottom w:val="0"/>
          <w:divBdr>
            <w:top w:val="none" w:sz="0" w:space="0" w:color="auto"/>
            <w:left w:val="none" w:sz="0" w:space="0" w:color="auto"/>
            <w:bottom w:val="none" w:sz="0" w:space="0" w:color="auto"/>
            <w:right w:val="none" w:sz="0" w:space="0" w:color="auto"/>
          </w:divBdr>
        </w:div>
        <w:div w:id="2082093622">
          <w:marLeft w:val="0"/>
          <w:marRight w:val="0"/>
          <w:marTop w:val="0"/>
          <w:marBottom w:val="0"/>
          <w:divBdr>
            <w:top w:val="none" w:sz="0" w:space="0" w:color="auto"/>
            <w:left w:val="none" w:sz="0" w:space="0" w:color="auto"/>
            <w:bottom w:val="none" w:sz="0" w:space="0" w:color="auto"/>
            <w:right w:val="none" w:sz="0" w:space="0" w:color="auto"/>
          </w:divBdr>
        </w:div>
        <w:div w:id="1047606360">
          <w:marLeft w:val="0"/>
          <w:marRight w:val="0"/>
          <w:marTop w:val="0"/>
          <w:marBottom w:val="0"/>
          <w:divBdr>
            <w:top w:val="none" w:sz="0" w:space="0" w:color="auto"/>
            <w:left w:val="none" w:sz="0" w:space="0" w:color="auto"/>
            <w:bottom w:val="none" w:sz="0" w:space="0" w:color="auto"/>
            <w:right w:val="none" w:sz="0" w:space="0" w:color="auto"/>
          </w:divBdr>
        </w:div>
        <w:div w:id="607927724">
          <w:marLeft w:val="0"/>
          <w:marRight w:val="0"/>
          <w:marTop w:val="0"/>
          <w:marBottom w:val="0"/>
          <w:divBdr>
            <w:top w:val="none" w:sz="0" w:space="0" w:color="auto"/>
            <w:left w:val="none" w:sz="0" w:space="0" w:color="auto"/>
            <w:bottom w:val="none" w:sz="0" w:space="0" w:color="auto"/>
            <w:right w:val="none" w:sz="0" w:space="0" w:color="auto"/>
          </w:divBdr>
        </w:div>
        <w:div w:id="2053263498">
          <w:marLeft w:val="0"/>
          <w:marRight w:val="0"/>
          <w:marTop w:val="0"/>
          <w:marBottom w:val="0"/>
          <w:divBdr>
            <w:top w:val="none" w:sz="0" w:space="0" w:color="auto"/>
            <w:left w:val="none" w:sz="0" w:space="0" w:color="auto"/>
            <w:bottom w:val="none" w:sz="0" w:space="0" w:color="auto"/>
            <w:right w:val="none" w:sz="0" w:space="0" w:color="auto"/>
          </w:divBdr>
        </w:div>
        <w:div w:id="1669363053">
          <w:marLeft w:val="0"/>
          <w:marRight w:val="0"/>
          <w:marTop w:val="0"/>
          <w:marBottom w:val="0"/>
          <w:divBdr>
            <w:top w:val="none" w:sz="0" w:space="0" w:color="auto"/>
            <w:left w:val="none" w:sz="0" w:space="0" w:color="auto"/>
            <w:bottom w:val="none" w:sz="0" w:space="0" w:color="auto"/>
            <w:right w:val="none" w:sz="0" w:space="0" w:color="auto"/>
          </w:divBdr>
        </w:div>
        <w:div w:id="4013965">
          <w:marLeft w:val="0"/>
          <w:marRight w:val="0"/>
          <w:marTop w:val="0"/>
          <w:marBottom w:val="0"/>
          <w:divBdr>
            <w:top w:val="none" w:sz="0" w:space="0" w:color="auto"/>
            <w:left w:val="none" w:sz="0" w:space="0" w:color="auto"/>
            <w:bottom w:val="none" w:sz="0" w:space="0" w:color="auto"/>
            <w:right w:val="none" w:sz="0" w:space="0" w:color="auto"/>
          </w:divBdr>
        </w:div>
        <w:div w:id="688990568">
          <w:marLeft w:val="0"/>
          <w:marRight w:val="0"/>
          <w:marTop w:val="0"/>
          <w:marBottom w:val="0"/>
          <w:divBdr>
            <w:top w:val="none" w:sz="0" w:space="0" w:color="auto"/>
            <w:left w:val="none" w:sz="0" w:space="0" w:color="auto"/>
            <w:bottom w:val="none" w:sz="0" w:space="0" w:color="auto"/>
            <w:right w:val="none" w:sz="0" w:space="0" w:color="auto"/>
          </w:divBdr>
        </w:div>
        <w:div w:id="148134845">
          <w:marLeft w:val="0"/>
          <w:marRight w:val="0"/>
          <w:marTop w:val="0"/>
          <w:marBottom w:val="0"/>
          <w:divBdr>
            <w:top w:val="none" w:sz="0" w:space="0" w:color="auto"/>
            <w:left w:val="none" w:sz="0" w:space="0" w:color="auto"/>
            <w:bottom w:val="none" w:sz="0" w:space="0" w:color="auto"/>
            <w:right w:val="none" w:sz="0" w:space="0" w:color="auto"/>
          </w:divBdr>
        </w:div>
        <w:div w:id="389617191">
          <w:marLeft w:val="0"/>
          <w:marRight w:val="0"/>
          <w:marTop w:val="0"/>
          <w:marBottom w:val="0"/>
          <w:divBdr>
            <w:top w:val="none" w:sz="0" w:space="0" w:color="auto"/>
            <w:left w:val="none" w:sz="0" w:space="0" w:color="auto"/>
            <w:bottom w:val="none" w:sz="0" w:space="0" w:color="auto"/>
            <w:right w:val="none" w:sz="0" w:space="0" w:color="auto"/>
          </w:divBdr>
        </w:div>
        <w:div w:id="1381511386">
          <w:marLeft w:val="0"/>
          <w:marRight w:val="0"/>
          <w:marTop w:val="0"/>
          <w:marBottom w:val="0"/>
          <w:divBdr>
            <w:top w:val="none" w:sz="0" w:space="0" w:color="auto"/>
            <w:left w:val="none" w:sz="0" w:space="0" w:color="auto"/>
            <w:bottom w:val="none" w:sz="0" w:space="0" w:color="auto"/>
            <w:right w:val="none" w:sz="0" w:space="0" w:color="auto"/>
          </w:divBdr>
        </w:div>
        <w:div w:id="1072659789">
          <w:marLeft w:val="0"/>
          <w:marRight w:val="0"/>
          <w:marTop w:val="0"/>
          <w:marBottom w:val="0"/>
          <w:divBdr>
            <w:top w:val="none" w:sz="0" w:space="0" w:color="auto"/>
            <w:left w:val="none" w:sz="0" w:space="0" w:color="auto"/>
            <w:bottom w:val="none" w:sz="0" w:space="0" w:color="auto"/>
            <w:right w:val="none" w:sz="0" w:space="0" w:color="auto"/>
          </w:divBdr>
        </w:div>
        <w:div w:id="512456871">
          <w:marLeft w:val="0"/>
          <w:marRight w:val="0"/>
          <w:marTop w:val="0"/>
          <w:marBottom w:val="0"/>
          <w:divBdr>
            <w:top w:val="none" w:sz="0" w:space="0" w:color="auto"/>
            <w:left w:val="none" w:sz="0" w:space="0" w:color="auto"/>
            <w:bottom w:val="none" w:sz="0" w:space="0" w:color="auto"/>
            <w:right w:val="none" w:sz="0" w:space="0" w:color="auto"/>
          </w:divBdr>
        </w:div>
        <w:div w:id="1563447019">
          <w:marLeft w:val="0"/>
          <w:marRight w:val="0"/>
          <w:marTop w:val="0"/>
          <w:marBottom w:val="0"/>
          <w:divBdr>
            <w:top w:val="none" w:sz="0" w:space="0" w:color="auto"/>
            <w:left w:val="none" w:sz="0" w:space="0" w:color="auto"/>
            <w:bottom w:val="none" w:sz="0" w:space="0" w:color="auto"/>
            <w:right w:val="none" w:sz="0" w:space="0" w:color="auto"/>
          </w:divBdr>
        </w:div>
        <w:div w:id="431753732">
          <w:marLeft w:val="0"/>
          <w:marRight w:val="0"/>
          <w:marTop w:val="0"/>
          <w:marBottom w:val="0"/>
          <w:divBdr>
            <w:top w:val="none" w:sz="0" w:space="0" w:color="auto"/>
            <w:left w:val="none" w:sz="0" w:space="0" w:color="auto"/>
            <w:bottom w:val="none" w:sz="0" w:space="0" w:color="auto"/>
            <w:right w:val="none" w:sz="0" w:space="0" w:color="auto"/>
          </w:divBdr>
        </w:div>
        <w:div w:id="1081607763">
          <w:marLeft w:val="0"/>
          <w:marRight w:val="0"/>
          <w:marTop w:val="0"/>
          <w:marBottom w:val="0"/>
          <w:divBdr>
            <w:top w:val="none" w:sz="0" w:space="0" w:color="auto"/>
            <w:left w:val="none" w:sz="0" w:space="0" w:color="auto"/>
            <w:bottom w:val="none" w:sz="0" w:space="0" w:color="auto"/>
            <w:right w:val="none" w:sz="0" w:space="0" w:color="auto"/>
          </w:divBdr>
        </w:div>
        <w:div w:id="755246825">
          <w:marLeft w:val="0"/>
          <w:marRight w:val="0"/>
          <w:marTop w:val="0"/>
          <w:marBottom w:val="0"/>
          <w:divBdr>
            <w:top w:val="none" w:sz="0" w:space="0" w:color="auto"/>
            <w:left w:val="none" w:sz="0" w:space="0" w:color="auto"/>
            <w:bottom w:val="none" w:sz="0" w:space="0" w:color="auto"/>
            <w:right w:val="none" w:sz="0" w:space="0" w:color="auto"/>
          </w:divBdr>
        </w:div>
        <w:div w:id="1532957298">
          <w:marLeft w:val="0"/>
          <w:marRight w:val="0"/>
          <w:marTop w:val="0"/>
          <w:marBottom w:val="0"/>
          <w:divBdr>
            <w:top w:val="none" w:sz="0" w:space="0" w:color="auto"/>
            <w:left w:val="none" w:sz="0" w:space="0" w:color="auto"/>
            <w:bottom w:val="none" w:sz="0" w:space="0" w:color="auto"/>
            <w:right w:val="none" w:sz="0" w:space="0" w:color="auto"/>
          </w:divBdr>
        </w:div>
        <w:div w:id="615798987">
          <w:marLeft w:val="0"/>
          <w:marRight w:val="0"/>
          <w:marTop w:val="0"/>
          <w:marBottom w:val="0"/>
          <w:divBdr>
            <w:top w:val="none" w:sz="0" w:space="0" w:color="auto"/>
            <w:left w:val="none" w:sz="0" w:space="0" w:color="auto"/>
            <w:bottom w:val="none" w:sz="0" w:space="0" w:color="auto"/>
            <w:right w:val="none" w:sz="0" w:space="0" w:color="auto"/>
          </w:divBdr>
        </w:div>
        <w:div w:id="32849026">
          <w:marLeft w:val="0"/>
          <w:marRight w:val="0"/>
          <w:marTop w:val="0"/>
          <w:marBottom w:val="0"/>
          <w:divBdr>
            <w:top w:val="none" w:sz="0" w:space="0" w:color="auto"/>
            <w:left w:val="none" w:sz="0" w:space="0" w:color="auto"/>
            <w:bottom w:val="none" w:sz="0" w:space="0" w:color="auto"/>
            <w:right w:val="none" w:sz="0" w:space="0" w:color="auto"/>
          </w:divBdr>
        </w:div>
        <w:div w:id="1360739437">
          <w:marLeft w:val="0"/>
          <w:marRight w:val="0"/>
          <w:marTop w:val="0"/>
          <w:marBottom w:val="0"/>
          <w:divBdr>
            <w:top w:val="none" w:sz="0" w:space="0" w:color="auto"/>
            <w:left w:val="none" w:sz="0" w:space="0" w:color="auto"/>
            <w:bottom w:val="none" w:sz="0" w:space="0" w:color="auto"/>
            <w:right w:val="none" w:sz="0" w:space="0" w:color="auto"/>
          </w:divBdr>
        </w:div>
        <w:div w:id="1003388553">
          <w:marLeft w:val="0"/>
          <w:marRight w:val="0"/>
          <w:marTop w:val="0"/>
          <w:marBottom w:val="0"/>
          <w:divBdr>
            <w:top w:val="none" w:sz="0" w:space="0" w:color="auto"/>
            <w:left w:val="none" w:sz="0" w:space="0" w:color="auto"/>
            <w:bottom w:val="none" w:sz="0" w:space="0" w:color="auto"/>
            <w:right w:val="none" w:sz="0" w:space="0" w:color="auto"/>
          </w:divBdr>
        </w:div>
        <w:div w:id="224920023">
          <w:marLeft w:val="0"/>
          <w:marRight w:val="0"/>
          <w:marTop w:val="0"/>
          <w:marBottom w:val="0"/>
          <w:divBdr>
            <w:top w:val="none" w:sz="0" w:space="0" w:color="auto"/>
            <w:left w:val="none" w:sz="0" w:space="0" w:color="auto"/>
            <w:bottom w:val="none" w:sz="0" w:space="0" w:color="auto"/>
            <w:right w:val="none" w:sz="0" w:space="0" w:color="auto"/>
          </w:divBdr>
        </w:div>
        <w:div w:id="235751283">
          <w:marLeft w:val="0"/>
          <w:marRight w:val="0"/>
          <w:marTop w:val="0"/>
          <w:marBottom w:val="0"/>
          <w:divBdr>
            <w:top w:val="none" w:sz="0" w:space="0" w:color="auto"/>
            <w:left w:val="none" w:sz="0" w:space="0" w:color="auto"/>
            <w:bottom w:val="none" w:sz="0" w:space="0" w:color="auto"/>
            <w:right w:val="none" w:sz="0" w:space="0" w:color="auto"/>
          </w:divBdr>
        </w:div>
        <w:div w:id="598369027">
          <w:marLeft w:val="0"/>
          <w:marRight w:val="0"/>
          <w:marTop w:val="0"/>
          <w:marBottom w:val="0"/>
          <w:divBdr>
            <w:top w:val="none" w:sz="0" w:space="0" w:color="auto"/>
            <w:left w:val="none" w:sz="0" w:space="0" w:color="auto"/>
            <w:bottom w:val="none" w:sz="0" w:space="0" w:color="auto"/>
            <w:right w:val="none" w:sz="0" w:space="0" w:color="auto"/>
          </w:divBdr>
        </w:div>
        <w:div w:id="151334722">
          <w:marLeft w:val="0"/>
          <w:marRight w:val="0"/>
          <w:marTop w:val="0"/>
          <w:marBottom w:val="0"/>
          <w:divBdr>
            <w:top w:val="none" w:sz="0" w:space="0" w:color="auto"/>
            <w:left w:val="none" w:sz="0" w:space="0" w:color="auto"/>
            <w:bottom w:val="none" w:sz="0" w:space="0" w:color="auto"/>
            <w:right w:val="none" w:sz="0" w:space="0" w:color="auto"/>
          </w:divBdr>
        </w:div>
        <w:div w:id="2132699575">
          <w:marLeft w:val="0"/>
          <w:marRight w:val="0"/>
          <w:marTop w:val="0"/>
          <w:marBottom w:val="0"/>
          <w:divBdr>
            <w:top w:val="none" w:sz="0" w:space="0" w:color="auto"/>
            <w:left w:val="none" w:sz="0" w:space="0" w:color="auto"/>
            <w:bottom w:val="none" w:sz="0" w:space="0" w:color="auto"/>
            <w:right w:val="none" w:sz="0" w:space="0" w:color="auto"/>
          </w:divBdr>
        </w:div>
        <w:div w:id="999427533">
          <w:marLeft w:val="0"/>
          <w:marRight w:val="0"/>
          <w:marTop w:val="0"/>
          <w:marBottom w:val="0"/>
          <w:divBdr>
            <w:top w:val="none" w:sz="0" w:space="0" w:color="auto"/>
            <w:left w:val="none" w:sz="0" w:space="0" w:color="auto"/>
            <w:bottom w:val="none" w:sz="0" w:space="0" w:color="auto"/>
            <w:right w:val="none" w:sz="0" w:space="0" w:color="auto"/>
          </w:divBdr>
        </w:div>
        <w:div w:id="190336441">
          <w:marLeft w:val="0"/>
          <w:marRight w:val="0"/>
          <w:marTop w:val="0"/>
          <w:marBottom w:val="0"/>
          <w:divBdr>
            <w:top w:val="none" w:sz="0" w:space="0" w:color="auto"/>
            <w:left w:val="none" w:sz="0" w:space="0" w:color="auto"/>
            <w:bottom w:val="none" w:sz="0" w:space="0" w:color="auto"/>
            <w:right w:val="none" w:sz="0" w:space="0" w:color="auto"/>
          </w:divBdr>
        </w:div>
        <w:div w:id="1583679764">
          <w:marLeft w:val="0"/>
          <w:marRight w:val="0"/>
          <w:marTop w:val="0"/>
          <w:marBottom w:val="0"/>
          <w:divBdr>
            <w:top w:val="none" w:sz="0" w:space="0" w:color="auto"/>
            <w:left w:val="none" w:sz="0" w:space="0" w:color="auto"/>
            <w:bottom w:val="none" w:sz="0" w:space="0" w:color="auto"/>
            <w:right w:val="none" w:sz="0" w:space="0" w:color="auto"/>
          </w:divBdr>
        </w:div>
        <w:div w:id="1271939366">
          <w:marLeft w:val="0"/>
          <w:marRight w:val="0"/>
          <w:marTop w:val="0"/>
          <w:marBottom w:val="0"/>
          <w:divBdr>
            <w:top w:val="none" w:sz="0" w:space="0" w:color="auto"/>
            <w:left w:val="none" w:sz="0" w:space="0" w:color="auto"/>
            <w:bottom w:val="none" w:sz="0" w:space="0" w:color="auto"/>
            <w:right w:val="none" w:sz="0" w:space="0" w:color="auto"/>
          </w:divBdr>
        </w:div>
        <w:div w:id="1826703023">
          <w:marLeft w:val="0"/>
          <w:marRight w:val="0"/>
          <w:marTop w:val="0"/>
          <w:marBottom w:val="0"/>
          <w:divBdr>
            <w:top w:val="none" w:sz="0" w:space="0" w:color="auto"/>
            <w:left w:val="none" w:sz="0" w:space="0" w:color="auto"/>
            <w:bottom w:val="none" w:sz="0" w:space="0" w:color="auto"/>
            <w:right w:val="none" w:sz="0" w:space="0" w:color="auto"/>
          </w:divBdr>
        </w:div>
        <w:div w:id="1232152730">
          <w:marLeft w:val="0"/>
          <w:marRight w:val="0"/>
          <w:marTop w:val="0"/>
          <w:marBottom w:val="0"/>
          <w:divBdr>
            <w:top w:val="none" w:sz="0" w:space="0" w:color="auto"/>
            <w:left w:val="none" w:sz="0" w:space="0" w:color="auto"/>
            <w:bottom w:val="none" w:sz="0" w:space="0" w:color="auto"/>
            <w:right w:val="none" w:sz="0" w:space="0" w:color="auto"/>
          </w:divBdr>
        </w:div>
        <w:div w:id="989408742">
          <w:marLeft w:val="0"/>
          <w:marRight w:val="0"/>
          <w:marTop w:val="0"/>
          <w:marBottom w:val="0"/>
          <w:divBdr>
            <w:top w:val="none" w:sz="0" w:space="0" w:color="auto"/>
            <w:left w:val="none" w:sz="0" w:space="0" w:color="auto"/>
            <w:bottom w:val="none" w:sz="0" w:space="0" w:color="auto"/>
            <w:right w:val="none" w:sz="0" w:space="0" w:color="auto"/>
          </w:divBdr>
        </w:div>
        <w:div w:id="1562329911">
          <w:marLeft w:val="0"/>
          <w:marRight w:val="0"/>
          <w:marTop w:val="0"/>
          <w:marBottom w:val="0"/>
          <w:divBdr>
            <w:top w:val="none" w:sz="0" w:space="0" w:color="auto"/>
            <w:left w:val="none" w:sz="0" w:space="0" w:color="auto"/>
            <w:bottom w:val="none" w:sz="0" w:space="0" w:color="auto"/>
            <w:right w:val="none" w:sz="0" w:space="0" w:color="auto"/>
          </w:divBdr>
        </w:div>
        <w:div w:id="804812619">
          <w:marLeft w:val="0"/>
          <w:marRight w:val="0"/>
          <w:marTop w:val="0"/>
          <w:marBottom w:val="0"/>
          <w:divBdr>
            <w:top w:val="none" w:sz="0" w:space="0" w:color="auto"/>
            <w:left w:val="none" w:sz="0" w:space="0" w:color="auto"/>
            <w:bottom w:val="none" w:sz="0" w:space="0" w:color="auto"/>
            <w:right w:val="none" w:sz="0" w:space="0" w:color="auto"/>
          </w:divBdr>
        </w:div>
        <w:div w:id="695275984">
          <w:marLeft w:val="0"/>
          <w:marRight w:val="0"/>
          <w:marTop w:val="0"/>
          <w:marBottom w:val="0"/>
          <w:divBdr>
            <w:top w:val="none" w:sz="0" w:space="0" w:color="auto"/>
            <w:left w:val="none" w:sz="0" w:space="0" w:color="auto"/>
            <w:bottom w:val="none" w:sz="0" w:space="0" w:color="auto"/>
            <w:right w:val="none" w:sz="0" w:space="0" w:color="auto"/>
          </w:divBdr>
        </w:div>
        <w:div w:id="1864978698">
          <w:marLeft w:val="0"/>
          <w:marRight w:val="0"/>
          <w:marTop w:val="0"/>
          <w:marBottom w:val="0"/>
          <w:divBdr>
            <w:top w:val="none" w:sz="0" w:space="0" w:color="auto"/>
            <w:left w:val="none" w:sz="0" w:space="0" w:color="auto"/>
            <w:bottom w:val="none" w:sz="0" w:space="0" w:color="auto"/>
            <w:right w:val="none" w:sz="0" w:space="0" w:color="auto"/>
          </w:divBdr>
        </w:div>
        <w:div w:id="179665844">
          <w:marLeft w:val="0"/>
          <w:marRight w:val="0"/>
          <w:marTop w:val="0"/>
          <w:marBottom w:val="0"/>
          <w:divBdr>
            <w:top w:val="none" w:sz="0" w:space="0" w:color="auto"/>
            <w:left w:val="none" w:sz="0" w:space="0" w:color="auto"/>
            <w:bottom w:val="none" w:sz="0" w:space="0" w:color="auto"/>
            <w:right w:val="none" w:sz="0" w:space="0" w:color="auto"/>
          </w:divBdr>
        </w:div>
        <w:div w:id="1486893095">
          <w:marLeft w:val="0"/>
          <w:marRight w:val="0"/>
          <w:marTop w:val="0"/>
          <w:marBottom w:val="0"/>
          <w:divBdr>
            <w:top w:val="none" w:sz="0" w:space="0" w:color="auto"/>
            <w:left w:val="none" w:sz="0" w:space="0" w:color="auto"/>
            <w:bottom w:val="none" w:sz="0" w:space="0" w:color="auto"/>
            <w:right w:val="none" w:sz="0" w:space="0" w:color="auto"/>
          </w:divBdr>
        </w:div>
        <w:div w:id="1643272613">
          <w:marLeft w:val="0"/>
          <w:marRight w:val="0"/>
          <w:marTop w:val="0"/>
          <w:marBottom w:val="0"/>
          <w:divBdr>
            <w:top w:val="none" w:sz="0" w:space="0" w:color="auto"/>
            <w:left w:val="none" w:sz="0" w:space="0" w:color="auto"/>
            <w:bottom w:val="none" w:sz="0" w:space="0" w:color="auto"/>
            <w:right w:val="none" w:sz="0" w:space="0" w:color="auto"/>
          </w:divBdr>
        </w:div>
        <w:div w:id="1114597665">
          <w:marLeft w:val="0"/>
          <w:marRight w:val="0"/>
          <w:marTop w:val="0"/>
          <w:marBottom w:val="0"/>
          <w:divBdr>
            <w:top w:val="none" w:sz="0" w:space="0" w:color="auto"/>
            <w:left w:val="none" w:sz="0" w:space="0" w:color="auto"/>
            <w:bottom w:val="none" w:sz="0" w:space="0" w:color="auto"/>
            <w:right w:val="none" w:sz="0" w:space="0" w:color="auto"/>
          </w:divBdr>
        </w:div>
        <w:div w:id="1287815053">
          <w:marLeft w:val="0"/>
          <w:marRight w:val="0"/>
          <w:marTop w:val="0"/>
          <w:marBottom w:val="0"/>
          <w:divBdr>
            <w:top w:val="none" w:sz="0" w:space="0" w:color="auto"/>
            <w:left w:val="none" w:sz="0" w:space="0" w:color="auto"/>
            <w:bottom w:val="none" w:sz="0" w:space="0" w:color="auto"/>
            <w:right w:val="none" w:sz="0" w:space="0" w:color="auto"/>
          </w:divBdr>
        </w:div>
        <w:div w:id="1597976448">
          <w:marLeft w:val="0"/>
          <w:marRight w:val="0"/>
          <w:marTop w:val="0"/>
          <w:marBottom w:val="0"/>
          <w:divBdr>
            <w:top w:val="none" w:sz="0" w:space="0" w:color="auto"/>
            <w:left w:val="none" w:sz="0" w:space="0" w:color="auto"/>
            <w:bottom w:val="none" w:sz="0" w:space="0" w:color="auto"/>
            <w:right w:val="none" w:sz="0" w:space="0" w:color="auto"/>
          </w:divBdr>
        </w:div>
        <w:div w:id="1298412243">
          <w:marLeft w:val="0"/>
          <w:marRight w:val="0"/>
          <w:marTop w:val="0"/>
          <w:marBottom w:val="0"/>
          <w:divBdr>
            <w:top w:val="none" w:sz="0" w:space="0" w:color="auto"/>
            <w:left w:val="none" w:sz="0" w:space="0" w:color="auto"/>
            <w:bottom w:val="none" w:sz="0" w:space="0" w:color="auto"/>
            <w:right w:val="none" w:sz="0" w:space="0" w:color="auto"/>
          </w:divBdr>
        </w:div>
        <w:div w:id="1528523889">
          <w:marLeft w:val="0"/>
          <w:marRight w:val="0"/>
          <w:marTop w:val="0"/>
          <w:marBottom w:val="0"/>
          <w:divBdr>
            <w:top w:val="none" w:sz="0" w:space="0" w:color="auto"/>
            <w:left w:val="none" w:sz="0" w:space="0" w:color="auto"/>
            <w:bottom w:val="none" w:sz="0" w:space="0" w:color="auto"/>
            <w:right w:val="none" w:sz="0" w:space="0" w:color="auto"/>
          </w:divBdr>
        </w:div>
        <w:div w:id="1142506163">
          <w:marLeft w:val="0"/>
          <w:marRight w:val="0"/>
          <w:marTop w:val="0"/>
          <w:marBottom w:val="0"/>
          <w:divBdr>
            <w:top w:val="none" w:sz="0" w:space="0" w:color="auto"/>
            <w:left w:val="none" w:sz="0" w:space="0" w:color="auto"/>
            <w:bottom w:val="none" w:sz="0" w:space="0" w:color="auto"/>
            <w:right w:val="none" w:sz="0" w:space="0" w:color="auto"/>
          </w:divBdr>
        </w:div>
        <w:div w:id="1944923527">
          <w:marLeft w:val="0"/>
          <w:marRight w:val="0"/>
          <w:marTop w:val="0"/>
          <w:marBottom w:val="0"/>
          <w:divBdr>
            <w:top w:val="none" w:sz="0" w:space="0" w:color="auto"/>
            <w:left w:val="none" w:sz="0" w:space="0" w:color="auto"/>
            <w:bottom w:val="none" w:sz="0" w:space="0" w:color="auto"/>
            <w:right w:val="none" w:sz="0" w:space="0" w:color="auto"/>
          </w:divBdr>
        </w:div>
        <w:div w:id="521550876">
          <w:marLeft w:val="0"/>
          <w:marRight w:val="0"/>
          <w:marTop w:val="0"/>
          <w:marBottom w:val="0"/>
          <w:divBdr>
            <w:top w:val="none" w:sz="0" w:space="0" w:color="auto"/>
            <w:left w:val="none" w:sz="0" w:space="0" w:color="auto"/>
            <w:bottom w:val="none" w:sz="0" w:space="0" w:color="auto"/>
            <w:right w:val="none" w:sz="0" w:space="0" w:color="auto"/>
          </w:divBdr>
        </w:div>
        <w:div w:id="216478768">
          <w:marLeft w:val="0"/>
          <w:marRight w:val="0"/>
          <w:marTop w:val="0"/>
          <w:marBottom w:val="0"/>
          <w:divBdr>
            <w:top w:val="none" w:sz="0" w:space="0" w:color="auto"/>
            <w:left w:val="none" w:sz="0" w:space="0" w:color="auto"/>
            <w:bottom w:val="none" w:sz="0" w:space="0" w:color="auto"/>
            <w:right w:val="none" w:sz="0" w:space="0" w:color="auto"/>
          </w:divBdr>
        </w:div>
        <w:div w:id="490173263">
          <w:marLeft w:val="0"/>
          <w:marRight w:val="0"/>
          <w:marTop w:val="0"/>
          <w:marBottom w:val="0"/>
          <w:divBdr>
            <w:top w:val="none" w:sz="0" w:space="0" w:color="auto"/>
            <w:left w:val="none" w:sz="0" w:space="0" w:color="auto"/>
            <w:bottom w:val="none" w:sz="0" w:space="0" w:color="auto"/>
            <w:right w:val="none" w:sz="0" w:space="0" w:color="auto"/>
          </w:divBdr>
        </w:div>
        <w:div w:id="1046297921">
          <w:marLeft w:val="0"/>
          <w:marRight w:val="0"/>
          <w:marTop w:val="0"/>
          <w:marBottom w:val="0"/>
          <w:divBdr>
            <w:top w:val="none" w:sz="0" w:space="0" w:color="auto"/>
            <w:left w:val="none" w:sz="0" w:space="0" w:color="auto"/>
            <w:bottom w:val="none" w:sz="0" w:space="0" w:color="auto"/>
            <w:right w:val="none" w:sz="0" w:space="0" w:color="auto"/>
          </w:divBdr>
        </w:div>
        <w:div w:id="259291098">
          <w:marLeft w:val="0"/>
          <w:marRight w:val="0"/>
          <w:marTop w:val="0"/>
          <w:marBottom w:val="0"/>
          <w:divBdr>
            <w:top w:val="none" w:sz="0" w:space="0" w:color="auto"/>
            <w:left w:val="none" w:sz="0" w:space="0" w:color="auto"/>
            <w:bottom w:val="none" w:sz="0" w:space="0" w:color="auto"/>
            <w:right w:val="none" w:sz="0" w:space="0" w:color="auto"/>
          </w:divBdr>
        </w:div>
        <w:div w:id="426124103">
          <w:marLeft w:val="0"/>
          <w:marRight w:val="0"/>
          <w:marTop w:val="0"/>
          <w:marBottom w:val="0"/>
          <w:divBdr>
            <w:top w:val="none" w:sz="0" w:space="0" w:color="auto"/>
            <w:left w:val="none" w:sz="0" w:space="0" w:color="auto"/>
            <w:bottom w:val="none" w:sz="0" w:space="0" w:color="auto"/>
            <w:right w:val="none" w:sz="0" w:space="0" w:color="auto"/>
          </w:divBdr>
        </w:div>
        <w:div w:id="1823541910">
          <w:marLeft w:val="0"/>
          <w:marRight w:val="0"/>
          <w:marTop w:val="0"/>
          <w:marBottom w:val="0"/>
          <w:divBdr>
            <w:top w:val="none" w:sz="0" w:space="0" w:color="auto"/>
            <w:left w:val="none" w:sz="0" w:space="0" w:color="auto"/>
            <w:bottom w:val="none" w:sz="0" w:space="0" w:color="auto"/>
            <w:right w:val="none" w:sz="0" w:space="0" w:color="auto"/>
          </w:divBdr>
        </w:div>
        <w:div w:id="423305826">
          <w:marLeft w:val="0"/>
          <w:marRight w:val="0"/>
          <w:marTop w:val="0"/>
          <w:marBottom w:val="0"/>
          <w:divBdr>
            <w:top w:val="none" w:sz="0" w:space="0" w:color="auto"/>
            <w:left w:val="none" w:sz="0" w:space="0" w:color="auto"/>
            <w:bottom w:val="none" w:sz="0" w:space="0" w:color="auto"/>
            <w:right w:val="none" w:sz="0" w:space="0" w:color="auto"/>
          </w:divBdr>
        </w:div>
        <w:div w:id="213584591">
          <w:marLeft w:val="0"/>
          <w:marRight w:val="0"/>
          <w:marTop w:val="0"/>
          <w:marBottom w:val="0"/>
          <w:divBdr>
            <w:top w:val="none" w:sz="0" w:space="0" w:color="auto"/>
            <w:left w:val="none" w:sz="0" w:space="0" w:color="auto"/>
            <w:bottom w:val="none" w:sz="0" w:space="0" w:color="auto"/>
            <w:right w:val="none" w:sz="0" w:space="0" w:color="auto"/>
          </w:divBdr>
        </w:div>
        <w:div w:id="1102606306">
          <w:marLeft w:val="0"/>
          <w:marRight w:val="0"/>
          <w:marTop w:val="0"/>
          <w:marBottom w:val="0"/>
          <w:divBdr>
            <w:top w:val="none" w:sz="0" w:space="0" w:color="auto"/>
            <w:left w:val="none" w:sz="0" w:space="0" w:color="auto"/>
            <w:bottom w:val="none" w:sz="0" w:space="0" w:color="auto"/>
            <w:right w:val="none" w:sz="0" w:space="0" w:color="auto"/>
          </w:divBdr>
        </w:div>
        <w:div w:id="1556962763">
          <w:marLeft w:val="0"/>
          <w:marRight w:val="0"/>
          <w:marTop w:val="0"/>
          <w:marBottom w:val="0"/>
          <w:divBdr>
            <w:top w:val="none" w:sz="0" w:space="0" w:color="auto"/>
            <w:left w:val="none" w:sz="0" w:space="0" w:color="auto"/>
            <w:bottom w:val="none" w:sz="0" w:space="0" w:color="auto"/>
            <w:right w:val="none" w:sz="0" w:space="0" w:color="auto"/>
          </w:divBdr>
        </w:div>
        <w:div w:id="1698652121">
          <w:marLeft w:val="0"/>
          <w:marRight w:val="0"/>
          <w:marTop w:val="0"/>
          <w:marBottom w:val="0"/>
          <w:divBdr>
            <w:top w:val="none" w:sz="0" w:space="0" w:color="auto"/>
            <w:left w:val="none" w:sz="0" w:space="0" w:color="auto"/>
            <w:bottom w:val="none" w:sz="0" w:space="0" w:color="auto"/>
            <w:right w:val="none" w:sz="0" w:space="0" w:color="auto"/>
          </w:divBdr>
        </w:div>
        <w:div w:id="731271515">
          <w:marLeft w:val="0"/>
          <w:marRight w:val="0"/>
          <w:marTop w:val="0"/>
          <w:marBottom w:val="0"/>
          <w:divBdr>
            <w:top w:val="none" w:sz="0" w:space="0" w:color="auto"/>
            <w:left w:val="none" w:sz="0" w:space="0" w:color="auto"/>
            <w:bottom w:val="none" w:sz="0" w:space="0" w:color="auto"/>
            <w:right w:val="none" w:sz="0" w:space="0" w:color="auto"/>
          </w:divBdr>
        </w:div>
        <w:div w:id="835191329">
          <w:marLeft w:val="0"/>
          <w:marRight w:val="0"/>
          <w:marTop w:val="0"/>
          <w:marBottom w:val="0"/>
          <w:divBdr>
            <w:top w:val="none" w:sz="0" w:space="0" w:color="auto"/>
            <w:left w:val="none" w:sz="0" w:space="0" w:color="auto"/>
            <w:bottom w:val="none" w:sz="0" w:space="0" w:color="auto"/>
            <w:right w:val="none" w:sz="0" w:space="0" w:color="auto"/>
          </w:divBdr>
        </w:div>
        <w:div w:id="699010974">
          <w:marLeft w:val="0"/>
          <w:marRight w:val="0"/>
          <w:marTop w:val="0"/>
          <w:marBottom w:val="0"/>
          <w:divBdr>
            <w:top w:val="none" w:sz="0" w:space="0" w:color="auto"/>
            <w:left w:val="none" w:sz="0" w:space="0" w:color="auto"/>
            <w:bottom w:val="none" w:sz="0" w:space="0" w:color="auto"/>
            <w:right w:val="none" w:sz="0" w:space="0" w:color="auto"/>
          </w:divBdr>
        </w:div>
        <w:div w:id="991904241">
          <w:marLeft w:val="0"/>
          <w:marRight w:val="0"/>
          <w:marTop w:val="0"/>
          <w:marBottom w:val="0"/>
          <w:divBdr>
            <w:top w:val="none" w:sz="0" w:space="0" w:color="auto"/>
            <w:left w:val="none" w:sz="0" w:space="0" w:color="auto"/>
            <w:bottom w:val="none" w:sz="0" w:space="0" w:color="auto"/>
            <w:right w:val="none" w:sz="0" w:space="0" w:color="auto"/>
          </w:divBdr>
        </w:div>
        <w:div w:id="1441489286">
          <w:marLeft w:val="0"/>
          <w:marRight w:val="0"/>
          <w:marTop w:val="0"/>
          <w:marBottom w:val="0"/>
          <w:divBdr>
            <w:top w:val="none" w:sz="0" w:space="0" w:color="auto"/>
            <w:left w:val="none" w:sz="0" w:space="0" w:color="auto"/>
            <w:bottom w:val="none" w:sz="0" w:space="0" w:color="auto"/>
            <w:right w:val="none" w:sz="0" w:space="0" w:color="auto"/>
          </w:divBdr>
        </w:div>
        <w:div w:id="148448680">
          <w:marLeft w:val="0"/>
          <w:marRight w:val="0"/>
          <w:marTop w:val="0"/>
          <w:marBottom w:val="0"/>
          <w:divBdr>
            <w:top w:val="none" w:sz="0" w:space="0" w:color="auto"/>
            <w:left w:val="none" w:sz="0" w:space="0" w:color="auto"/>
            <w:bottom w:val="none" w:sz="0" w:space="0" w:color="auto"/>
            <w:right w:val="none" w:sz="0" w:space="0" w:color="auto"/>
          </w:divBdr>
        </w:div>
        <w:div w:id="513034117">
          <w:marLeft w:val="0"/>
          <w:marRight w:val="0"/>
          <w:marTop w:val="0"/>
          <w:marBottom w:val="0"/>
          <w:divBdr>
            <w:top w:val="none" w:sz="0" w:space="0" w:color="auto"/>
            <w:left w:val="none" w:sz="0" w:space="0" w:color="auto"/>
            <w:bottom w:val="none" w:sz="0" w:space="0" w:color="auto"/>
            <w:right w:val="none" w:sz="0" w:space="0" w:color="auto"/>
          </w:divBdr>
        </w:div>
        <w:div w:id="1337995422">
          <w:marLeft w:val="0"/>
          <w:marRight w:val="0"/>
          <w:marTop w:val="0"/>
          <w:marBottom w:val="0"/>
          <w:divBdr>
            <w:top w:val="none" w:sz="0" w:space="0" w:color="auto"/>
            <w:left w:val="none" w:sz="0" w:space="0" w:color="auto"/>
            <w:bottom w:val="none" w:sz="0" w:space="0" w:color="auto"/>
            <w:right w:val="none" w:sz="0" w:space="0" w:color="auto"/>
          </w:divBdr>
        </w:div>
        <w:div w:id="749421726">
          <w:marLeft w:val="0"/>
          <w:marRight w:val="0"/>
          <w:marTop w:val="0"/>
          <w:marBottom w:val="0"/>
          <w:divBdr>
            <w:top w:val="none" w:sz="0" w:space="0" w:color="auto"/>
            <w:left w:val="none" w:sz="0" w:space="0" w:color="auto"/>
            <w:bottom w:val="none" w:sz="0" w:space="0" w:color="auto"/>
            <w:right w:val="none" w:sz="0" w:space="0" w:color="auto"/>
          </w:divBdr>
        </w:div>
        <w:div w:id="1836796532">
          <w:marLeft w:val="0"/>
          <w:marRight w:val="0"/>
          <w:marTop w:val="0"/>
          <w:marBottom w:val="0"/>
          <w:divBdr>
            <w:top w:val="none" w:sz="0" w:space="0" w:color="auto"/>
            <w:left w:val="none" w:sz="0" w:space="0" w:color="auto"/>
            <w:bottom w:val="none" w:sz="0" w:space="0" w:color="auto"/>
            <w:right w:val="none" w:sz="0" w:space="0" w:color="auto"/>
          </w:divBdr>
        </w:div>
        <w:div w:id="1333140136">
          <w:marLeft w:val="0"/>
          <w:marRight w:val="0"/>
          <w:marTop w:val="0"/>
          <w:marBottom w:val="0"/>
          <w:divBdr>
            <w:top w:val="none" w:sz="0" w:space="0" w:color="auto"/>
            <w:left w:val="none" w:sz="0" w:space="0" w:color="auto"/>
            <w:bottom w:val="none" w:sz="0" w:space="0" w:color="auto"/>
            <w:right w:val="none" w:sz="0" w:space="0" w:color="auto"/>
          </w:divBdr>
        </w:div>
        <w:div w:id="561332456">
          <w:marLeft w:val="0"/>
          <w:marRight w:val="0"/>
          <w:marTop w:val="0"/>
          <w:marBottom w:val="0"/>
          <w:divBdr>
            <w:top w:val="none" w:sz="0" w:space="0" w:color="auto"/>
            <w:left w:val="none" w:sz="0" w:space="0" w:color="auto"/>
            <w:bottom w:val="none" w:sz="0" w:space="0" w:color="auto"/>
            <w:right w:val="none" w:sz="0" w:space="0" w:color="auto"/>
          </w:divBdr>
        </w:div>
        <w:div w:id="578292151">
          <w:marLeft w:val="0"/>
          <w:marRight w:val="0"/>
          <w:marTop w:val="0"/>
          <w:marBottom w:val="0"/>
          <w:divBdr>
            <w:top w:val="none" w:sz="0" w:space="0" w:color="auto"/>
            <w:left w:val="none" w:sz="0" w:space="0" w:color="auto"/>
            <w:bottom w:val="none" w:sz="0" w:space="0" w:color="auto"/>
            <w:right w:val="none" w:sz="0" w:space="0" w:color="auto"/>
          </w:divBdr>
        </w:div>
        <w:div w:id="969089436">
          <w:marLeft w:val="0"/>
          <w:marRight w:val="0"/>
          <w:marTop w:val="0"/>
          <w:marBottom w:val="0"/>
          <w:divBdr>
            <w:top w:val="none" w:sz="0" w:space="0" w:color="auto"/>
            <w:left w:val="none" w:sz="0" w:space="0" w:color="auto"/>
            <w:bottom w:val="none" w:sz="0" w:space="0" w:color="auto"/>
            <w:right w:val="none" w:sz="0" w:space="0" w:color="auto"/>
          </w:divBdr>
        </w:div>
        <w:div w:id="1805390713">
          <w:marLeft w:val="0"/>
          <w:marRight w:val="0"/>
          <w:marTop w:val="0"/>
          <w:marBottom w:val="0"/>
          <w:divBdr>
            <w:top w:val="none" w:sz="0" w:space="0" w:color="auto"/>
            <w:left w:val="none" w:sz="0" w:space="0" w:color="auto"/>
            <w:bottom w:val="none" w:sz="0" w:space="0" w:color="auto"/>
            <w:right w:val="none" w:sz="0" w:space="0" w:color="auto"/>
          </w:divBdr>
        </w:div>
        <w:div w:id="427701843">
          <w:marLeft w:val="0"/>
          <w:marRight w:val="0"/>
          <w:marTop w:val="0"/>
          <w:marBottom w:val="0"/>
          <w:divBdr>
            <w:top w:val="none" w:sz="0" w:space="0" w:color="auto"/>
            <w:left w:val="none" w:sz="0" w:space="0" w:color="auto"/>
            <w:bottom w:val="none" w:sz="0" w:space="0" w:color="auto"/>
            <w:right w:val="none" w:sz="0" w:space="0" w:color="auto"/>
          </w:divBdr>
        </w:div>
        <w:div w:id="916553049">
          <w:marLeft w:val="0"/>
          <w:marRight w:val="0"/>
          <w:marTop w:val="0"/>
          <w:marBottom w:val="0"/>
          <w:divBdr>
            <w:top w:val="none" w:sz="0" w:space="0" w:color="auto"/>
            <w:left w:val="none" w:sz="0" w:space="0" w:color="auto"/>
            <w:bottom w:val="none" w:sz="0" w:space="0" w:color="auto"/>
            <w:right w:val="none" w:sz="0" w:space="0" w:color="auto"/>
          </w:divBdr>
        </w:div>
        <w:div w:id="1841919539">
          <w:marLeft w:val="0"/>
          <w:marRight w:val="0"/>
          <w:marTop w:val="0"/>
          <w:marBottom w:val="0"/>
          <w:divBdr>
            <w:top w:val="none" w:sz="0" w:space="0" w:color="auto"/>
            <w:left w:val="none" w:sz="0" w:space="0" w:color="auto"/>
            <w:bottom w:val="none" w:sz="0" w:space="0" w:color="auto"/>
            <w:right w:val="none" w:sz="0" w:space="0" w:color="auto"/>
          </w:divBdr>
        </w:div>
        <w:div w:id="826941327">
          <w:marLeft w:val="0"/>
          <w:marRight w:val="0"/>
          <w:marTop w:val="0"/>
          <w:marBottom w:val="0"/>
          <w:divBdr>
            <w:top w:val="none" w:sz="0" w:space="0" w:color="auto"/>
            <w:left w:val="none" w:sz="0" w:space="0" w:color="auto"/>
            <w:bottom w:val="none" w:sz="0" w:space="0" w:color="auto"/>
            <w:right w:val="none" w:sz="0" w:space="0" w:color="auto"/>
          </w:divBdr>
        </w:div>
        <w:div w:id="807170352">
          <w:marLeft w:val="0"/>
          <w:marRight w:val="0"/>
          <w:marTop w:val="0"/>
          <w:marBottom w:val="0"/>
          <w:divBdr>
            <w:top w:val="none" w:sz="0" w:space="0" w:color="auto"/>
            <w:left w:val="none" w:sz="0" w:space="0" w:color="auto"/>
            <w:bottom w:val="none" w:sz="0" w:space="0" w:color="auto"/>
            <w:right w:val="none" w:sz="0" w:space="0" w:color="auto"/>
          </w:divBdr>
        </w:div>
        <w:div w:id="1827241483">
          <w:marLeft w:val="0"/>
          <w:marRight w:val="0"/>
          <w:marTop w:val="0"/>
          <w:marBottom w:val="0"/>
          <w:divBdr>
            <w:top w:val="none" w:sz="0" w:space="0" w:color="auto"/>
            <w:left w:val="none" w:sz="0" w:space="0" w:color="auto"/>
            <w:bottom w:val="none" w:sz="0" w:space="0" w:color="auto"/>
            <w:right w:val="none" w:sz="0" w:space="0" w:color="auto"/>
          </w:divBdr>
        </w:div>
        <w:div w:id="519784898">
          <w:marLeft w:val="0"/>
          <w:marRight w:val="0"/>
          <w:marTop w:val="0"/>
          <w:marBottom w:val="0"/>
          <w:divBdr>
            <w:top w:val="none" w:sz="0" w:space="0" w:color="auto"/>
            <w:left w:val="none" w:sz="0" w:space="0" w:color="auto"/>
            <w:bottom w:val="none" w:sz="0" w:space="0" w:color="auto"/>
            <w:right w:val="none" w:sz="0" w:space="0" w:color="auto"/>
          </w:divBdr>
        </w:div>
        <w:div w:id="1157651376">
          <w:marLeft w:val="0"/>
          <w:marRight w:val="0"/>
          <w:marTop w:val="0"/>
          <w:marBottom w:val="0"/>
          <w:divBdr>
            <w:top w:val="none" w:sz="0" w:space="0" w:color="auto"/>
            <w:left w:val="none" w:sz="0" w:space="0" w:color="auto"/>
            <w:bottom w:val="none" w:sz="0" w:space="0" w:color="auto"/>
            <w:right w:val="none" w:sz="0" w:space="0" w:color="auto"/>
          </w:divBdr>
        </w:div>
        <w:div w:id="401027005">
          <w:marLeft w:val="0"/>
          <w:marRight w:val="0"/>
          <w:marTop w:val="0"/>
          <w:marBottom w:val="0"/>
          <w:divBdr>
            <w:top w:val="none" w:sz="0" w:space="0" w:color="auto"/>
            <w:left w:val="none" w:sz="0" w:space="0" w:color="auto"/>
            <w:bottom w:val="none" w:sz="0" w:space="0" w:color="auto"/>
            <w:right w:val="none" w:sz="0" w:space="0" w:color="auto"/>
          </w:divBdr>
        </w:div>
        <w:div w:id="168443963">
          <w:marLeft w:val="0"/>
          <w:marRight w:val="0"/>
          <w:marTop w:val="0"/>
          <w:marBottom w:val="0"/>
          <w:divBdr>
            <w:top w:val="none" w:sz="0" w:space="0" w:color="auto"/>
            <w:left w:val="none" w:sz="0" w:space="0" w:color="auto"/>
            <w:bottom w:val="none" w:sz="0" w:space="0" w:color="auto"/>
            <w:right w:val="none" w:sz="0" w:space="0" w:color="auto"/>
          </w:divBdr>
        </w:div>
        <w:div w:id="1105274890">
          <w:marLeft w:val="0"/>
          <w:marRight w:val="0"/>
          <w:marTop w:val="0"/>
          <w:marBottom w:val="0"/>
          <w:divBdr>
            <w:top w:val="none" w:sz="0" w:space="0" w:color="auto"/>
            <w:left w:val="none" w:sz="0" w:space="0" w:color="auto"/>
            <w:bottom w:val="none" w:sz="0" w:space="0" w:color="auto"/>
            <w:right w:val="none" w:sz="0" w:space="0" w:color="auto"/>
          </w:divBdr>
        </w:div>
        <w:div w:id="781076592">
          <w:marLeft w:val="0"/>
          <w:marRight w:val="0"/>
          <w:marTop w:val="0"/>
          <w:marBottom w:val="0"/>
          <w:divBdr>
            <w:top w:val="none" w:sz="0" w:space="0" w:color="auto"/>
            <w:left w:val="none" w:sz="0" w:space="0" w:color="auto"/>
            <w:bottom w:val="none" w:sz="0" w:space="0" w:color="auto"/>
            <w:right w:val="none" w:sz="0" w:space="0" w:color="auto"/>
          </w:divBdr>
        </w:div>
        <w:div w:id="381945381">
          <w:marLeft w:val="0"/>
          <w:marRight w:val="0"/>
          <w:marTop w:val="0"/>
          <w:marBottom w:val="0"/>
          <w:divBdr>
            <w:top w:val="none" w:sz="0" w:space="0" w:color="auto"/>
            <w:left w:val="none" w:sz="0" w:space="0" w:color="auto"/>
            <w:bottom w:val="none" w:sz="0" w:space="0" w:color="auto"/>
            <w:right w:val="none" w:sz="0" w:space="0" w:color="auto"/>
          </w:divBdr>
        </w:div>
        <w:div w:id="1017347179">
          <w:marLeft w:val="0"/>
          <w:marRight w:val="0"/>
          <w:marTop w:val="0"/>
          <w:marBottom w:val="0"/>
          <w:divBdr>
            <w:top w:val="none" w:sz="0" w:space="0" w:color="auto"/>
            <w:left w:val="none" w:sz="0" w:space="0" w:color="auto"/>
            <w:bottom w:val="none" w:sz="0" w:space="0" w:color="auto"/>
            <w:right w:val="none" w:sz="0" w:space="0" w:color="auto"/>
          </w:divBdr>
        </w:div>
        <w:div w:id="858543437">
          <w:marLeft w:val="0"/>
          <w:marRight w:val="0"/>
          <w:marTop w:val="0"/>
          <w:marBottom w:val="0"/>
          <w:divBdr>
            <w:top w:val="none" w:sz="0" w:space="0" w:color="auto"/>
            <w:left w:val="none" w:sz="0" w:space="0" w:color="auto"/>
            <w:bottom w:val="none" w:sz="0" w:space="0" w:color="auto"/>
            <w:right w:val="none" w:sz="0" w:space="0" w:color="auto"/>
          </w:divBdr>
        </w:div>
        <w:div w:id="2076732905">
          <w:marLeft w:val="0"/>
          <w:marRight w:val="0"/>
          <w:marTop w:val="0"/>
          <w:marBottom w:val="0"/>
          <w:divBdr>
            <w:top w:val="none" w:sz="0" w:space="0" w:color="auto"/>
            <w:left w:val="none" w:sz="0" w:space="0" w:color="auto"/>
            <w:bottom w:val="none" w:sz="0" w:space="0" w:color="auto"/>
            <w:right w:val="none" w:sz="0" w:space="0" w:color="auto"/>
          </w:divBdr>
        </w:div>
        <w:div w:id="742679631">
          <w:marLeft w:val="0"/>
          <w:marRight w:val="0"/>
          <w:marTop w:val="0"/>
          <w:marBottom w:val="0"/>
          <w:divBdr>
            <w:top w:val="none" w:sz="0" w:space="0" w:color="auto"/>
            <w:left w:val="none" w:sz="0" w:space="0" w:color="auto"/>
            <w:bottom w:val="none" w:sz="0" w:space="0" w:color="auto"/>
            <w:right w:val="none" w:sz="0" w:space="0" w:color="auto"/>
          </w:divBdr>
        </w:div>
        <w:div w:id="1151363898">
          <w:marLeft w:val="0"/>
          <w:marRight w:val="0"/>
          <w:marTop w:val="0"/>
          <w:marBottom w:val="0"/>
          <w:divBdr>
            <w:top w:val="none" w:sz="0" w:space="0" w:color="auto"/>
            <w:left w:val="none" w:sz="0" w:space="0" w:color="auto"/>
            <w:bottom w:val="none" w:sz="0" w:space="0" w:color="auto"/>
            <w:right w:val="none" w:sz="0" w:space="0" w:color="auto"/>
          </w:divBdr>
        </w:div>
        <w:div w:id="750781602">
          <w:marLeft w:val="0"/>
          <w:marRight w:val="0"/>
          <w:marTop w:val="0"/>
          <w:marBottom w:val="0"/>
          <w:divBdr>
            <w:top w:val="none" w:sz="0" w:space="0" w:color="auto"/>
            <w:left w:val="none" w:sz="0" w:space="0" w:color="auto"/>
            <w:bottom w:val="none" w:sz="0" w:space="0" w:color="auto"/>
            <w:right w:val="none" w:sz="0" w:space="0" w:color="auto"/>
          </w:divBdr>
        </w:div>
        <w:div w:id="1252197127">
          <w:marLeft w:val="0"/>
          <w:marRight w:val="0"/>
          <w:marTop w:val="0"/>
          <w:marBottom w:val="0"/>
          <w:divBdr>
            <w:top w:val="none" w:sz="0" w:space="0" w:color="auto"/>
            <w:left w:val="none" w:sz="0" w:space="0" w:color="auto"/>
            <w:bottom w:val="none" w:sz="0" w:space="0" w:color="auto"/>
            <w:right w:val="none" w:sz="0" w:space="0" w:color="auto"/>
          </w:divBdr>
        </w:div>
        <w:div w:id="660352787">
          <w:marLeft w:val="0"/>
          <w:marRight w:val="0"/>
          <w:marTop w:val="0"/>
          <w:marBottom w:val="0"/>
          <w:divBdr>
            <w:top w:val="none" w:sz="0" w:space="0" w:color="auto"/>
            <w:left w:val="none" w:sz="0" w:space="0" w:color="auto"/>
            <w:bottom w:val="none" w:sz="0" w:space="0" w:color="auto"/>
            <w:right w:val="none" w:sz="0" w:space="0" w:color="auto"/>
          </w:divBdr>
        </w:div>
        <w:div w:id="300815692">
          <w:marLeft w:val="0"/>
          <w:marRight w:val="0"/>
          <w:marTop w:val="0"/>
          <w:marBottom w:val="0"/>
          <w:divBdr>
            <w:top w:val="none" w:sz="0" w:space="0" w:color="auto"/>
            <w:left w:val="none" w:sz="0" w:space="0" w:color="auto"/>
            <w:bottom w:val="none" w:sz="0" w:space="0" w:color="auto"/>
            <w:right w:val="none" w:sz="0" w:space="0" w:color="auto"/>
          </w:divBdr>
        </w:div>
        <w:div w:id="49159654">
          <w:marLeft w:val="0"/>
          <w:marRight w:val="0"/>
          <w:marTop w:val="0"/>
          <w:marBottom w:val="0"/>
          <w:divBdr>
            <w:top w:val="none" w:sz="0" w:space="0" w:color="auto"/>
            <w:left w:val="none" w:sz="0" w:space="0" w:color="auto"/>
            <w:bottom w:val="none" w:sz="0" w:space="0" w:color="auto"/>
            <w:right w:val="none" w:sz="0" w:space="0" w:color="auto"/>
          </w:divBdr>
        </w:div>
        <w:div w:id="425348164">
          <w:marLeft w:val="0"/>
          <w:marRight w:val="0"/>
          <w:marTop w:val="0"/>
          <w:marBottom w:val="0"/>
          <w:divBdr>
            <w:top w:val="none" w:sz="0" w:space="0" w:color="auto"/>
            <w:left w:val="none" w:sz="0" w:space="0" w:color="auto"/>
            <w:bottom w:val="none" w:sz="0" w:space="0" w:color="auto"/>
            <w:right w:val="none" w:sz="0" w:space="0" w:color="auto"/>
          </w:divBdr>
        </w:div>
        <w:div w:id="1698122271">
          <w:marLeft w:val="0"/>
          <w:marRight w:val="0"/>
          <w:marTop w:val="0"/>
          <w:marBottom w:val="0"/>
          <w:divBdr>
            <w:top w:val="none" w:sz="0" w:space="0" w:color="auto"/>
            <w:left w:val="none" w:sz="0" w:space="0" w:color="auto"/>
            <w:bottom w:val="none" w:sz="0" w:space="0" w:color="auto"/>
            <w:right w:val="none" w:sz="0" w:space="0" w:color="auto"/>
          </w:divBdr>
        </w:div>
        <w:div w:id="737435338">
          <w:marLeft w:val="0"/>
          <w:marRight w:val="0"/>
          <w:marTop w:val="0"/>
          <w:marBottom w:val="0"/>
          <w:divBdr>
            <w:top w:val="none" w:sz="0" w:space="0" w:color="auto"/>
            <w:left w:val="none" w:sz="0" w:space="0" w:color="auto"/>
            <w:bottom w:val="none" w:sz="0" w:space="0" w:color="auto"/>
            <w:right w:val="none" w:sz="0" w:space="0" w:color="auto"/>
          </w:divBdr>
        </w:div>
        <w:div w:id="318534705">
          <w:marLeft w:val="0"/>
          <w:marRight w:val="0"/>
          <w:marTop w:val="0"/>
          <w:marBottom w:val="0"/>
          <w:divBdr>
            <w:top w:val="none" w:sz="0" w:space="0" w:color="auto"/>
            <w:left w:val="none" w:sz="0" w:space="0" w:color="auto"/>
            <w:bottom w:val="none" w:sz="0" w:space="0" w:color="auto"/>
            <w:right w:val="none" w:sz="0" w:space="0" w:color="auto"/>
          </w:divBdr>
        </w:div>
        <w:div w:id="765155323">
          <w:marLeft w:val="0"/>
          <w:marRight w:val="0"/>
          <w:marTop w:val="0"/>
          <w:marBottom w:val="0"/>
          <w:divBdr>
            <w:top w:val="none" w:sz="0" w:space="0" w:color="auto"/>
            <w:left w:val="none" w:sz="0" w:space="0" w:color="auto"/>
            <w:bottom w:val="none" w:sz="0" w:space="0" w:color="auto"/>
            <w:right w:val="none" w:sz="0" w:space="0" w:color="auto"/>
          </w:divBdr>
        </w:div>
        <w:div w:id="1198616204">
          <w:marLeft w:val="0"/>
          <w:marRight w:val="0"/>
          <w:marTop w:val="0"/>
          <w:marBottom w:val="0"/>
          <w:divBdr>
            <w:top w:val="none" w:sz="0" w:space="0" w:color="auto"/>
            <w:left w:val="none" w:sz="0" w:space="0" w:color="auto"/>
            <w:bottom w:val="none" w:sz="0" w:space="0" w:color="auto"/>
            <w:right w:val="none" w:sz="0" w:space="0" w:color="auto"/>
          </w:divBdr>
        </w:div>
        <w:div w:id="118034569">
          <w:marLeft w:val="0"/>
          <w:marRight w:val="0"/>
          <w:marTop w:val="0"/>
          <w:marBottom w:val="0"/>
          <w:divBdr>
            <w:top w:val="none" w:sz="0" w:space="0" w:color="auto"/>
            <w:left w:val="none" w:sz="0" w:space="0" w:color="auto"/>
            <w:bottom w:val="none" w:sz="0" w:space="0" w:color="auto"/>
            <w:right w:val="none" w:sz="0" w:space="0" w:color="auto"/>
          </w:divBdr>
        </w:div>
        <w:div w:id="1447233359">
          <w:marLeft w:val="0"/>
          <w:marRight w:val="0"/>
          <w:marTop w:val="0"/>
          <w:marBottom w:val="0"/>
          <w:divBdr>
            <w:top w:val="none" w:sz="0" w:space="0" w:color="auto"/>
            <w:left w:val="none" w:sz="0" w:space="0" w:color="auto"/>
            <w:bottom w:val="none" w:sz="0" w:space="0" w:color="auto"/>
            <w:right w:val="none" w:sz="0" w:space="0" w:color="auto"/>
          </w:divBdr>
        </w:div>
        <w:div w:id="2011564345">
          <w:marLeft w:val="0"/>
          <w:marRight w:val="0"/>
          <w:marTop w:val="0"/>
          <w:marBottom w:val="0"/>
          <w:divBdr>
            <w:top w:val="none" w:sz="0" w:space="0" w:color="auto"/>
            <w:left w:val="none" w:sz="0" w:space="0" w:color="auto"/>
            <w:bottom w:val="none" w:sz="0" w:space="0" w:color="auto"/>
            <w:right w:val="none" w:sz="0" w:space="0" w:color="auto"/>
          </w:divBdr>
        </w:div>
        <w:div w:id="1464038442">
          <w:marLeft w:val="0"/>
          <w:marRight w:val="0"/>
          <w:marTop w:val="0"/>
          <w:marBottom w:val="0"/>
          <w:divBdr>
            <w:top w:val="none" w:sz="0" w:space="0" w:color="auto"/>
            <w:left w:val="none" w:sz="0" w:space="0" w:color="auto"/>
            <w:bottom w:val="none" w:sz="0" w:space="0" w:color="auto"/>
            <w:right w:val="none" w:sz="0" w:space="0" w:color="auto"/>
          </w:divBdr>
        </w:div>
        <w:div w:id="318466256">
          <w:marLeft w:val="0"/>
          <w:marRight w:val="0"/>
          <w:marTop w:val="0"/>
          <w:marBottom w:val="0"/>
          <w:divBdr>
            <w:top w:val="none" w:sz="0" w:space="0" w:color="auto"/>
            <w:left w:val="none" w:sz="0" w:space="0" w:color="auto"/>
            <w:bottom w:val="none" w:sz="0" w:space="0" w:color="auto"/>
            <w:right w:val="none" w:sz="0" w:space="0" w:color="auto"/>
          </w:divBdr>
        </w:div>
        <w:div w:id="5140766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hw.nhs.wales/news/proportion-of-people-using-the-internet-frequently-to-" TargetMode="External"/><Relationship Id="rId18" Type="http://schemas.openxmlformats.org/officeDocument/2006/relationships/hyperlink" Target="https://doi.org/10.3389/fpubh.2022.959283" TargetMode="External"/><Relationship Id="rId26" Type="http://schemas.openxmlformats.org/officeDocument/2006/relationships/hyperlink" Target="https://www.gov.wales/sites/default/files/publications/2020-06/first-ministers-bame-covid-19-advisory-group-report-of-the-socioeconomic-subgroup.pdf" TargetMode="External"/><Relationship Id="rId3" Type="http://schemas.openxmlformats.org/officeDocument/2006/relationships/customXml" Target="../customXml/item3.xml"/><Relationship Id="rId21" Type="http://schemas.openxmlformats.org/officeDocument/2006/relationships/hyperlink" Target="https://www.e-lfh.org.uk/programmes/cultural-competence/" TargetMode="External"/><Relationship Id="rId34"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doi.org/10.1177/00333549141291S206" TargetMode="External"/><Relationship Id="rId17" Type="http://schemas.openxmlformats.org/officeDocument/2006/relationships/hyperlink" Target="https://webapps.ilo.org/infostories/en-GB/Stories/Employment/rural-economies" TargetMode="External"/><Relationship Id="rId25" Type="http://schemas.openxmlformats.org/officeDocument/2006/relationships/hyperlink" Target="https://www.ons.gov.uk/peoplepopulationandcommunity/healthandsocialcare/healthinequalities/bulletins/healthstatelifeexpectanciesbynationaldeprivationdecileswales/2017to2019" TargetMode="External"/><Relationship Id="rId33" Type="http://schemas.openxmlformats.org/officeDocument/2006/relationships/hyperlink" Target="https://www.tes.com/teaching-resource/sociology-introduction-to-health-inequalities-in-health-ethnicity-11317409" TargetMode="External"/><Relationship Id="rId2" Type="http://schemas.openxmlformats.org/officeDocument/2006/relationships/customXml" Target="../customXml/item2.xml"/><Relationship Id="rId16" Type="http://schemas.openxmlformats.org/officeDocument/2006/relationships/hyperlink" Target="https://www.rcemlearning.co.uk/foamed/health-inequalities-in-the-ed/" TargetMode="External"/><Relationship Id="rId20" Type="http://schemas.openxmlformats.org/officeDocument/2006/relationships/hyperlink" Target="https://www.gov.uk/research-for-development-outputs/fair-society-healthy-lives-the-marmot-review-strategic-review-of-health-inequalities-in-england-post-2010" TargetMode="External"/><Relationship Id="rId29" Type="http://schemas.openxmlformats.org/officeDocument/2006/relationships/hyperlink" Target="https://sma.org/the-uk-national-health-servi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jpeg"/><Relationship Id="rId24" Type="http://schemas.openxmlformats.org/officeDocument/2006/relationships/hyperlink" Target="https://www.ons.gov.uk/peoplepopulationandcommunity/healthandsocialcare/healthinequalities/bulletins/healthstatelifeexpectanciesbynationaldeprivationdecileswales/2017to2019" TargetMode="External"/><Relationship Id="rId32" Type="http://schemas.openxmlformats.org/officeDocument/2006/relationships/hyperlink" Target="https://www.ons.gov.uk/peoplepopulationandcommunity/birthsdeathsandmarriages/deaths/articles/updatingethniccontrastsindeathsinvolvingthecoronaviruscovid19englandandwales/24january2020to23november2022#:~:text=Figure%201%3A%20In%20the%20latest,with%20the%20White%20British%20group" TargetMode="External"/><Relationship Id="rId5" Type="http://schemas.openxmlformats.org/officeDocument/2006/relationships/settings" Target="settings.xml"/><Relationship Id="rId15" Type="http://schemas.openxmlformats.org/officeDocument/2006/relationships/hyperlink" Target="https://www.wcpp.org.uk/wp-content/uploads/2021/03/Improving-Race-Equality-in-Health-and-Social-Care.pdf" TargetMode="External"/><Relationship Id="rId23" Type="http://schemas.openxmlformats.org/officeDocument/2006/relationships/hyperlink" Target="https://pmc.ncbi.nlm.nih.gov/articles/PMC9523137/" TargetMode="External"/><Relationship Id="rId28" Type="http://schemas.openxmlformats.org/officeDocument/2006/relationships/hyperlink" Target="https://research.senedd.wales/research-articles/health-and-wealth-why-tackling-health-inequalities-is-so-important/" TargetMode="External"/><Relationship Id="rId10" Type="http://schemas.openxmlformats.org/officeDocument/2006/relationships/image" Target="media/image4.png"/><Relationship Id="rId19" Type="http://schemas.openxmlformats.org/officeDocument/2006/relationships/hyperlink" Target="https://pubmed.ncbi.nlm.nih.gov/22784581/" TargetMode="External"/><Relationship Id="rId31" Type="http://schemas.openxmlformats.org/officeDocument/2006/relationships/hyperlink" Target="https://uk.images.search.yahoo.com/search/images;_ylt=AwrIeR3CBipn8AEA_VUM34lQ;_ylu=Y29sbwNpcjIEcG9zAzEEdnRpZAMEc2VjA3BpdnM-?p=health+inequality+in+urban+-+rural+in+wales+2020&amp;fr2=piv-web&amp;type=E211GB1456G0&amp;fr=mcafee" TargetMode="External"/><Relationship Id="rId4" Type="http://schemas.openxmlformats.org/officeDocument/2006/relationships/styles" Target="styles.xml"/><Relationship Id="rId9" Type="http://schemas.openxmlformats.org/officeDocument/2006/relationships/image" Target="media/image3.jpeg"/><Relationship Id="rId14" Type="http://schemas.openxmlformats.org/officeDocument/2006/relationships/hyperlink" Target="https://doi.org/10.1258/135581907780279549" TargetMode="External"/><Relationship Id="rId22" Type="http://schemas.openxmlformats.org/officeDocument/2006/relationships/hyperlink" Target="https://bmchealthservres.biomedcentral.com/articles/10.1186/s12913-023-09133-z#citea" TargetMode="External"/><Relationship Id="rId27" Type="http://schemas.openxmlformats.org/officeDocument/2006/relationships/hyperlink" Target="https://phw.nhs.wales/news/rural-communities-face-pivotal-time-of-change-as-triple-challenge-impacts-take-effect/" TargetMode="External"/><Relationship Id="rId30" Type="http://schemas.openxmlformats.org/officeDocument/2006/relationships/hyperlink" Target="https://social.desa.un.org/publications/reducing-poverty-and-inequality-in-rural-areas-key-to-inclusive-development"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6" ma:contentTypeDescription="Create a new document." ma:contentTypeScope="" ma:versionID="14d956ee3100263b8528980c98ce26b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a3b6d64fc16a3f2b09bfaa37c6a8d8fe"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ServiceLocatio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906FC44C-9924-4520-A1EA-031C110D10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F045FC-D690-415E-96A7-884C2FE94795}">
  <ds:schemaRefs>
    <ds:schemaRef ds:uri="http://schemas.microsoft.com/sharepoint/v3/contenttype/forms"/>
  </ds:schemaRefs>
</ds:datastoreItem>
</file>

<file path=customXml/itemProps3.xml><?xml version="1.0" encoding="utf-8"?>
<ds:datastoreItem xmlns:ds="http://schemas.openxmlformats.org/officeDocument/2006/customXml" ds:itemID="{AE821508-3E25-4DB8-A217-6BFCF3907D9B}">
  <ds:schemaRefs>
    <ds:schemaRef ds:uri="http://purl.org/dc/dcmitype/"/>
    <ds:schemaRef ds:uri="550816ce-8156-4f45-b1c4-24236a73d01f"/>
    <ds:schemaRef ds:uri="http://schemas.microsoft.com/office/infopath/2007/PartnerControls"/>
    <ds:schemaRef ds:uri="http://schemas.microsoft.com/office/2006/metadata/properties"/>
    <ds:schemaRef ds:uri="http://schemas.openxmlformats.org/package/2006/metadata/core-properties"/>
    <ds:schemaRef ds:uri="http://schemas.microsoft.com/office/2006/documentManagement/types"/>
    <ds:schemaRef ds:uri="http://purl.org/dc/terms/"/>
    <ds:schemaRef ds:uri="0ebdf10f-b5a3-45b6-acdb-7dc1eb398785"/>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3065</Words>
  <Characters>21861</Characters>
  <Application>Microsoft Office Word</Application>
  <DocSecurity>0</DocSecurity>
  <Lines>383</Lines>
  <Paragraphs>119</Paragraphs>
  <ScaleCrop>false</ScaleCrop>
  <Company/>
  <LinksUpToDate>false</LinksUpToDate>
  <CharactersWithSpaces>24807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Amponsah (2314497)</dc:creator>
  <cp:keywords/>
  <dc:description/>
  <cp:lastModifiedBy>Diana Amponsah (2314497)</cp:lastModifiedBy>
  <cp:revision>2</cp:revision>
  <dcterms:created xsi:type="dcterms:W3CDTF">2024-11-07T12:39:00Z</dcterms:created>
  <dcterms:modified xsi:type="dcterms:W3CDTF">2024-11-07T12:39:00Z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398e40ab-978a-4283-8209-269e80e8bf72</vt:lpwstr>
  </property>
  <property fmtid="{D5CDD505-2E9C-101B-9397-08002B2CF9AE}" pid="3" name="ContentTypeId">
    <vt:lpwstr>0x0101009DA2B97165742847ABC519A905693DF8</vt:lpwstr>
  </property>
</Properties>
</file>