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iagrams/colors1.xml" ContentType="application/vnd.openxmlformats-officedocument.drawingml.diagramColors+xml"/>
  <Override PartName="/word/diagrams/data1.xml" ContentType="application/vnd.openxmlformats-officedocument.drawingml.diagramData+xml"/>
  <Override PartName="/word/diagrams/drawing1.xml" ContentType="application/vnd.ms-office.drawingml.diagramDrawing+xml"/>
  <Override PartName="/word/diagrams/layout1.xml" ContentType="application/vnd.openxmlformats-officedocument.drawingml.diagramLayout+xml"/>
  <Override PartName="/word/diagrams/quickStyle1.xml" ContentType="application/vnd.openxmlformats-officedocument.drawingml.diagramStyl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994438E">
      <w:pPr>
        <w:spacing w:line="360" w:lineRule="auto"/>
        <w:jc w:val="center"/>
        <w:rPr>
          <w:rFonts w:ascii="Times New Roman" w:hAnsi="Times New Roman" w:eastAsia="Times New Roman" w:cs="Times New Roman"/>
          <w:b/>
          <w:sz w:val="32"/>
          <w:szCs w:val="32"/>
        </w:rPr>
      </w:pPr>
    </w:p>
    <w:p w14:paraId="0B634C26">
      <w:pPr>
        <w:spacing w:line="360" w:lineRule="auto"/>
        <w:jc w:val="center"/>
        <w:rPr>
          <w:rFonts w:ascii="Times New Roman" w:hAnsi="Times New Roman" w:eastAsia="Times New Roman" w:cs="Times New Roman"/>
          <w:b/>
          <w:sz w:val="32"/>
          <w:szCs w:val="32"/>
        </w:rPr>
      </w:pPr>
    </w:p>
    <w:p w14:paraId="7ABBF46E">
      <w:pPr>
        <w:rPr>
          <w:rFonts w:ascii="Times New Roman" w:hAnsi="Times New Roman" w:eastAsia="Times New Roman" w:cs="Times New Roman"/>
          <w:b/>
          <w:sz w:val="24"/>
          <w:szCs w:val="24"/>
        </w:rPr>
      </w:pPr>
    </w:p>
    <w:p w14:paraId="32E3F932">
      <w:pPr>
        <w:spacing w:line="360" w:lineRule="auto"/>
        <w:jc w:val="center"/>
        <w:rPr>
          <w:rFonts w:ascii="Times New Roman" w:hAnsi="Times New Roman" w:eastAsia="Times New Roman" w:cs="Times New Roman"/>
          <w:b/>
          <w:sz w:val="32"/>
          <w:szCs w:val="32"/>
        </w:rPr>
      </w:pPr>
    </w:p>
    <w:p w14:paraId="025FC503">
      <w:pPr>
        <w:spacing w:line="360" w:lineRule="auto"/>
        <w:jc w:val="center"/>
        <w:rPr>
          <w:rFonts w:ascii="Times New Roman" w:hAnsi="Times New Roman" w:eastAsia="Times New Roman" w:cs="Times New Roman"/>
          <w:b/>
          <w:sz w:val="32"/>
          <w:szCs w:val="32"/>
        </w:rPr>
      </w:pPr>
    </w:p>
    <w:p w14:paraId="761AE796">
      <w:pPr>
        <w:spacing w:line="360" w:lineRule="auto"/>
        <w:jc w:val="center"/>
        <w:rPr>
          <w:rFonts w:ascii="Times New Roman" w:hAnsi="Times New Roman" w:eastAsia="Times New Roman" w:cs="Times New Roman"/>
          <w:b/>
          <w:sz w:val="32"/>
          <w:szCs w:val="32"/>
        </w:rPr>
      </w:pPr>
    </w:p>
    <w:p w14:paraId="6115F33C">
      <w:pPr>
        <w:jc w:val="center"/>
        <w:rPr>
          <w:rFonts w:hint="default" w:ascii="Times New Roman" w:hAnsi="Times New Roman" w:eastAsia="Times New Roman"/>
          <w:b/>
          <w:sz w:val="24"/>
          <w:szCs w:val="24"/>
        </w:rPr>
      </w:pPr>
      <w:r>
        <w:rPr>
          <w:rFonts w:hint="default" w:ascii="Times New Roman" w:hAnsi="Times New Roman" w:eastAsia="Times New Roman"/>
          <w:b/>
          <w:sz w:val="24"/>
          <w:szCs w:val="24"/>
        </w:rPr>
        <w:t>MODULE: MANAGEMENT</w:t>
      </w:r>
      <w:r>
        <w:rPr>
          <w:rFonts w:hint="default" w:ascii="Times New Roman" w:hAnsi="Times New Roman" w:eastAsia="Times New Roman"/>
          <w:b/>
          <w:sz w:val="24"/>
          <w:szCs w:val="24"/>
          <w:lang w:val="en-GB"/>
        </w:rPr>
        <w:t xml:space="preserve"> AND </w:t>
      </w:r>
      <w:r>
        <w:rPr>
          <w:rFonts w:hint="default" w:ascii="Times New Roman" w:hAnsi="Times New Roman" w:eastAsia="Times New Roman"/>
          <w:b/>
          <w:sz w:val="24"/>
          <w:szCs w:val="24"/>
        </w:rPr>
        <w:t>ORGANISATIONAL</w:t>
      </w:r>
      <w:r>
        <w:rPr>
          <w:rFonts w:hint="default" w:ascii="Times New Roman" w:hAnsi="Times New Roman" w:eastAsia="Times New Roman"/>
          <w:b/>
          <w:sz w:val="24"/>
          <w:szCs w:val="24"/>
          <w:lang w:val="en-GB"/>
        </w:rPr>
        <w:t xml:space="preserve"> </w:t>
      </w:r>
      <w:r>
        <w:rPr>
          <w:rFonts w:hint="default" w:ascii="Times New Roman" w:hAnsi="Times New Roman" w:eastAsia="Times New Roman"/>
          <w:b/>
          <w:sz w:val="24"/>
          <w:szCs w:val="24"/>
        </w:rPr>
        <w:t>BEHAVIOUR</w:t>
      </w:r>
    </w:p>
    <w:p w14:paraId="2DB6339C">
      <w:pPr>
        <w:jc w:val="center"/>
        <w:rPr>
          <w:rFonts w:hint="default" w:ascii="Times New Roman" w:hAnsi="Times New Roman" w:eastAsia="Times New Roman"/>
          <w:b/>
          <w:sz w:val="24"/>
          <w:szCs w:val="24"/>
        </w:rPr>
      </w:pPr>
    </w:p>
    <w:p w14:paraId="4C8D5FCB">
      <w:pPr>
        <w:jc w:val="center"/>
        <w:rPr>
          <w:rFonts w:hint="default" w:ascii="Times New Roman" w:hAnsi="Times New Roman" w:eastAsia="Times New Roman"/>
          <w:b/>
          <w:sz w:val="24"/>
          <w:szCs w:val="24"/>
        </w:rPr>
      </w:pPr>
      <w:r>
        <w:rPr>
          <w:rFonts w:hint="default" w:ascii="Times New Roman" w:hAnsi="Times New Roman" w:eastAsia="Times New Roman"/>
          <w:b/>
          <w:sz w:val="24"/>
          <w:szCs w:val="24"/>
        </w:rPr>
        <w:t>MODULE CODE: BMIH5004</w:t>
      </w:r>
    </w:p>
    <w:p w14:paraId="38480632">
      <w:pPr>
        <w:jc w:val="center"/>
        <w:rPr>
          <w:rFonts w:hint="default" w:ascii="Times New Roman" w:hAnsi="Times New Roman" w:eastAsia="Times New Roman"/>
          <w:b/>
          <w:sz w:val="24"/>
          <w:szCs w:val="24"/>
          <w:lang w:val="en-GB"/>
        </w:rPr>
      </w:pPr>
      <w:r>
        <w:rPr>
          <w:rFonts w:hint="default" w:ascii="Times New Roman" w:hAnsi="Times New Roman" w:eastAsia="Times New Roman"/>
          <w:b/>
          <w:sz w:val="24"/>
          <w:szCs w:val="24"/>
        </w:rPr>
        <w:t xml:space="preserve">Student name: </w:t>
      </w:r>
      <w:r>
        <w:rPr>
          <w:rFonts w:hint="default" w:ascii="Times New Roman" w:hAnsi="Times New Roman" w:eastAsia="Times New Roman"/>
          <w:b/>
          <w:sz w:val="24"/>
          <w:szCs w:val="24"/>
          <w:lang w:val="en-GB"/>
        </w:rPr>
        <w:t xml:space="preserve">Catalin Mircea Leva </w:t>
      </w:r>
    </w:p>
    <w:p w14:paraId="0F6EE247">
      <w:pPr>
        <w:jc w:val="center"/>
        <w:rPr>
          <w:rFonts w:hint="default" w:ascii="Times New Roman" w:hAnsi="Times New Roman" w:eastAsia="Times New Roman"/>
          <w:b/>
          <w:sz w:val="24"/>
          <w:szCs w:val="24"/>
        </w:rPr>
      </w:pPr>
      <w:r>
        <w:rPr>
          <w:rFonts w:hint="default" w:ascii="Times New Roman" w:hAnsi="Times New Roman" w:eastAsia="Times New Roman"/>
          <w:b/>
          <w:sz w:val="24"/>
          <w:szCs w:val="24"/>
        </w:rPr>
        <w:t>Student number: </w:t>
      </w:r>
      <w:bookmarkStart w:id="23" w:name="_GoBack"/>
      <w:r>
        <w:rPr>
          <w:rFonts w:hint="default" w:ascii="Times New Roman" w:hAnsi="Times New Roman" w:eastAsia="Times New Roman"/>
          <w:b/>
          <w:sz w:val="24"/>
          <w:szCs w:val="24"/>
        </w:rPr>
        <w:t xml:space="preserve">2244690 </w:t>
      </w:r>
      <w:bookmarkEnd w:id="23"/>
    </w:p>
    <w:p w14:paraId="135F9ABE">
      <w:pPr>
        <w:jc w:val="center"/>
        <w:rPr>
          <w:rFonts w:hint="default" w:ascii="Times New Roman" w:hAnsi="Times New Roman" w:eastAsia="Times New Roman"/>
          <w:b/>
          <w:sz w:val="24"/>
          <w:szCs w:val="24"/>
        </w:rPr>
      </w:pPr>
      <w:r>
        <w:rPr>
          <w:rFonts w:hint="default" w:ascii="Times New Roman" w:hAnsi="Times New Roman" w:eastAsia="Times New Roman"/>
          <w:b/>
          <w:sz w:val="24"/>
          <w:szCs w:val="24"/>
        </w:rPr>
        <w:t xml:space="preserve">Module leader:  </w:t>
      </w:r>
      <w:r>
        <w:rPr>
          <w:rFonts w:hint="default" w:ascii="Times New Roman" w:hAnsi="Times New Roman" w:eastAsia="Times New Roman"/>
          <w:b/>
          <w:sz w:val="24"/>
          <w:szCs w:val="24"/>
          <w:lang w:val="en-GB"/>
        </w:rPr>
        <w:t>Ko Po Chong</w:t>
      </w:r>
    </w:p>
    <w:p w14:paraId="615EE7EE">
      <w:pPr>
        <w:jc w:val="center"/>
        <w:rPr>
          <w:rFonts w:hint="default" w:ascii="Times New Roman" w:hAnsi="Times New Roman" w:eastAsia="Times New Roman"/>
          <w:b/>
          <w:sz w:val="24"/>
          <w:szCs w:val="24"/>
        </w:rPr>
      </w:pPr>
    </w:p>
    <w:p w14:paraId="239F6A4A">
      <w:pPr>
        <w:jc w:val="center"/>
        <w:rPr>
          <w:rFonts w:hint="default" w:ascii="Times New Roman" w:hAnsi="Times New Roman" w:eastAsia="Times New Roman"/>
          <w:b/>
          <w:sz w:val="24"/>
          <w:szCs w:val="24"/>
        </w:rPr>
      </w:pPr>
      <w:r>
        <w:rPr>
          <w:rFonts w:hint="default" w:ascii="Times New Roman" w:hAnsi="Times New Roman" w:eastAsia="Times New Roman"/>
          <w:b/>
          <w:sz w:val="24"/>
          <w:szCs w:val="24"/>
        </w:rPr>
        <w:t>I confirm that I have not used any AI tools in the research and creation of this</w:t>
      </w:r>
    </w:p>
    <w:p w14:paraId="07218811">
      <w:pPr>
        <w:spacing w:line="360" w:lineRule="auto"/>
        <w:jc w:val="center"/>
        <w:rPr>
          <w:rFonts w:ascii="Times New Roman" w:hAnsi="Times New Roman" w:eastAsia="Times New Roman" w:cs="Times New Roman"/>
          <w:b/>
          <w:sz w:val="24"/>
          <w:szCs w:val="24"/>
        </w:rPr>
      </w:pPr>
      <w:r>
        <w:rPr>
          <w:rFonts w:hint="default" w:ascii="Times New Roman" w:hAnsi="Times New Roman" w:eastAsia="Times New Roman"/>
          <w:b/>
          <w:sz w:val="24"/>
          <w:szCs w:val="24"/>
        </w:rPr>
        <w:t>assignment. I confirm that I have not presented any AI generated materials as my own</w:t>
      </w:r>
      <w:r>
        <w:rPr>
          <w:rFonts w:hint="default" w:ascii="Times New Roman" w:hAnsi="Times New Roman" w:eastAsia="Times New Roman"/>
          <w:b/>
          <w:sz w:val="24"/>
          <w:szCs w:val="24"/>
          <w:lang w:val="en-GB"/>
        </w:rPr>
        <w:t xml:space="preserve"> </w:t>
      </w:r>
      <w:r>
        <w:rPr>
          <w:rFonts w:hint="default" w:ascii="Times New Roman" w:hAnsi="Times New Roman" w:eastAsia="Times New Roman"/>
          <w:b/>
          <w:sz w:val="24"/>
          <w:szCs w:val="24"/>
        </w:rPr>
        <w:t>work. I confirm I have copies of my drafts, notes, and other resources I used, which I may be asked to provide in</w:t>
      </w:r>
      <w:r>
        <w:rPr>
          <w:rFonts w:hint="default" w:ascii="Times New Roman" w:hAnsi="Times New Roman" w:eastAsia="Times New Roman"/>
          <w:b/>
          <w:sz w:val="24"/>
          <w:szCs w:val="24"/>
          <w:lang w:val="en-GB"/>
        </w:rPr>
        <w:t xml:space="preserve"> </w:t>
      </w:r>
      <w:r>
        <w:rPr>
          <w:rFonts w:hint="default" w:ascii="Times New Roman" w:hAnsi="Times New Roman" w:eastAsia="Times New Roman"/>
          <w:b/>
          <w:sz w:val="24"/>
          <w:szCs w:val="24"/>
        </w:rPr>
        <w:t>evidence.</w:t>
      </w:r>
    </w:p>
    <w:p w14:paraId="03604C24">
      <w:pPr>
        <w:rPr>
          <w:rFonts w:ascii="Times New Roman" w:hAnsi="Times New Roman" w:eastAsia="Times New Roman" w:cs="Times New Roman"/>
          <w:b/>
          <w:sz w:val="24"/>
          <w:szCs w:val="24"/>
        </w:rPr>
      </w:pPr>
      <w:r>
        <w:rPr>
          <w:rFonts w:ascii="Times New Roman" w:hAnsi="Times New Roman" w:eastAsia="Times New Roman" w:cs="Times New Roman"/>
          <w:b/>
          <w:sz w:val="24"/>
          <w:szCs w:val="24"/>
        </w:rPr>
        <w:br w:type="page"/>
      </w:r>
    </w:p>
    <w:sdt>
      <w:sdtPr>
        <w:rPr>
          <w:rFonts w:ascii="Times New Roman" w:hAnsi="Times New Roman" w:cs="Times New Roman"/>
          <w:b/>
          <w:bCs/>
          <w:sz w:val="28"/>
          <w:szCs w:val="28"/>
        </w:rPr>
        <w:id w:val="-1066881537"/>
        <w:docPartObj>
          <w:docPartGallery w:val="Table of Contents"/>
          <w:docPartUnique/>
        </w:docPartObj>
      </w:sdtPr>
      <w:sdtEndPr>
        <w:rPr>
          <w:rFonts w:ascii="Times New Roman" w:hAnsi="Times New Roman" w:eastAsia="Arial" w:cs="Times New Roman"/>
          <w:b w:val="0"/>
          <w:bCs w:val="0"/>
          <w:color w:val="auto"/>
          <w:sz w:val="24"/>
          <w:szCs w:val="24"/>
          <w:lang w:val="en-GB" w:eastAsia="en-IN"/>
        </w:rPr>
      </w:sdtEndPr>
      <w:sdtContent>
        <w:p w14:paraId="71779455">
          <w:pPr>
            <w:pStyle w:val="20"/>
            <w:spacing w:line="360" w:lineRule="auto"/>
            <w:jc w:val="center"/>
            <w:rPr>
              <w:rFonts w:ascii="Times New Roman" w:hAnsi="Times New Roman" w:cs="Times New Roman"/>
              <w:b/>
              <w:bCs/>
              <w:sz w:val="28"/>
              <w:szCs w:val="28"/>
            </w:rPr>
          </w:pPr>
          <w:bookmarkStart w:id="0" w:name="_Toc189752920"/>
          <w:r>
            <w:rPr>
              <w:rFonts w:ascii="Times New Roman" w:hAnsi="Times New Roman" w:cs="Times New Roman"/>
              <w:b/>
              <w:bCs/>
              <w:sz w:val="28"/>
              <w:szCs w:val="28"/>
            </w:rPr>
            <w:t>Table of Contents</w:t>
          </w:r>
        </w:p>
        <w:p w14:paraId="61CFF333">
          <w:pPr>
            <w:pStyle w:val="15"/>
            <w:tabs>
              <w:tab w:val="right" w:leader="dot" w:pos="9019"/>
            </w:tabs>
            <w:spacing w:line="360" w:lineRule="auto"/>
            <w:jc w:val="center"/>
            <w:rPr>
              <w:rFonts w:ascii="Times New Roman" w:hAnsi="Times New Roman" w:cs="Times New Roman" w:eastAsiaTheme="minorEastAsia"/>
              <w:kern w:val="2"/>
              <w:sz w:val="24"/>
              <w:szCs w:val="24"/>
              <w:lang w:val="en-IN"/>
              <w14:ligatures w14:val="standardContextual"/>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r>
            <w:fldChar w:fldCharType="begin"/>
          </w:r>
          <w:r>
            <w:instrText xml:space="preserve"> HYPERLINK \l "_Toc189753097" </w:instrText>
          </w:r>
          <w:r>
            <w:fldChar w:fldCharType="separate"/>
          </w:r>
          <w:r>
            <w:rPr>
              <w:rStyle w:val="12"/>
              <w:rFonts w:ascii="Times New Roman" w:hAnsi="Times New Roman" w:cs="Times New Roman"/>
              <w:sz w:val="24"/>
              <w:szCs w:val="24"/>
            </w:rPr>
            <w:t>1. 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_Toc189753097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01B1D46E">
          <w:pPr>
            <w:pStyle w:val="15"/>
            <w:tabs>
              <w:tab w:val="right" w:leader="dot" w:pos="9019"/>
            </w:tabs>
            <w:spacing w:line="360" w:lineRule="auto"/>
            <w:jc w:val="center"/>
            <w:rPr>
              <w:rFonts w:ascii="Times New Roman" w:hAnsi="Times New Roman" w:cs="Times New Roman" w:eastAsiaTheme="minorEastAsia"/>
              <w:kern w:val="2"/>
              <w:sz w:val="24"/>
              <w:szCs w:val="24"/>
              <w:lang w:val="en-IN"/>
              <w14:ligatures w14:val="standardContextual"/>
            </w:rPr>
          </w:pPr>
          <w:r>
            <w:fldChar w:fldCharType="begin"/>
          </w:r>
          <w:r>
            <w:instrText xml:space="preserve"> HYPERLINK \l "_Toc189753098" </w:instrText>
          </w:r>
          <w:r>
            <w:fldChar w:fldCharType="separate"/>
          </w:r>
          <w:r>
            <w:rPr>
              <w:rStyle w:val="12"/>
              <w:rFonts w:ascii="Times New Roman" w:hAnsi="Times New Roman" w:cs="Times New Roman"/>
              <w:sz w:val="24"/>
              <w:szCs w:val="24"/>
            </w:rPr>
            <w:t>2. Organisation Structure, Culture, and Goals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_Toc189753098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1E2F3ED4">
          <w:pPr>
            <w:pStyle w:val="16"/>
            <w:tabs>
              <w:tab w:val="right" w:leader="dot" w:pos="9019"/>
            </w:tabs>
            <w:spacing w:line="360" w:lineRule="auto"/>
            <w:jc w:val="center"/>
            <w:rPr>
              <w:rFonts w:ascii="Times New Roman" w:hAnsi="Times New Roman" w:cs="Times New Roman" w:eastAsiaTheme="minorEastAsia"/>
              <w:kern w:val="2"/>
              <w:sz w:val="24"/>
              <w:szCs w:val="24"/>
              <w:lang w:val="en-IN"/>
              <w14:ligatures w14:val="standardContextual"/>
            </w:rPr>
          </w:pPr>
          <w:r>
            <w:fldChar w:fldCharType="begin"/>
          </w:r>
          <w:r>
            <w:instrText xml:space="preserve"> HYPERLINK \l "_Toc189753099" </w:instrText>
          </w:r>
          <w:r>
            <w:fldChar w:fldCharType="separate"/>
          </w:r>
          <w:r>
            <w:rPr>
              <w:rStyle w:val="12"/>
              <w:rFonts w:ascii="Times New Roman" w:hAnsi="Times New Roman" w:eastAsia="Times New Roman" w:cs="Times New Roman"/>
              <w:sz w:val="24"/>
              <w:szCs w:val="24"/>
            </w:rPr>
            <w:t>Corporate Culture and Its Influence on Operations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_Toc189753099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158A0DB5">
          <w:pPr>
            <w:pStyle w:val="16"/>
            <w:tabs>
              <w:tab w:val="right" w:leader="dot" w:pos="9019"/>
            </w:tabs>
            <w:spacing w:line="360" w:lineRule="auto"/>
            <w:jc w:val="center"/>
            <w:rPr>
              <w:rFonts w:ascii="Times New Roman" w:hAnsi="Times New Roman" w:cs="Times New Roman" w:eastAsiaTheme="minorEastAsia"/>
              <w:kern w:val="2"/>
              <w:sz w:val="24"/>
              <w:szCs w:val="24"/>
              <w:lang w:val="en-IN"/>
              <w14:ligatures w14:val="standardContextual"/>
            </w:rPr>
          </w:pPr>
          <w:r>
            <w:fldChar w:fldCharType="begin"/>
          </w:r>
          <w:r>
            <w:instrText xml:space="preserve"> HYPERLINK \l "_Toc189753100" </w:instrText>
          </w:r>
          <w:r>
            <w:fldChar w:fldCharType="separate"/>
          </w:r>
          <w:r>
            <w:rPr>
              <w:rStyle w:val="12"/>
              <w:rFonts w:ascii="Times New Roman" w:hAnsi="Times New Roman" w:eastAsia="Times New Roman" w:cs="Times New Roman"/>
              <w:sz w:val="24"/>
              <w:szCs w:val="24"/>
            </w:rPr>
            <w:t>Goals at Corporate and Individual Unit Levels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_Toc189753100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6C3C9631">
          <w:pPr>
            <w:pStyle w:val="15"/>
            <w:tabs>
              <w:tab w:val="right" w:leader="dot" w:pos="9019"/>
            </w:tabs>
            <w:spacing w:line="360" w:lineRule="auto"/>
            <w:jc w:val="center"/>
            <w:rPr>
              <w:rFonts w:ascii="Times New Roman" w:hAnsi="Times New Roman" w:cs="Times New Roman" w:eastAsiaTheme="minorEastAsia"/>
              <w:kern w:val="2"/>
              <w:sz w:val="24"/>
              <w:szCs w:val="24"/>
              <w:lang w:val="en-IN"/>
              <w14:ligatures w14:val="standardContextual"/>
            </w:rPr>
          </w:pPr>
          <w:r>
            <w:fldChar w:fldCharType="begin"/>
          </w:r>
          <w:r>
            <w:instrText xml:space="preserve"> HYPERLINK \l "_Toc189753101" </w:instrText>
          </w:r>
          <w:r>
            <w:fldChar w:fldCharType="separate"/>
          </w:r>
          <w:r>
            <w:rPr>
              <w:rStyle w:val="12"/>
              <w:rFonts w:ascii="Times New Roman" w:hAnsi="Times New Roman" w:cs="Times New Roman"/>
              <w:sz w:val="24"/>
              <w:szCs w:val="24"/>
            </w:rPr>
            <w:t>3. Recent Change Initiatives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_Toc189753101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6B5AD3E7">
          <w:pPr>
            <w:pStyle w:val="16"/>
            <w:tabs>
              <w:tab w:val="right" w:leader="dot" w:pos="9019"/>
            </w:tabs>
            <w:spacing w:line="360" w:lineRule="auto"/>
            <w:jc w:val="center"/>
            <w:rPr>
              <w:rFonts w:ascii="Times New Roman" w:hAnsi="Times New Roman" w:cs="Times New Roman" w:eastAsiaTheme="minorEastAsia"/>
              <w:kern w:val="2"/>
              <w:sz w:val="24"/>
              <w:szCs w:val="24"/>
              <w:lang w:val="en-IN"/>
              <w14:ligatures w14:val="standardContextual"/>
            </w:rPr>
          </w:pPr>
          <w:r>
            <w:fldChar w:fldCharType="begin"/>
          </w:r>
          <w:r>
            <w:instrText xml:space="preserve"> HYPERLINK \l "_Toc189753102" </w:instrText>
          </w:r>
          <w:r>
            <w:fldChar w:fldCharType="separate"/>
          </w:r>
          <w:r>
            <w:rPr>
              <w:rStyle w:val="12"/>
              <w:rFonts w:ascii="Times New Roman" w:hAnsi="Times New Roman" w:eastAsia="Times New Roman" w:cs="Times New Roman"/>
              <w:sz w:val="24"/>
              <w:szCs w:val="24"/>
            </w:rPr>
            <w:t>Evaluation of Change Management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_Toc189753102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168039BC">
          <w:pPr>
            <w:pStyle w:val="15"/>
            <w:tabs>
              <w:tab w:val="right" w:leader="dot" w:pos="9019"/>
            </w:tabs>
            <w:spacing w:line="360" w:lineRule="auto"/>
            <w:jc w:val="center"/>
            <w:rPr>
              <w:rFonts w:ascii="Times New Roman" w:hAnsi="Times New Roman" w:cs="Times New Roman" w:eastAsiaTheme="minorEastAsia"/>
              <w:kern w:val="2"/>
              <w:sz w:val="24"/>
              <w:szCs w:val="24"/>
              <w:lang w:val="en-IN"/>
              <w14:ligatures w14:val="standardContextual"/>
            </w:rPr>
          </w:pPr>
          <w:r>
            <w:fldChar w:fldCharType="begin"/>
          </w:r>
          <w:r>
            <w:instrText xml:space="preserve"> HYPERLINK \l "_Toc189753103" </w:instrText>
          </w:r>
          <w:r>
            <w:fldChar w:fldCharType="separate"/>
          </w:r>
          <w:r>
            <w:rPr>
              <w:rStyle w:val="12"/>
              <w:rFonts w:ascii="Times New Roman" w:hAnsi="Times New Roman" w:cs="Times New Roman"/>
              <w:sz w:val="24"/>
              <w:szCs w:val="24"/>
            </w:rPr>
            <w:t>4. Strategic Direction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_Toc189753103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50339BAA">
          <w:pPr>
            <w:pStyle w:val="15"/>
            <w:tabs>
              <w:tab w:val="right" w:leader="dot" w:pos="9019"/>
            </w:tabs>
            <w:spacing w:line="360" w:lineRule="auto"/>
            <w:jc w:val="center"/>
            <w:rPr>
              <w:rFonts w:ascii="Times New Roman" w:hAnsi="Times New Roman" w:cs="Times New Roman" w:eastAsiaTheme="minorEastAsia"/>
              <w:kern w:val="2"/>
              <w:sz w:val="24"/>
              <w:szCs w:val="24"/>
              <w:lang w:val="en-IN"/>
              <w14:ligatures w14:val="standardContextual"/>
            </w:rPr>
          </w:pPr>
          <w:r>
            <w:fldChar w:fldCharType="begin"/>
          </w:r>
          <w:r>
            <w:instrText xml:space="preserve"> HYPERLINK \l "_Toc189753104" </w:instrText>
          </w:r>
          <w:r>
            <w:fldChar w:fldCharType="separate"/>
          </w:r>
          <w:r>
            <w:rPr>
              <w:rStyle w:val="12"/>
              <w:rFonts w:ascii="Times New Roman" w:hAnsi="Times New Roman" w:cs="Times New Roman"/>
              <w:sz w:val="24"/>
              <w:szCs w:val="24"/>
            </w:rPr>
            <w:t>5. 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_Toc189753104 \h </w:instrText>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66E7B5B4">
          <w:pPr>
            <w:pStyle w:val="15"/>
            <w:tabs>
              <w:tab w:val="right" w:leader="dot" w:pos="9019"/>
            </w:tabs>
            <w:spacing w:line="360" w:lineRule="auto"/>
            <w:jc w:val="center"/>
            <w:rPr>
              <w:rFonts w:ascii="Times New Roman" w:hAnsi="Times New Roman" w:cs="Times New Roman" w:eastAsiaTheme="minorEastAsia"/>
              <w:kern w:val="2"/>
              <w:sz w:val="24"/>
              <w:szCs w:val="24"/>
              <w:lang w:val="en-IN"/>
              <w14:ligatures w14:val="standardContextual"/>
            </w:rPr>
          </w:pPr>
          <w:r>
            <w:fldChar w:fldCharType="begin"/>
          </w:r>
          <w:r>
            <w:instrText xml:space="preserve"> HYPERLINK \l "_Toc189753105" </w:instrText>
          </w:r>
          <w:r>
            <w:fldChar w:fldCharType="separate"/>
          </w:r>
          <w:r>
            <w:rPr>
              <w:rStyle w:val="12"/>
              <w:rFonts w:ascii="Times New Roman" w:hAnsi="Times New Roman" w:cs="Times New Roman"/>
              <w:sz w:val="24"/>
              <w:szCs w:val="24"/>
            </w:rPr>
            <w:t>6. Recommendations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_Toc189753105 \h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62329846">
          <w:pPr>
            <w:pStyle w:val="15"/>
            <w:tabs>
              <w:tab w:val="right" w:leader="dot" w:pos="9019"/>
            </w:tabs>
            <w:spacing w:line="360" w:lineRule="auto"/>
            <w:jc w:val="center"/>
            <w:rPr>
              <w:rFonts w:ascii="Times New Roman" w:hAnsi="Times New Roman" w:cs="Times New Roman" w:eastAsiaTheme="minorEastAsia"/>
              <w:kern w:val="2"/>
              <w:sz w:val="24"/>
              <w:szCs w:val="24"/>
              <w:lang w:val="en-IN"/>
              <w14:ligatures w14:val="standardContextual"/>
            </w:rPr>
          </w:pPr>
          <w:r>
            <w:fldChar w:fldCharType="begin"/>
          </w:r>
          <w:r>
            <w:instrText xml:space="preserve"> HYPERLINK \l "_Toc189753106" </w:instrText>
          </w:r>
          <w:r>
            <w:fldChar w:fldCharType="separate"/>
          </w:r>
          <w:r>
            <w:rPr>
              <w:rStyle w:val="12"/>
              <w:rFonts w:ascii="Times New Roman" w:hAnsi="Times New Roman" w:cs="Times New Roman"/>
              <w:sz w:val="24"/>
              <w:szCs w:val="24"/>
            </w:rPr>
            <w:t>References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_Toc189753106 \h </w:instrText>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13827AA4">
          <w:pPr>
            <w:spacing w:line="360" w:lineRule="auto"/>
            <w:jc w:val="center"/>
          </w:pPr>
          <w:r>
            <w:rPr>
              <w:rFonts w:ascii="Times New Roman" w:hAnsi="Times New Roman" w:cs="Times New Roman"/>
              <w:sz w:val="24"/>
              <w:szCs w:val="24"/>
            </w:rPr>
            <w:fldChar w:fldCharType="end"/>
          </w:r>
        </w:p>
      </w:sdtContent>
    </w:sdt>
    <w:p w14:paraId="4532AFEB">
      <w:pPr>
        <w:rPr>
          <w:rFonts w:ascii="Times New Roman" w:hAnsi="Times New Roman" w:eastAsia="Times New Roman" w:cs="Times New Roman"/>
          <w:b/>
          <w:sz w:val="24"/>
          <w:szCs w:val="24"/>
        </w:rPr>
      </w:pPr>
      <w:r>
        <w:br w:type="page"/>
      </w:r>
    </w:p>
    <w:p w14:paraId="00000026">
      <w:pPr>
        <w:pStyle w:val="2"/>
      </w:pPr>
      <w:bookmarkStart w:id="1" w:name="_Toc189753097"/>
      <w:r>
        <w:t>1. Introduction</w:t>
      </w:r>
      <w:bookmarkEnd w:id="0"/>
      <w:bookmarkEnd w:id="1"/>
      <w:r>
        <w:t xml:space="preserve">  </w:t>
      </w:r>
    </w:p>
    <w:p w14:paraId="0000002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Hilton Hotels &amp; Resorts operates their globally distributed hotel and resort chain through the Hilton Hotels &amp; Resorts hospitality brand. In 1919 Conrad Hilton launched Hilton Hotel before its global expansion through luxury hospitality services and continuous development while offering premier guest satisfaction. The world has recognized Hilton Hotels &amp; Resorts as the most hospitable company because of its 7,000 hotel properties located in 120 countries which also serves communities worldwide by creating opportunities through heart-wrenching experiences and positive transformations (</w:t>
      </w:r>
      <w:r>
        <w:rPr>
          <w:rFonts w:ascii="Times New Roman" w:hAnsi="Times New Roman" w:cs="Times New Roman"/>
          <w:sz w:val="24"/>
          <w:szCs w:val="24"/>
        </w:rPr>
        <w:t>Hilton, 2025)</w:t>
      </w:r>
      <w:r>
        <w:rPr>
          <w:rFonts w:ascii="Times New Roman" w:hAnsi="Times New Roman" w:eastAsia="Times New Roman" w:cs="Times New Roman"/>
          <w:sz w:val="24"/>
          <w:szCs w:val="24"/>
        </w:rPr>
        <w:t xml:space="preserve">. The company serves different market areas through its hotel operations under the four Hilton brand identifiers which include upscale Waldorf Astoria hotels for luxury stays alongside business-friendly Hilton Garden Inn properties and budget-friendly hotels in the Hampton by Hilton network. </w:t>
      </w:r>
    </w:p>
    <w:p w14:paraId="00000028">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evaluation of Hilton Hotels &amp; Resorts’ organizational structure and corporate culture with strategic direction seeks to discover their combined impact on the company’s business success. The research explores Hilton’s corporate culture assessment together with its operational effects as well as corporate unit goal definition and recent performance enhancement change projects. The final section provides recommendations for Hilton's continued growth in the global hospitality industry and outlines the company's strategic direction together with its long-term plans.</w:t>
      </w:r>
    </w:p>
    <w:p w14:paraId="00000029">
      <w:pPr>
        <w:pStyle w:val="2"/>
      </w:pPr>
      <w:bookmarkStart w:id="2" w:name="_Toc189752921"/>
      <w:bookmarkStart w:id="3" w:name="_Toc189753098"/>
      <w:r>
        <w:t>2. Organisation Structure, Culture, and Goals</w:t>
      </w:r>
      <w:bookmarkEnd w:id="2"/>
      <w:bookmarkEnd w:id="3"/>
    </w:p>
    <w:p w14:paraId="0000002A">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Hilton Hotels &amp; Resorts applies a hierarchical structure with functional and divisional components to regulate its broad international operations effectively. The firm operates through multiple levels of organization where corporate commands strategic planning functions while managing brands and financials and regional departments support hotel operations and service delivery and revenue collection. Hilton’s leadership structure begins with corporate executives before transitioning to area and brand managers who report to hotel-level general managers and their department managers. Hilton operates with a corporate structure which enables clear communication and performance accountability at all its brands under Conrad and Waldorf Astoria and DoubleTree.</w:t>
      </w:r>
    </w:p>
    <w:p w14:paraId="0000002B">
      <w:pPr>
        <w:pStyle w:val="4"/>
        <w:keepNext w:val="0"/>
        <w:keepLines w:val="0"/>
        <w:spacing w:before="280" w:line="360" w:lineRule="auto"/>
        <w:jc w:val="both"/>
        <w:rPr>
          <w:rFonts w:ascii="Times New Roman" w:hAnsi="Times New Roman" w:eastAsia="Times New Roman" w:cs="Times New Roman"/>
          <w:b/>
          <w:color w:val="000000"/>
          <w:sz w:val="24"/>
          <w:szCs w:val="24"/>
        </w:rPr>
      </w:pPr>
      <w:bookmarkStart w:id="4" w:name="_daiub9iyspa" w:colFirst="0" w:colLast="0"/>
      <w:bookmarkEnd w:id="4"/>
      <w:bookmarkStart w:id="5" w:name="_Toc189753099"/>
      <w:bookmarkStart w:id="6" w:name="_Toc189752922"/>
      <w:r>
        <w:rPr>
          <w:rFonts w:ascii="Times New Roman" w:hAnsi="Times New Roman" w:eastAsia="Times New Roman" w:cs="Times New Roman"/>
          <w:b/>
          <w:color w:val="000000"/>
          <w:sz w:val="24"/>
          <w:szCs w:val="24"/>
        </w:rPr>
        <w:t>Corporate Culture and Its Influence on Operations</w:t>
      </w:r>
      <w:bookmarkEnd w:id="5"/>
      <w:bookmarkEnd w:id="6"/>
    </w:p>
    <w:p w14:paraId="0000002C">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fundamental values of Hospitality, Integrity, Leadership, Teamwork and Ownership together with Now makeup Hilton's corporate culture (HILTON). The principles guide the company toward defining its identity and influence all activities at a global level. The organization maintains a service-cantered workplace that puts a high priority on guest contentment as well as employee connection along with operational excellence (Cheng </w:t>
      </w:r>
      <w:r>
        <w:rPr>
          <w:rFonts w:ascii="Times New Roman" w:hAnsi="Times New Roman" w:eastAsia="Times New Roman" w:cs="Times New Roman"/>
          <w:i/>
          <w:sz w:val="24"/>
          <w:szCs w:val="24"/>
        </w:rPr>
        <w:t xml:space="preserve">et al. </w:t>
      </w:r>
      <w:r>
        <w:rPr>
          <w:rFonts w:ascii="Times New Roman" w:hAnsi="Times New Roman" w:eastAsia="Times New Roman" w:cs="Times New Roman"/>
          <w:sz w:val="24"/>
          <w:szCs w:val="24"/>
        </w:rPr>
        <w:t>2020). Hilton has received recognition as an exceptional employer because of its dedication to fostering diversity as well as inclusion and various career advancement programs. Hilton employees benefit from "Thrive@Hilton" initiatives which demonstrate the organization's commitment to promoting the health of staff as well as maintaining high standards in customer satisfaction.</w:t>
      </w:r>
    </w:p>
    <w:p w14:paraId="0000002D">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current corporate culture at Hilton determines daily business activities for company operations. The hospitality-firm facilitates its workforce to attain premium guest satisfaction together with standard-quality maintenance throughout all branch locations. Hilton combines training programs with performance incentives to sustain its corporate culture for maintaining employee mission commitment. As part of its Hilton culture the company emphasizes sustainability through Travel with Purpose that creates both environmental and social benefits.</w:t>
      </w:r>
    </w:p>
    <w:p w14:paraId="0000002E">
      <w:pPr>
        <w:pStyle w:val="4"/>
        <w:keepNext w:val="0"/>
        <w:keepLines w:val="0"/>
        <w:spacing w:before="280" w:line="360" w:lineRule="auto"/>
        <w:jc w:val="both"/>
        <w:rPr>
          <w:rFonts w:ascii="Times New Roman" w:hAnsi="Times New Roman" w:eastAsia="Times New Roman" w:cs="Times New Roman"/>
          <w:b/>
          <w:color w:val="000000"/>
          <w:sz w:val="24"/>
          <w:szCs w:val="24"/>
        </w:rPr>
      </w:pPr>
      <w:bookmarkStart w:id="7" w:name="_mk6unjqyt8pd" w:colFirst="0" w:colLast="0"/>
      <w:bookmarkEnd w:id="7"/>
      <w:bookmarkStart w:id="8" w:name="_Toc189753100"/>
      <w:bookmarkStart w:id="9" w:name="_Toc189752923"/>
      <w:r>
        <w:rPr>
          <w:rFonts w:ascii="Times New Roman" w:hAnsi="Times New Roman" w:eastAsia="Times New Roman" w:cs="Times New Roman"/>
          <w:b/>
          <w:color w:val="000000"/>
          <w:sz w:val="24"/>
          <w:szCs w:val="24"/>
        </w:rPr>
        <w:t>Goals at Corporate and Individual Unit Levels</w:t>
      </w:r>
      <w:bookmarkEnd w:id="8"/>
      <w:bookmarkEnd w:id="9"/>
    </w:p>
    <w:p w14:paraId="0000002F">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Hilton maintains digital innovation as its core goal among revenue growth and sustainability and business expansion activities at the corporation level. Hilton aims to advance both its entrance into new markets and growth of its existing brand system for worldwide network development. Hilton persists in technologic investment to deliver digital check-in capabilities supported by artificial intelligence technology and advanced loyalty methods for business effectiveness (Radwan, 2022). Hilton dedicates the sustainability goals within its 2030 Travel with Purpose strategy to pursue lower carbon footprint emissions alongside water conservation and waste reduction in order to create enduring environmental advantages.</w:t>
      </w:r>
    </w:p>
    <w:p w14:paraId="00000030">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Hilton properties maintain dual goals where they pursue maximum profit gains while executing top-quality service delivery on their individual facilities. The hotel units measure their success using three essential performance indicators which include occupancy rate alongside guest satisfaction and Revenue per Available Room (RevPAR). Individual unit employees fulfil corporate targets using corporate market strategies and personnel development methods and operational achievement developments. The global Hilton properties receive commands to forge strong local alliances in order to establish core corporate standards in every hotel worldwide (Ali and Anwar, 2021).</w:t>
      </w:r>
    </w:p>
    <w:p w14:paraId="00000031">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Hilton Hotels &amp; Resorts achieves worldwide market success through its formal organizational design and dedicated company culture that supports well-defined companywide targets. Hilton achieves competition advantages through innovation while its sustainable operations enhance service quality to deliver extraordinary guest experiences at every location (Alreahi</w:t>
      </w:r>
      <w:r>
        <w:rPr>
          <w:rFonts w:ascii="Times New Roman" w:hAnsi="Times New Roman" w:eastAsia="Times New Roman" w:cs="Times New Roman"/>
          <w:i/>
          <w:sz w:val="24"/>
          <w:szCs w:val="24"/>
        </w:rPr>
        <w:t xml:space="preserve"> et al.</w:t>
      </w:r>
      <w:r>
        <w:rPr>
          <w:rFonts w:ascii="Times New Roman" w:hAnsi="Times New Roman" w:eastAsia="Times New Roman" w:cs="Times New Roman"/>
          <w:sz w:val="24"/>
          <w:szCs w:val="24"/>
        </w:rPr>
        <w:t xml:space="preserve"> 2022).</w:t>
      </w:r>
    </w:p>
    <w:p w14:paraId="00000032">
      <w:pPr>
        <w:pStyle w:val="2"/>
      </w:pPr>
      <w:bookmarkStart w:id="10" w:name="_Toc189753101"/>
      <w:bookmarkStart w:id="11" w:name="_Toc189752924"/>
      <w:r>
        <w:t>3. Recent Change Initiatives</w:t>
      </w:r>
      <w:bookmarkEnd w:id="10"/>
      <w:bookmarkEnd w:id="11"/>
    </w:p>
    <w:p w14:paraId="3C7AB859">
      <w:r>
        <w:drawing>
          <wp:inline distT="0" distB="0" distL="0" distR="0">
            <wp:extent cx="5486400" cy="3200400"/>
            <wp:effectExtent l="0" t="19050" r="38100" b="38100"/>
            <wp:docPr id="74561711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00000033">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Hilton implemented multiple adaptive strategies in recent years because marketplace transitions along with technological advancements forced the company to create new customer demands. The Hilton Honors mobile app continues to receive ongoing product development from the company to offer digital services. Hotel guests who use Hilton Honors mobile app features can choose their rooms in advance through online services followed by self-entry using smartphones without requiring personnel interaction for enhanced hospitality. The combination of digital progress generates better guest satisfaction because it leads to operational streamlining together with cost reduction benefits for the company.</w:t>
      </w:r>
    </w:p>
    <w:p w14:paraId="00000034">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Hilton hotel advances its sustainability mission through the 2030 Travel with Purpose program. The company has established planned emission reduction objectives at 61% together with water usage reduction targets set at 50% and landfill waste elimination objectives (Senbeto and Hon, 2020). The partnership practices between Hilton and World Wildlife Fund (WWF) together with Clean the World help the companies fulfil their environmental goals. Through sustainability programs Hilton established a better public image for their company which combined with customer acquisition of sustainable-focused guests and improvements from their optimized resource management (Amicarelli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 xml:space="preserve"> 2022).</w:t>
      </w:r>
    </w:p>
    <w:p w14:paraId="00000035">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Employee welfare remains the highest organizational priority because the company launches numerous workforce development programs. Thrive@Hilton brings wellness programs to staff members through health training and adjustable work schedules and wellness access. The company achieves diverse inclusion through workplace environments with genuine staff member inclusion and minority leadership programs. With enhanced employee dedication and workforce retention Hilton continues to develop its employee pool.</w:t>
      </w:r>
    </w:p>
    <w:p w14:paraId="00000036">
      <w:pPr>
        <w:pStyle w:val="4"/>
        <w:keepNext w:val="0"/>
        <w:keepLines w:val="0"/>
        <w:spacing w:before="280" w:line="360" w:lineRule="auto"/>
        <w:jc w:val="both"/>
        <w:rPr>
          <w:rFonts w:ascii="Times New Roman" w:hAnsi="Times New Roman" w:eastAsia="Times New Roman" w:cs="Times New Roman"/>
          <w:b/>
          <w:color w:val="000000"/>
          <w:sz w:val="24"/>
          <w:szCs w:val="24"/>
        </w:rPr>
      </w:pPr>
      <w:bookmarkStart w:id="12" w:name="_rxnnn7qjkdhc" w:colFirst="0" w:colLast="0"/>
      <w:bookmarkEnd w:id="12"/>
      <w:bookmarkStart w:id="13" w:name="_Toc189753102"/>
      <w:bookmarkStart w:id="14" w:name="_Toc189752925"/>
      <w:r>
        <w:rPr>
          <w:rFonts w:ascii="Times New Roman" w:hAnsi="Times New Roman" w:eastAsia="Times New Roman" w:cs="Times New Roman"/>
          <w:b/>
          <w:color w:val="000000"/>
          <w:sz w:val="24"/>
          <w:szCs w:val="24"/>
        </w:rPr>
        <w:t>Evaluation of Change Management</w:t>
      </w:r>
      <w:bookmarkEnd w:id="13"/>
      <w:bookmarkEnd w:id="14"/>
    </w:p>
    <w:p w14:paraId="0000003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Open communication channels and effective leadership enabled management to implement necessary change programs using properly developed training initiatives. The Hilton leadership team delivers essential change management education which authorizes managers to obtain funding necessary for developing correct training curriculums for staff members (Hao, Xiao and Chon, 2020). Executive management required employees and customers to use different feedback paths to learn about changes in digital service delivery in order to achieve smooth implementation.</w:t>
      </w:r>
    </w:p>
    <w:p w14:paraId="00000038">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Hilton established detailed tracking mechanisms to oversee sustainability goal monitoring starting from operational sites up to executive levels (Mishra, Shukla and Sujatha, 2021). The company maintains its sustainability goals because it both conducts sustainable audits and collaborates with environmental organizations as partners.</w:t>
      </w:r>
    </w:p>
    <w:p w14:paraId="00000039">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employee diversity policy of Hilton relies on survey data to support staff well-being and provides mentoring education and leadership training to diverse personnel. Hilton maintains excellence in workplace recruitment since it succeeds in retaining skilled personnel from the hospitality industry. Business operations modifications at Hilton delivered improvements to both operations effectiveness while building a stronger brand image together with increased worker job satisfaction (Ali </w:t>
      </w:r>
      <w:r>
        <w:rPr>
          <w:rFonts w:ascii="Times New Roman" w:hAnsi="Times New Roman" w:eastAsia="Times New Roman" w:cs="Times New Roman"/>
          <w:i/>
          <w:sz w:val="24"/>
          <w:szCs w:val="24"/>
        </w:rPr>
        <w:t xml:space="preserve">et al. </w:t>
      </w:r>
      <w:r>
        <w:rPr>
          <w:rFonts w:ascii="Times New Roman" w:hAnsi="Times New Roman" w:eastAsia="Times New Roman" w:cs="Times New Roman"/>
          <w:sz w:val="24"/>
          <w:szCs w:val="24"/>
        </w:rPr>
        <w:t>2021). The corporation gained market prominence for hospitality innovation and sustainability across the global sector through their effective unification of exceptional leadership with strategic planning methods combined with workforce engagement.</w:t>
      </w:r>
    </w:p>
    <w:p w14:paraId="0000003A">
      <w:pPr>
        <w:pStyle w:val="2"/>
      </w:pPr>
      <w:bookmarkStart w:id="15" w:name="_Toc189752926"/>
      <w:bookmarkStart w:id="16" w:name="_Toc189753103"/>
      <w:r>
        <w:t>4. Strategic Direction</w:t>
      </w:r>
      <w:bookmarkEnd w:id="15"/>
      <w:bookmarkEnd w:id="16"/>
    </w:p>
    <w:p w14:paraId="0000003B">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Hilton Hotels &amp; Resorts maintains its status as global hospitality leader through combination efforts of sustainable development throughout its network and digital platform adoption with superior customer interaction experiences. Hilton Hotel operates its business strategy through market expansion and operational improvements while employing innovative methods to preserve leadership in today's hospitality sector.</w:t>
      </w:r>
    </w:p>
    <w:p w14:paraId="0000003C">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Different strategic methods enable Hilton to bring its prolonged business targets into realization. The worldwide market expansion of Hilton depends on its ownership of properties combined with franchised and strategic partnership facilities. Hilton Hotels extends its business operations into Asia and the Middle East and Africa whereas this market entry allows the company to provide services for a diverse group of customers while building its brand globally (Malik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 xml:space="preserve"> 2020).</w:t>
      </w:r>
    </w:p>
    <w:p w14:paraId="0000003D">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Service automation systems development together with AI-based customer solutions and mobile applications construction receive substantial funding from the organization. The checkpoint functions Hilton provides allow customers to customize their accommodations through contactless service operations for enhanced operational effectiveness and guest satisfaction. Hilton maintains its efforts to establish sustainable business operations through Travel with Purpose 2030. The company channels its resources to establish sustainable energy initiatives together with responsible purchasing practices and community outreach because it follows international sustainability principles.</w:t>
      </w:r>
    </w:p>
    <w:p w14:paraId="0000003E">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Loyalty and Customer Retention Programs – Hilton Honors, the company’s loyalty program, plays a crucial role in driving customer retention. Through their customer loyalty programs Hilton generates company revenue because members receive added benefits from the straightforward booking systems (Nam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 xml:space="preserve"> 2021). Hilton maintains Workforce Development and Diversity at the core of its business operations because the company adopts diverse leadership approaches combined with specialist diversity development projects and career development programs. Employee-operated training programs with job satisfaction facilitate the achievement of hotel guest satisfaction (Kumar, Kar and Ilavarasan, 2021). The premier hospitality brand position of Hilton Hotels &amp; Resorts stems from their excellent strategic extension practices supported by effective market and technology adoption along with sustainability operations to achieve long-term business success.</w:t>
      </w:r>
    </w:p>
    <w:p w14:paraId="00000040">
      <w:pPr>
        <w:pStyle w:val="2"/>
      </w:pPr>
      <w:bookmarkStart w:id="17" w:name="_Toc189752927"/>
      <w:bookmarkStart w:id="18" w:name="_Toc189753104"/>
      <w:r>
        <w:t>5. Conclusion</w:t>
      </w:r>
      <w:bookmarkEnd w:id="17"/>
      <w:bookmarkEnd w:id="18"/>
      <w:r>
        <w:t xml:space="preserve"> </w:t>
      </w:r>
    </w:p>
    <w:p w14:paraId="00000041">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Each Hilton Hotels &amp; Resorts property operates with an independent management system yet it benefits from corporate oversight provided by the central authority. The Hilton management structure enables executives to make speedy business decisions and ensure sustainable guest-friendly operations with improved operational output. The HILTON values corporate culture at Hilton drives the development of guest-oriented staff attitudes and team member dedication which produce satisfying results for customers and employees. The hospitality principles and leadership approach used by Hilton creates a service-oriented methodology which effectively satisfies customers and boosts staff participation.</w:t>
      </w:r>
    </w:p>
    <w:p w14:paraId="00000042">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Hilton achieves all targets involving expansion and revenue growth and sustainability and digital transformation by implementing corporate initiatives across its business structures as well as property units. The company can achieve more market territories by increasing their mobile technology investments and Artificial Intelligence capabilities that enhance operational productivity with AI-driven interactions and electronic check-ins. Through its 2030 Travel with Purpose program Hilton displays its impacts on the environment and its social responsibility efforts.</w:t>
      </w:r>
    </w:p>
    <w:p w14:paraId="00000043">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Hilton initiatives that unite digital transformation with staff health programs and sustainability projects drive successful outcomes for operational methods and customer satisfaction and organizational recognition in the market. The organizational changes succeeded from careful leadership coordination with transparent communication systems followed by workforce training programs that managed new system implementation. Hilton achieved better corporate culture development combined with workforce advancement from top to bottom through its active diversity initiatives.</w:t>
      </w:r>
    </w:p>
    <w:p w14:paraId="00000044">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company gains access to new markets through AI-powered personal customer interactions and enhanced sustainable practices and loyalty programs and better market positioning. The strategic plan will establish Hilton as a global hospitality leader by developing innovative solutions to maintain growth through business expansion targeting worldwide market penetration of customer needs.</w:t>
      </w:r>
    </w:p>
    <w:p w14:paraId="00000046">
      <w:pPr>
        <w:pStyle w:val="2"/>
      </w:pPr>
      <w:bookmarkStart w:id="19" w:name="_Toc189753105"/>
      <w:bookmarkStart w:id="20" w:name="_Toc189752928"/>
      <w:r>
        <w:t>6. Recommendations</w:t>
      </w:r>
      <w:bookmarkEnd w:id="19"/>
      <w:bookmarkEnd w:id="20"/>
      <w:r>
        <w:t xml:space="preserve"> </w:t>
      </w:r>
    </w:p>
    <w:p w14:paraId="00000047">
      <w:pPr>
        <w:shd w:val="clear" w:color="auto" w:fill="FFFFFF"/>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Hilton requires these strategic targets for developing their hotel and hospitality operations:</w:t>
      </w:r>
    </w:p>
    <w:p w14:paraId="00000048">
      <w:pPr>
        <w:shd w:val="clear" w:color="auto" w:fill="FFFFFF"/>
        <w:spacing w:before="240" w:after="240"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Expanding AI and Automation for Enhanced Customer Experience</w:t>
      </w:r>
    </w:p>
    <w:p w14:paraId="00000049">
      <w:pPr>
        <w:shd w:val="clear" w:color="auto" w:fill="FFFFFF"/>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Hilton should allocate company assets to create AI-based chatbot systems together with virtual concierge services for designing personalized customer communication.</w:t>
      </w:r>
    </w:p>
    <w:p w14:paraId="0000004A">
      <w:pPr>
        <w:shd w:val="clear" w:color="auto" w:fill="FFFFFF"/>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Organizations operating in the business sector employ predictive analytics systems to predict upcoming guest preferences thus creating better service organisations.</w:t>
      </w:r>
    </w:p>
    <w:p w14:paraId="0000004B">
      <w:pPr>
        <w:shd w:val="clear" w:color="auto" w:fill="FFFFFF"/>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merger of front desk automation systems with housekeeping operations generates two complementary benefits that cut organizational expenses while boosting operational effectiveness.</w:t>
      </w:r>
    </w:p>
    <w:p w14:paraId="0000004C">
      <w:pPr>
        <w:shd w:val="clear" w:color="auto" w:fill="FFFFFF"/>
        <w:spacing w:before="240" w:after="240"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Strengthening Sustainability Initiatives Beyond 2030 Goals</w:t>
      </w:r>
    </w:p>
    <w:p w14:paraId="0000004D">
      <w:pPr>
        <w:shd w:val="clear" w:color="auto" w:fill="FFFFFF"/>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At the current pace Hilton should increase renewable energy solutions in all properties to meet zero-carbon goals more effectively.</w:t>
      </w:r>
    </w:p>
    <w:p w14:paraId="0000004E">
      <w:pPr>
        <w:shd w:val="clear" w:color="auto" w:fill="FFFFFF"/>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Environmental tourism development requires the expansion of sustainable facilities and local procurement methods for sustainable success.</w:t>
      </w:r>
    </w:p>
    <w:p w14:paraId="0000004F">
      <w:pPr>
        <w:shd w:val="clear" w:color="auto" w:fill="FFFFFF"/>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combination of guest rewards programs with collective sustainable targets creates powerful sustainable effects by linking guest contributions to shared sustainability aims.</w:t>
      </w:r>
    </w:p>
    <w:p w14:paraId="00000050">
      <w:pPr>
        <w:shd w:val="clear" w:color="auto" w:fill="FFFFFF"/>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Hilton should allocate resources for developing modern employee retention initiatives.</w:t>
      </w:r>
    </w:p>
    <w:p w14:paraId="00000051">
      <w:pPr>
        <w:shd w:val="clear" w:color="auto" w:fill="FFFFFF"/>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Leadership development programs reaching all Hilton operations will create a sufficient pipeline of upcoming leaders.</w:t>
      </w:r>
    </w:p>
    <w:p w14:paraId="00000052">
      <w:pPr>
        <w:shd w:val="clear" w:color="auto" w:fill="FFFFFF"/>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Personal career development frameworks developed by artificial intelligence enhance the job satisfaction of employees and in turn increases company retention rates.</w:t>
      </w:r>
    </w:p>
    <w:p w14:paraId="00000053">
      <w:pPr>
        <w:shd w:val="clear" w:color="auto" w:fill="FFFFFF"/>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implementation of hybrid workplace models for corporate personnel will create an ideal environment to achieve both personal and professional excellence.</w:t>
      </w:r>
    </w:p>
    <w:p w14:paraId="00000054">
      <w:pPr>
        <w:shd w:val="clear" w:color="auto" w:fill="FFFFFF"/>
        <w:spacing w:before="240" w:after="240"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Strategic Market Expansion and Brand Differentiation</w:t>
      </w:r>
    </w:p>
    <w:p w14:paraId="00000055">
      <w:pPr>
        <w:shd w:val="clear" w:color="auto" w:fill="FFFFFF"/>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strong tourism growth in Southeast Asian territories and African regions motivates Hilton to establish new operations there.</w:t>
      </w:r>
    </w:p>
    <w:p w14:paraId="00000056">
      <w:pPr>
        <w:shd w:val="clear" w:color="auto" w:fill="FFFFFF"/>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Hilton portfolio needs boutique-oriented sub-brands to target specifically luxury eco-tourists and wellness-oriented guests.</w:t>
      </w:r>
    </w:p>
    <w:p w14:paraId="00000057">
      <w:pPr>
        <w:shd w:val="clear" w:color="auto" w:fill="FFFFFF"/>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visibility of their brand increases alongside the rising attraction of younger travellers because of enhanced relationships between Hilton hotels and local travel agencies and influencers.</w:t>
      </w:r>
    </w:p>
    <w:p w14:paraId="00FC5F2E">
      <w:pPr>
        <w:rPr>
          <w:rFonts w:ascii="Times New Roman" w:hAnsi="Times New Roman" w:eastAsia="Times New Roman" w:cs="Times New Roman"/>
          <w:sz w:val="24"/>
          <w:szCs w:val="24"/>
        </w:rPr>
      </w:pPr>
      <w:r>
        <w:rPr>
          <w:rFonts w:ascii="Times New Roman" w:hAnsi="Times New Roman" w:eastAsia="Times New Roman" w:cs="Times New Roman"/>
          <w:sz w:val="24"/>
          <w:szCs w:val="24"/>
        </w:rPr>
        <w:br w:type="page"/>
      </w:r>
    </w:p>
    <w:p w14:paraId="4DC9FB4C">
      <w:pPr>
        <w:pStyle w:val="2"/>
      </w:pPr>
      <w:bookmarkStart w:id="21" w:name="_Toc189753106"/>
      <w:bookmarkStart w:id="22" w:name="_Toc189752929"/>
      <w:r>
        <w:t>References</w:t>
      </w:r>
      <w:bookmarkEnd w:id="21"/>
      <w:bookmarkEnd w:id="22"/>
    </w:p>
    <w:p w14:paraId="76C2FB72">
      <w:pPr>
        <w:shd w:val="clear" w:color="auto" w:fill="FFFFFF"/>
        <w:spacing w:before="240" w:after="240"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 xml:space="preserve">Report </w:t>
      </w:r>
    </w:p>
    <w:p w14:paraId="334C2294">
      <w:pPr>
        <w:spacing w:line="360" w:lineRule="auto"/>
        <w:jc w:val="both"/>
        <w:rPr>
          <w:rFonts w:ascii="Times New Roman" w:hAnsi="Times New Roman" w:cs="Times New Roman"/>
          <w:sz w:val="24"/>
          <w:szCs w:val="24"/>
        </w:rPr>
      </w:pPr>
      <w:r>
        <w:rPr>
          <w:rFonts w:ascii="Times New Roman" w:hAnsi="Times New Roman" w:cs="Times New Roman"/>
          <w:sz w:val="24"/>
          <w:szCs w:val="24"/>
        </w:rPr>
        <w:t>Ali, B.J. and Anwar, G., 2021. The mediation role of change management in employee development. </w:t>
      </w:r>
      <w:r>
        <w:rPr>
          <w:rFonts w:ascii="Times New Roman" w:hAnsi="Times New Roman" w:cs="Times New Roman"/>
          <w:i/>
          <w:iCs/>
          <w:sz w:val="24"/>
          <w:szCs w:val="24"/>
        </w:rPr>
        <w:t>Ali, BJ, &amp; Anwar, G.(2021). The Mediation Role of Change Management in Employee Development. International Journal of English Literature and Social Sciences</w:t>
      </w:r>
      <w:r>
        <w:rPr>
          <w:rFonts w:ascii="Times New Roman" w:hAnsi="Times New Roman" w:cs="Times New Roman"/>
          <w:sz w:val="24"/>
          <w:szCs w:val="24"/>
        </w:rPr>
        <w:t>, </w:t>
      </w:r>
      <w:r>
        <w:rPr>
          <w:rFonts w:ascii="Times New Roman" w:hAnsi="Times New Roman" w:cs="Times New Roman"/>
          <w:i/>
          <w:iCs/>
          <w:sz w:val="24"/>
          <w:szCs w:val="24"/>
        </w:rPr>
        <w:t>6</w:t>
      </w:r>
      <w:r>
        <w:rPr>
          <w:rFonts w:ascii="Times New Roman" w:hAnsi="Times New Roman" w:cs="Times New Roman"/>
          <w:sz w:val="24"/>
          <w:szCs w:val="24"/>
        </w:rPr>
        <w:t>(2), pp.361-374.</w:t>
      </w:r>
    </w:p>
    <w:p w14:paraId="0AD7504D">
      <w:pPr>
        <w:spacing w:line="360" w:lineRule="auto"/>
        <w:jc w:val="both"/>
        <w:rPr>
          <w:rFonts w:ascii="Times New Roman" w:hAnsi="Times New Roman" w:cs="Times New Roman"/>
          <w:sz w:val="24"/>
          <w:szCs w:val="24"/>
        </w:rPr>
      </w:pPr>
      <w:r>
        <w:rPr>
          <w:rFonts w:ascii="Times New Roman" w:hAnsi="Times New Roman" w:cs="Times New Roman"/>
          <w:sz w:val="24"/>
          <w:szCs w:val="24"/>
        </w:rPr>
        <w:t>Ali, B.J., Gardi, B., Othman, B.J., Ahmed, S.A., Ismael, N.B., Hamza, P.A., Aziz, H.M., Sabir, B.Y., Sorguli, S. and Anwar, G., 2021. Hotel service quality: The impact of service quality on customer satisfaction in hospitality. </w:t>
      </w:r>
      <w:r>
        <w:rPr>
          <w:rFonts w:ascii="Times New Roman" w:hAnsi="Times New Roman" w:cs="Times New Roman"/>
          <w:i/>
          <w:iCs/>
          <w:sz w:val="24"/>
          <w:szCs w:val="24"/>
        </w:rPr>
        <w:t>International Journal of Engineering, Business and Management</w:t>
      </w:r>
      <w:r>
        <w:rPr>
          <w:rFonts w:ascii="Times New Roman" w:hAnsi="Times New Roman" w:cs="Times New Roman"/>
          <w:sz w:val="24"/>
          <w:szCs w:val="24"/>
        </w:rPr>
        <w:t>, </w:t>
      </w:r>
      <w:r>
        <w:rPr>
          <w:rFonts w:ascii="Times New Roman" w:hAnsi="Times New Roman" w:cs="Times New Roman"/>
          <w:i/>
          <w:iCs/>
          <w:sz w:val="24"/>
          <w:szCs w:val="24"/>
        </w:rPr>
        <w:t>5</w:t>
      </w:r>
      <w:r>
        <w:rPr>
          <w:rFonts w:ascii="Times New Roman" w:hAnsi="Times New Roman" w:cs="Times New Roman"/>
          <w:sz w:val="24"/>
          <w:szCs w:val="24"/>
        </w:rPr>
        <w:t>(3), pp.14-28.</w:t>
      </w:r>
    </w:p>
    <w:p w14:paraId="013046DC">
      <w:pPr>
        <w:spacing w:line="360" w:lineRule="auto"/>
        <w:jc w:val="both"/>
        <w:rPr>
          <w:rFonts w:ascii="Times New Roman" w:hAnsi="Times New Roman" w:cs="Times New Roman"/>
          <w:sz w:val="24"/>
          <w:szCs w:val="24"/>
        </w:rPr>
      </w:pPr>
      <w:r>
        <w:rPr>
          <w:rFonts w:ascii="Times New Roman" w:hAnsi="Times New Roman" w:cs="Times New Roman"/>
          <w:sz w:val="24"/>
          <w:szCs w:val="24"/>
        </w:rPr>
        <w:t>Alreahi, M., Bujdosó, Z., Kabil, M., Akaak, A., Benkó, K.F., Setioningtyas, W.P. and Dávid, L.D., 2022. Green human resources management in the hotel industry: A systematic review. </w:t>
      </w:r>
      <w:r>
        <w:rPr>
          <w:rFonts w:ascii="Times New Roman" w:hAnsi="Times New Roman" w:cs="Times New Roman"/>
          <w:i/>
          <w:iCs/>
          <w:sz w:val="24"/>
          <w:szCs w:val="24"/>
        </w:rPr>
        <w:t>Sustainability</w:t>
      </w:r>
      <w:r>
        <w:rPr>
          <w:rFonts w:ascii="Times New Roman" w:hAnsi="Times New Roman" w:cs="Times New Roman"/>
          <w:sz w:val="24"/>
          <w:szCs w:val="24"/>
        </w:rPr>
        <w:t>, </w:t>
      </w:r>
      <w:r>
        <w:rPr>
          <w:rFonts w:ascii="Times New Roman" w:hAnsi="Times New Roman" w:cs="Times New Roman"/>
          <w:i/>
          <w:iCs/>
          <w:sz w:val="24"/>
          <w:szCs w:val="24"/>
        </w:rPr>
        <w:t>15</w:t>
      </w:r>
      <w:r>
        <w:rPr>
          <w:rFonts w:ascii="Times New Roman" w:hAnsi="Times New Roman" w:cs="Times New Roman"/>
          <w:sz w:val="24"/>
          <w:szCs w:val="24"/>
        </w:rPr>
        <w:t>(1), p.99.</w:t>
      </w:r>
    </w:p>
    <w:p w14:paraId="341B11D5">
      <w:pPr>
        <w:spacing w:line="360" w:lineRule="auto"/>
        <w:jc w:val="both"/>
        <w:rPr>
          <w:rFonts w:ascii="Times New Roman" w:hAnsi="Times New Roman" w:cs="Times New Roman"/>
          <w:sz w:val="24"/>
          <w:szCs w:val="24"/>
        </w:rPr>
      </w:pPr>
      <w:r>
        <w:rPr>
          <w:rFonts w:ascii="Times New Roman" w:hAnsi="Times New Roman" w:cs="Times New Roman"/>
          <w:sz w:val="24"/>
          <w:szCs w:val="24"/>
        </w:rPr>
        <w:t>Amicarelli, V., Aluculesei, A.C., Lagioia, G., Pamfilie, R. and Bux, C., 2022. How to manage and minimize food waste in the hotel industry: An exploratory research. </w:t>
      </w:r>
      <w:r>
        <w:rPr>
          <w:rFonts w:ascii="Times New Roman" w:hAnsi="Times New Roman" w:cs="Times New Roman"/>
          <w:i/>
          <w:iCs/>
          <w:sz w:val="24"/>
          <w:szCs w:val="24"/>
        </w:rPr>
        <w:t>International Journal of Culture, Tourism and Hospitality Research</w:t>
      </w:r>
      <w:r>
        <w:rPr>
          <w:rFonts w:ascii="Times New Roman" w:hAnsi="Times New Roman" w:cs="Times New Roman"/>
          <w:sz w:val="24"/>
          <w:szCs w:val="24"/>
        </w:rPr>
        <w:t>, </w:t>
      </w:r>
      <w:r>
        <w:rPr>
          <w:rFonts w:ascii="Times New Roman" w:hAnsi="Times New Roman" w:cs="Times New Roman"/>
          <w:i/>
          <w:iCs/>
          <w:sz w:val="24"/>
          <w:szCs w:val="24"/>
        </w:rPr>
        <w:t>16</w:t>
      </w:r>
      <w:r>
        <w:rPr>
          <w:rFonts w:ascii="Times New Roman" w:hAnsi="Times New Roman" w:cs="Times New Roman"/>
          <w:sz w:val="24"/>
          <w:szCs w:val="24"/>
        </w:rPr>
        <w:t>(1), pp.152-167.</w:t>
      </w:r>
    </w:p>
    <w:p w14:paraId="0D87DCCB">
      <w:pPr>
        <w:spacing w:line="360" w:lineRule="auto"/>
        <w:jc w:val="both"/>
        <w:rPr>
          <w:rFonts w:ascii="Times New Roman" w:hAnsi="Times New Roman" w:cs="Times New Roman"/>
          <w:sz w:val="24"/>
          <w:szCs w:val="24"/>
        </w:rPr>
      </w:pPr>
      <w:r>
        <w:rPr>
          <w:rFonts w:ascii="Times New Roman" w:hAnsi="Times New Roman" w:cs="Times New Roman"/>
          <w:sz w:val="24"/>
          <w:szCs w:val="24"/>
        </w:rPr>
        <w:t>Cheng, B., Guo, G., Tian, J. and Shaalan, A., 2020. Customer incivility and service sabotage in the hotel industry. </w:t>
      </w:r>
      <w:r>
        <w:rPr>
          <w:rFonts w:ascii="Times New Roman" w:hAnsi="Times New Roman" w:cs="Times New Roman"/>
          <w:i/>
          <w:iCs/>
          <w:sz w:val="24"/>
          <w:szCs w:val="24"/>
        </w:rPr>
        <w:t>International Journal of Contemporary Hospitality Management</w:t>
      </w:r>
      <w:r>
        <w:rPr>
          <w:rFonts w:ascii="Times New Roman" w:hAnsi="Times New Roman" w:cs="Times New Roman"/>
          <w:sz w:val="24"/>
          <w:szCs w:val="24"/>
        </w:rPr>
        <w:t>, </w:t>
      </w:r>
      <w:r>
        <w:rPr>
          <w:rFonts w:ascii="Times New Roman" w:hAnsi="Times New Roman" w:cs="Times New Roman"/>
          <w:i/>
          <w:iCs/>
          <w:sz w:val="24"/>
          <w:szCs w:val="24"/>
        </w:rPr>
        <w:t>32</w:t>
      </w:r>
      <w:r>
        <w:rPr>
          <w:rFonts w:ascii="Times New Roman" w:hAnsi="Times New Roman" w:cs="Times New Roman"/>
          <w:sz w:val="24"/>
          <w:szCs w:val="24"/>
        </w:rPr>
        <w:t>(5), pp.1737-1754.</w:t>
      </w:r>
    </w:p>
    <w:p w14:paraId="302E1081">
      <w:pPr>
        <w:spacing w:line="360" w:lineRule="auto"/>
        <w:jc w:val="both"/>
        <w:rPr>
          <w:rFonts w:ascii="Times New Roman" w:hAnsi="Times New Roman" w:cs="Times New Roman"/>
          <w:sz w:val="24"/>
          <w:szCs w:val="24"/>
        </w:rPr>
      </w:pPr>
      <w:r>
        <w:rPr>
          <w:rFonts w:ascii="Times New Roman" w:hAnsi="Times New Roman" w:cs="Times New Roman"/>
          <w:sz w:val="24"/>
          <w:szCs w:val="24"/>
        </w:rPr>
        <w:t>Hao, F., Xiao, Q. and Chon, K., 2020. COVID-19 and China’s hotel industry: Impacts, a disaster management framework, and post-pandemic agenda. </w:t>
      </w:r>
      <w:r>
        <w:rPr>
          <w:rFonts w:ascii="Times New Roman" w:hAnsi="Times New Roman" w:cs="Times New Roman"/>
          <w:i/>
          <w:iCs/>
          <w:sz w:val="24"/>
          <w:szCs w:val="24"/>
        </w:rPr>
        <w:t>International journal of hospitality management</w:t>
      </w:r>
      <w:r>
        <w:rPr>
          <w:rFonts w:ascii="Times New Roman" w:hAnsi="Times New Roman" w:cs="Times New Roman"/>
          <w:sz w:val="24"/>
          <w:szCs w:val="24"/>
        </w:rPr>
        <w:t>, </w:t>
      </w:r>
      <w:r>
        <w:rPr>
          <w:rFonts w:ascii="Times New Roman" w:hAnsi="Times New Roman" w:cs="Times New Roman"/>
          <w:i/>
          <w:iCs/>
          <w:sz w:val="24"/>
          <w:szCs w:val="24"/>
        </w:rPr>
        <w:t>90</w:t>
      </w:r>
      <w:r>
        <w:rPr>
          <w:rFonts w:ascii="Times New Roman" w:hAnsi="Times New Roman" w:cs="Times New Roman"/>
          <w:sz w:val="24"/>
          <w:szCs w:val="24"/>
        </w:rPr>
        <w:t>, p.102636.</w:t>
      </w:r>
    </w:p>
    <w:p w14:paraId="723C024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Hilton, 2025. About Us. Available at: </w:t>
      </w:r>
      <w:r>
        <w:fldChar w:fldCharType="begin"/>
      </w:r>
      <w:r>
        <w:instrText xml:space="preserve"> HYPERLINK "https://www.hilton.com/en/locations/india/?WT.mc_id=zLADA0IN1MB2PSH3GGL4INTCRB5DLPdkt6MULTIBR7en_&amp;epid!_&amp;ebuy!&amp;&amp;&amp;&amp;&amp;gad_source=1&amp;gclid=CjwKCAiA2JG9BhAuEiwAH_zf3i7EluTduTVzyymxvQADvLC8MwumnF4CIOBIETGYGcuSCm-y_ISsQhoCizgQAvD_BwE&amp;gclsrc=aw.ds" </w:instrText>
      </w:r>
      <w:r>
        <w:fldChar w:fldCharType="separate"/>
      </w:r>
      <w:r>
        <w:rPr>
          <w:rStyle w:val="12"/>
          <w:rFonts w:ascii="Times New Roman" w:hAnsi="Times New Roman" w:cs="Times New Roman"/>
          <w:sz w:val="24"/>
          <w:szCs w:val="24"/>
        </w:rPr>
        <w:t>https://www.hilton.com/en/locations/india/?WT.mc_id=zLADA0IN1MB2PSH3GGL4INTCRB5DLPdkt6MULTIBR7en_&amp;epid!_&amp;ebuy!&amp;&amp;&amp;&amp;&amp;gad_source=1&amp;gclid=CjwKCAiA2JG9BhAuEiwAH_zf3i7EluTduTVzyymxvQADvLC8MwumnF4CIOBIETGYGcuSCm-y_ISsQhoCizgQAvD_BwE&amp;gclsrc=aw.ds</w:t>
      </w:r>
      <w:r>
        <w:rPr>
          <w:rStyle w:val="12"/>
          <w:rFonts w:ascii="Times New Roman" w:hAnsi="Times New Roman" w:cs="Times New Roman"/>
          <w:sz w:val="24"/>
          <w:szCs w:val="24"/>
        </w:rPr>
        <w:fldChar w:fldCharType="end"/>
      </w:r>
    </w:p>
    <w:p w14:paraId="032F9AEC">
      <w:pPr>
        <w:spacing w:line="360" w:lineRule="auto"/>
        <w:jc w:val="both"/>
        <w:rPr>
          <w:rFonts w:ascii="Times New Roman" w:hAnsi="Times New Roman" w:cs="Times New Roman"/>
          <w:sz w:val="24"/>
          <w:szCs w:val="24"/>
        </w:rPr>
      </w:pPr>
      <w:r>
        <w:rPr>
          <w:rFonts w:ascii="Times New Roman" w:hAnsi="Times New Roman" w:cs="Times New Roman"/>
          <w:sz w:val="24"/>
          <w:szCs w:val="24"/>
        </w:rPr>
        <w:t>Kumar, S., Kar, A.K. and Ilavarasan, P.V., 2021. Applications of text mining in services management: A systematic literature review. </w:t>
      </w:r>
      <w:r>
        <w:rPr>
          <w:rFonts w:ascii="Times New Roman" w:hAnsi="Times New Roman" w:cs="Times New Roman"/>
          <w:i/>
          <w:iCs/>
          <w:sz w:val="24"/>
          <w:szCs w:val="24"/>
        </w:rPr>
        <w:t>International Journal of Information Management Data Insights</w:t>
      </w:r>
      <w:r>
        <w:rPr>
          <w:rFonts w:ascii="Times New Roman" w:hAnsi="Times New Roman" w:cs="Times New Roman"/>
          <w:sz w:val="24"/>
          <w:szCs w:val="24"/>
        </w:rPr>
        <w:t>, </w:t>
      </w:r>
      <w:r>
        <w:rPr>
          <w:rFonts w:ascii="Times New Roman" w:hAnsi="Times New Roman" w:cs="Times New Roman"/>
          <w:i/>
          <w:iCs/>
          <w:sz w:val="24"/>
          <w:szCs w:val="24"/>
        </w:rPr>
        <w:t>1</w:t>
      </w:r>
      <w:r>
        <w:rPr>
          <w:rFonts w:ascii="Times New Roman" w:hAnsi="Times New Roman" w:cs="Times New Roman"/>
          <w:sz w:val="24"/>
          <w:szCs w:val="24"/>
        </w:rPr>
        <w:t>(1), p.100008.</w:t>
      </w:r>
    </w:p>
    <w:p w14:paraId="5457120C">
      <w:pPr>
        <w:spacing w:line="360" w:lineRule="auto"/>
        <w:jc w:val="both"/>
        <w:rPr>
          <w:rFonts w:ascii="Times New Roman" w:hAnsi="Times New Roman" w:cs="Times New Roman"/>
          <w:sz w:val="24"/>
          <w:szCs w:val="24"/>
        </w:rPr>
      </w:pPr>
      <w:r>
        <w:rPr>
          <w:rFonts w:ascii="Times New Roman" w:hAnsi="Times New Roman" w:cs="Times New Roman"/>
          <w:sz w:val="24"/>
          <w:szCs w:val="24"/>
        </w:rPr>
        <w:t>Malik, S.A., Akhtar, F., Raziq, M.M. and Ahmad, M., 2020. Measuring service quality perceptions of customers in the hotel industry of Pakistan. </w:t>
      </w:r>
      <w:r>
        <w:rPr>
          <w:rFonts w:ascii="Times New Roman" w:hAnsi="Times New Roman" w:cs="Times New Roman"/>
          <w:i/>
          <w:iCs/>
          <w:sz w:val="24"/>
          <w:szCs w:val="24"/>
        </w:rPr>
        <w:t>Total Quality Management &amp; Business Excellence</w:t>
      </w:r>
      <w:r>
        <w:rPr>
          <w:rFonts w:ascii="Times New Roman" w:hAnsi="Times New Roman" w:cs="Times New Roman"/>
          <w:sz w:val="24"/>
          <w:szCs w:val="24"/>
        </w:rPr>
        <w:t>, </w:t>
      </w:r>
      <w:r>
        <w:rPr>
          <w:rFonts w:ascii="Times New Roman" w:hAnsi="Times New Roman" w:cs="Times New Roman"/>
          <w:i/>
          <w:iCs/>
          <w:sz w:val="24"/>
          <w:szCs w:val="24"/>
        </w:rPr>
        <w:t>31</w:t>
      </w:r>
      <w:r>
        <w:rPr>
          <w:rFonts w:ascii="Times New Roman" w:hAnsi="Times New Roman" w:cs="Times New Roman"/>
          <w:sz w:val="24"/>
          <w:szCs w:val="24"/>
        </w:rPr>
        <w:t>(3-4), pp.263-278.</w:t>
      </w:r>
    </w:p>
    <w:p w14:paraId="2B5C26B0">
      <w:pPr>
        <w:spacing w:line="360" w:lineRule="auto"/>
        <w:jc w:val="both"/>
        <w:rPr>
          <w:rFonts w:ascii="Times New Roman" w:hAnsi="Times New Roman" w:cs="Times New Roman"/>
          <w:sz w:val="24"/>
          <w:szCs w:val="24"/>
        </w:rPr>
      </w:pPr>
      <w:r>
        <w:rPr>
          <w:rFonts w:ascii="Times New Roman" w:hAnsi="Times New Roman" w:cs="Times New Roman"/>
          <w:sz w:val="24"/>
          <w:szCs w:val="24"/>
        </w:rPr>
        <w:t>Mishra, P., Shukla, B. and Sujatha, R., 2021. </w:t>
      </w:r>
      <w:r>
        <w:rPr>
          <w:rFonts w:ascii="Times New Roman" w:hAnsi="Times New Roman" w:cs="Times New Roman"/>
          <w:i/>
          <w:iCs/>
          <w:sz w:val="24"/>
          <w:szCs w:val="24"/>
        </w:rPr>
        <w:t>Human Resource Management for Organisational Change: Theoretical Formulations</w:t>
      </w:r>
      <w:r>
        <w:rPr>
          <w:rFonts w:ascii="Times New Roman" w:hAnsi="Times New Roman" w:cs="Times New Roman"/>
          <w:sz w:val="24"/>
          <w:szCs w:val="24"/>
        </w:rPr>
        <w:t>. Routledge.</w:t>
      </w:r>
    </w:p>
    <w:p w14:paraId="0944EDA1">
      <w:pPr>
        <w:spacing w:line="360" w:lineRule="auto"/>
        <w:jc w:val="both"/>
        <w:rPr>
          <w:rFonts w:ascii="Times New Roman" w:hAnsi="Times New Roman" w:cs="Times New Roman"/>
          <w:sz w:val="24"/>
          <w:szCs w:val="24"/>
        </w:rPr>
      </w:pPr>
      <w:r>
        <w:rPr>
          <w:rFonts w:ascii="Times New Roman" w:hAnsi="Times New Roman" w:cs="Times New Roman"/>
          <w:sz w:val="24"/>
          <w:szCs w:val="24"/>
        </w:rPr>
        <w:t>Nam, K., Dutt, C.S., Chathoth, P., Daghfous, A. and Khan, M.S., 2021. The adoption of artificial intelligence and robotics in the hotel industry: prospects and challenges. </w:t>
      </w:r>
      <w:r>
        <w:rPr>
          <w:rFonts w:ascii="Times New Roman" w:hAnsi="Times New Roman" w:cs="Times New Roman"/>
          <w:i/>
          <w:iCs/>
          <w:sz w:val="24"/>
          <w:szCs w:val="24"/>
        </w:rPr>
        <w:t>Electronic Markets</w:t>
      </w:r>
      <w:r>
        <w:rPr>
          <w:rFonts w:ascii="Times New Roman" w:hAnsi="Times New Roman" w:cs="Times New Roman"/>
          <w:sz w:val="24"/>
          <w:szCs w:val="24"/>
        </w:rPr>
        <w:t>, </w:t>
      </w:r>
      <w:r>
        <w:rPr>
          <w:rFonts w:ascii="Times New Roman" w:hAnsi="Times New Roman" w:cs="Times New Roman"/>
          <w:i/>
          <w:iCs/>
          <w:sz w:val="24"/>
          <w:szCs w:val="24"/>
        </w:rPr>
        <w:t>31</w:t>
      </w:r>
      <w:r>
        <w:rPr>
          <w:rFonts w:ascii="Times New Roman" w:hAnsi="Times New Roman" w:cs="Times New Roman"/>
          <w:sz w:val="24"/>
          <w:szCs w:val="24"/>
        </w:rPr>
        <w:t>, pp.553-574.</w:t>
      </w:r>
    </w:p>
    <w:p w14:paraId="345CFC1A">
      <w:pPr>
        <w:spacing w:line="360" w:lineRule="auto"/>
        <w:jc w:val="both"/>
        <w:rPr>
          <w:rFonts w:ascii="Times New Roman" w:hAnsi="Times New Roman" w:cs="Times New Roman"/>
          <w:sz w:val="24"/>
          <w:szCs w:val="24"/>
        </w:rPr>
      </w:pPr>
      <w:r>
        <w:rPr>
          <w:rFonts w:ascii="Times New Roman" w:hAnsi="Times New Roman" w:cs="Times New Roman"/>
          <w:sz w:val="24"/>
          <w:szCs w:val="24"/>
        </w:rPr>
        <w:t>Radwan, H.R.I., 2022. Factors influencing the implementation of organizational change management in large Egyptian hotels: Mediating effects of employee engagement. </w:t>
      </w:r>
      <w:r>
        <w:rPr>
          <w:rFonts w:ascii="Times New Roman" w:hAnsi="Times New Roman" w:cs="Times New Roman"/>
          <w:i/>
          <w:iCs/>
          <w:sz w:val="24"/>
          <w:szCs w:val="24"/>
        </w:rPr>
        <w:t>The International Journal of Tourism and Hospitality Studies</w:t>
      </w:r>
      <w:r>
        <w:rPr>
          <w:rFonts w:ascii="Times New Roman" w:hAnsi="Times New Roman" w:cs="Times New Roman"/>
          <w:sz w:val="24"/>
          <w:szCs w:val="24"/>
        </w:rPr>
        <w:t>, </w:t>
      </w:r>
      <w:r>
        <w:rPr>
          <w:rFonts w:ascii="Times New Roman" w:hAnsi="Times New Roman" w:cs="Times New Roman"/>
          <w:i/>
          <w:iCs/>
          <w:sz w:val="24"/>
          <w:szCs w:val="24"/>
        </w:rPr>
        <w:t>3</w:t>
      </w:r>
      <w:r>
        <w:rPr>
          <w:rFonts w:ascii="Times New Roman" w:hAnsi="Times New Roman" w:cs="Times New Roman"/>
          <w:sz w:val="24"/>
          <w:szCs w:val="24"/>
        </w:rPr>
        <w:t>(2), pp.77-103.</w:t>
      </w:r>
    </w:p>
    <w:p w14:paraId="6E403747">
      <w:pPr>
        <w:spacing w:line="360" w:lineRule="auto"/>
        <w:jc w:val="both"/>
        <w:rPr>
          <w:rFonts w:ascii="Times New Roman" w:hAnsi="Times New Roman" w:cs="Times New Roman"/>
          <w:sz w:val="24"/>
          <w:szCs w:val="24"/>
        </w:rPr>
      </w:pPr>
      <w:r>
        <w:rPr>
          <w:rFonts w:ascii="Times New Roman" w:hAnsi="Times New Roman" w:cs="Times New Roman"/>
          <w:sz w:val="24"/>
          <w:szCs w:val="24"/>
        </w:rPr>
        <w:t>Senbeto, D.L. and Hon, A.H., 2020. Market turbulence and service innovation in hospitality: examining the underlying mechanisms of employee and organizational resilience. </w:t>
      </w:r>
      <w:r>
        <w:rPr>
          <w:rFonts w:ascii="Times New Roman" w:hAnsi="Times New Roman" w:cs="Times New Roman"/>
          <w:i/>
          <w:iCs/>
          <w:sz w:val="24"/>
          <w:szCs w:val="24"/>
        </w:rPr>
        <w:t>The Service Industries Journal</w:t>
      </w:r>
      <w:r>
        <w:rPr>
          <w:rFonts w:ascii="Times New Roman" w:hAnsi="Times New Roman" w:cs="Times New Roman"/>
          <w:sz w:val="24"/>
          <w:szCs w:val="24"/>
        </w:rPr>
        <w:t>, </w:t>
      </w:r>
      <w:r>
        <w:rPr>
          <w:rFonts w:ascii="Times New Roman" w:hAnsi="Times New Roman" w:cs="Times New Roman"/>
          <w:i/>
          <w:iCs/>
          <w:sz w:val="24"/>
          <w:szCs w:val="24"/>
        </w:rPr>
        <w:t>40</w:t>
      </w:r>
      <w:r>
        <w:rPr>
          <w:rFonts w:ascii="Times New Roman" w:hAnsi="Times New Roman" w:cs="Times New Roman"/>
          <w:sz w:val="24"/>
          <w:szCs w:val="24"/>
        </w:rPr>
        <w:t>(15-16), pp.1119-1139.</w:t>
      </w:r>
    </w:p>
    <w:p w14:paraId="00000058">
      <w:pPr>
        <w:spacing w:line="360" w:lineRule="auto"/>
        <w:jc w:val="both"/>
        <w:rPr>
          <w:rFonts w:ascii="Times New Roman" w:hAnsi="Times New Roman" w:eastAsia="Times New Roman" w:cs="Times New Roman"/>
          <w:sz w:val="24"/>
          <w:szCs w:val="24"/>
        </w:rPr>
      </w:pPr>
    </w:p>
    <w:sectPr>
      <w:footerReference r:id="rId5" w:type="default"/>
      <w:pgSz w:w="11909" w:h="16834"/>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rial">
    <w:panose1 w:val="020B0604020202020204"/>
    <w:charset w:val="86"/>
    <w:family w:val="swiss"/>
    <w:pitch w:val="default"/>
    <w:sig w:usb0="E0002EFF" w:usb1="C000785B" w:usb2="00000009" w:usb3="00000000" w:csb0="400001FF" w:csb1="FFFF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504688"/>
      <w:docPartObj>
        <w:docPartGallery w:val="autotext"/>
      </w:docPartObj>
    </w:sdtPr>
    <w:sdtContent>
      <w:p w14:paraId="08CAF081">
        <w:pPr>
          <w:pStyle w:val="10"/>
          <w:jc w:val="right"/>
        </w:pPr>
        <w:r>
          <w:fldChar w:fldCharType="begin"/>
        </w:r>
        <w:r>
          <w:instrText xml:space="preserve"> PAGE   \* MERGEFORMAT </w:instrText>
        </w:r>
        <w:r>
          <w:fldChar w:fldCharType="separate"/>
        </w:r>
        <w:r>
          <w:t>2</w:t>
        </w:r>
        <w:r>
          <w:fldChar w:fldCharType="end"/>
        </w:r>
      </w:p>
    </w:sdtContent>
  </w:sdt>
  <w:p w14:paraId="09A192D5">
    <w:pPr>
      <w:pStyle w:val="1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6E42"/>
    <w:rsid w:val="00226E42"/>
    <w:rsid w:val="00255F37"/>
    <w:rsid w:val="00427750"/>
    <w:rsid w:val="004B25D3"/>
    <w:rsid w:val="0053008B"/>
    <w:rsid w:val="006559C3"/>
    <w:rsid w:val="00B83079"/>
    <w:rsid w:val="00C36A4C"/>
    <w:rsid w:val="250D2BB7"/>
    <w:rsid w:val="514565D4"/>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en-GB" w:eastAsia="en-IN" w:bidi="ar-SA"/>
    </w:rPr>
  </w:style>
  <w:style w:type="paragraph" w:styleId="2">
    <w:name w:val="heading 1"/>
    <w:basedOn w:val="1"/>
    <w:next w:val="1"/>
    <w:qFormat/>
    <w:uiPriority w:val="9"/>
    <w:pPr>
      <w:spacing w:before="240" w:after="240" w:line="360" w:lineRule="auto"/>
      <w:jc w:val="both"/>
      <w:outlineLvl w:val="0"/>
    </w:pPr>
    <w:rPr>
      <w:rFonts w:ascii="Times New Roman" w:hAnsi="Times New Roman" w:eastAsia="Times New Roman" w:cs="Times New Roman"/>
      <w:b/>
      <w:sz w:val="24"/>
      <w:szCs w:val="24"/>
    </w:rPr>
  </w:style>
  <w:style w:type="paragraph" w:styleId="3">
    <w:name w:val="heading 2"/>
    <w:basedOn w:val="1"/>
    <w:next w:val="1"/>
    <w:unhideWhenUsed/>
    <w:qFormat/>
    <w:uiPriority w:val="9"/>
    <w:pPr>
      <w:keepNext/>
      <w:keepLines/>
      <w:spacing w:before="360" w:after="120"/>
      <w:outlineLvl w:val="1"/>
    </w:pPr>
    <w:rPr>
      <w:sz w:val="32"/>
      <w:szCs w:val="32"/>
    </w:rPr>
  </w:style>
  <w:style w:type="paragraph" w:styleId="4">
    <w:name w:val="heading 3"/>
    <w:basedOn w:val="1"/>
    <w:next w:val="1"/>
    <w:unhideWhenUsed/>
    <w:qFormat/>
    <w:uiPriority w:val="9"/>
    <w:pPr>
      <w:keepNext/>
      <w:keepLines/>
      <w:spacing w:before="320" w:after="80"/>
      <w:outlineLvl w:val="2"/>
    </w:pPr>
    <w:rPr>
      <w:color w:val="434343"/>
      <w:sz w:val="28"/>
      <w:szCs w:val="28"/>
    </w:rPr>
  </w:style>
  <w:style w:type="paragraph" w:styleId="5">
    <w:name w:val="heading 4"/>
    <w:basedOn w:val="1"/>
    <w:next w:val="1"/>
    <w:semiHidden/>
    <w:unhideWhenUsed/>
    <w:qFormat/>
    <w:uiPriority w:val="9"/>
    <w:pPr>
      <w:keepNext/>
      <w:keepLines/>
      <w:spacing w:before="280" w:after="80"/>
      <w:outlineLvl w:val="3"/>
    </w:pPr>
    <w:rPr>
      <w:color w:val="666666"/>
      <w:sz w:val="24"/>
      <w:szCs w:val="24"/>
    </w:rPr>
  </w:style>
  <w:style w:type="paragraph" w:styleId="6">
    <w:name w:val="heading 5"/>
    <w:basedOn w:val="1"/>
    <w:next w:val="1"/>
    <w:semiHidden/>
    <w:unhideWhenUsed/>
    <w:qFormat/>
    <w:uiPriority w:val="9"/>
    <w:pPr>
      <w:keepNext/>
      <w:keepLines/>
      <w:spacing w:before="240" w:after="80"/>
      <w:outlineLvl w:val="4"/>
    </w:pPr>
    <w:rPr>
      <w:color w:val="666666"/>
    </w:rPr>
  </w:style>
  <w:style w:type="paragraph" w:styleId="7">
    <w:name w:val="heading 6"/>
    <w:basedOn w:val="1"/>
    <w:next w:val="1"/>
    <w:semiHidden/>
    <w:unhideWhenUsed/>
    <w:qFormat/>
    <w:uiPriority w:val="9"/>
    <w:pPr>
      <w:keepNext/>
      <w:keepLines/>
      <w:spacing w:before="240" w:after="80"/>
      <w:outlineLvl w:val="5"/>
    </w:pPr>
    <w:rPr>
      <w:i/>
      <w:color w:val="666666"/>
    </w:rPr>
  </w:style>
  <w:style w:type="character" w:default="1" w:styleId="8">
    <w:name w:val="Default Paragraph Font"/>
    <w:semiHidden/>
    <w:unhideWhenUsed/>
    <w:qFormat/>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10">
    <w:name w:val="footer"/>
    <w:basedOn w:val="1"/>
    <w:link w:val="18"/>
    <w:unhideWhenUsed/>
    <w:qFormat/>
    <w:uiPriority w:val="99"/>
    <w:pPr>
      <w:tabs>
        <w:tab w:val="center" w:pos="4513"/>
        <w:tab w:val="right" w:pos="9026"/>
      </w:tabs>
      <w:spacing w:line="240" w:lineRule="auto"/>
    </w:pPr>
  </w:style>
  <w:style w:type="paragraph" w:styleId="11">
    <w:name w:val="header"/>
    <w:basedOn w:val="1"/>
    <w:link w:val="17"/>
    <w:unhideWhenUsed/>
    <w:qFormat/>
    <w:uiPriority w:val="99"/>
    <w:pPr>
      <w:tabs>
        <w:tab w:val="center" w:pos="4513"/>
        <w:tab w:val="right" w:pos="9026"/>
      </w:tabs>
      <w:spacing w:line="240" w:lineRule="auto"/>
    </w:pPr>
  </w:style>
  <w:style w:type="character" w:styleId="12">
    <w:name w:val="Hyperlink"/>
    <w:basedOn w:val="8"/>
    <w:unhideWhenUsed/>
    <w:qFormat/>
    <w:uiPriority w:val="99"/>
    <w:rPr>
      <w:color w:val="0000FF" w:themeColor="hyperlink"/>
      <w:u w:val="single"/>
      <w14:textFill>
        <w14:solidFill>
          <w14:schemeClr w14:val="hlink"/>
        </w14:solidFill>
      </w14:textFill>
    </w:rPr>
  </w:style>
  <w:style w:type="paragraph" w:styleId="13">
    <w:name w:val="Subtitle"/>
    <w:basedOn w:val="1"/>
    <w:next w:val="1"/>
    <w:qFormat/>
    <w:uiPriority w:val="11"/>
    <w:pPr>
      <w:keepNext/>
      <w:keepLines/>
      <w:spacing w:after="320"/>
    </w:pPr>
    <w:rPr>
      <w:color w:val="666666"/>
      <w:sz w:val="30"/>
      <w:szCs w:val="30"/>
    </w:rPr>
  </w:style>
  <w:style w:type="paragraph" w:styleId="14">
    <w:name w:val="Title"/>
    <w:basedOn w:val="1"/>
    <w:next w:val="1"/>
    <w:qFormat/>
    <w:uiPriority w:val="10"/>
    <w:pPr>
      <w:keepNext/>
      <w:keepLines/>
      <w:spacing w:after="60"/>
    </w:pPr>
    <w:rPr>
      <w:sz w:val="52"/>
      <w:szCs w:val="52"/>
    </w:rPr>
  </w:style>
  <w:style w:type="paragraph" w:styleId="15">
    <w:name w:val="toc 1"/>
    <w:basedOn w:val="1"/>
    <w:next w:val="1"/>
    <w:autoRedefine/>
    <w:unhideWhenUsed/>
    <w:uiPriority w:val="39"/>
    <w:pPr>
      <w:spacing w:after="100"/>
    </w:pPr>
  </w:style>
  <w:style w:type="paragraph" w:styleId="16">
    <w:name w:val="toc 3"/>
    <w:basedOn w:val="1"/>
    <w:next w:val="1"/>
    <w:autoRedefine/>
    <w:unhideWhenUsed/>
    <w:uiPriority w:val="39"/>
    <w:pPr>
      <w:spacing w:after="100"/>
      <w:ind w:left="440"/>
    </w:pPr>
  </w:style>
  <w:style w:type="character" w:customStyle="1" w:styleId="17">
    <w:name w:val="Header Char"/>
    <w:basedOn w:val="8"/>
    <w:link w:val="11"/>
    <w:qFormat/>
    <w:uiPriority w:val="99"/>
  </w:style>
  <w:style w:type="character" w:customStyle="1" w:styleId="18">
    <w:name w:val="Footer Char"/>
    <w:basedOn w:val="8"/>
    <w:link w:val="10"/>
    <w:qFormat/>
    <w:uiPriority w:val="99"/>
  </w:style>
  <w:style w:type="character" w:customStyle="1" w:styleId="19">
    <w:name w:val="Unresolved Mention"/>
    <w:basedOn w:val="8"/>
    <w:semiHidden/>
    <w:unhideWhenUsed/>
    <w:qFormat/>
    <w:uiPriority w:val="99"/>
    <w:rPr>
      <w:color w:val="605E5C"/>
      <w:shd w:val="clear" w:color="auto" w:fill="E1DFDD"/>
    </w:rPr>
  </w:style>
  <w:style w:type="paragraph" w:customStyle="1" w:styleId="20">
    <w:name w:val="TOC Heading"/>
    <w:basedOn w:val="2"/>
    <w:next w:val="1"/>
    <w:unhideWhenUsed/>
    <w:qFormat/>
    <w:uiPriority w:val="39"/>
    <w:pPr>
      <w:keepNext/>
      <w:keepLines/>
      <w:spacing w:after="0" w:line="259" w:lineRule="auto"/>
      <w:jc w:val="left"/>
      <w:outlineLvl w:val="9"/>
    </w:pPr>
    <w:rPr>
      <w:rFonts w:asciiTheme="majorHAnsi" w:hAnsiTheme="majorHAnsi" w:eastAsiaTheme="majorEastAsia" w:cstheme="majorBidi"/>
      <w:b w:val="0"/>
      <w:color w:val="376092" w:themeColor="accent1" w:themeShade="BF"/>
      <w:sz w:val="32"/>
      <w:szCs w:val="32"/>
      <w:lang w:val="en-US" w:eastAsia="en-US"/>
    </w:rPr>
  </w:style>
</w:styles>
</file>

<file path=word/_rels/document.xml.rels><?xml version="1.0" encoding="UTF-8" standalone="yes"?>
<Relationships xmlns="http://schemas.openxmlformats.org/package/2006/relationships"><Relationship Id="rId9" Type="http://schemas.openxmlformats.org/officeDocument/2006/relationships/diagramQuickStyle" Target="diagrams/quickStyle1.xml"/><Relationship Id="rId8" Type="http://schemas.openxmlformats.org/officeDocument/2006/relationships/diagramLayout" Target="diagrams/layout1.xml"/><Relationship Id="rId7" Type="http://schemas.openxmlformats.org/officeDocument/2006/relationships/diagramData" Target="diagrams/data1.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customXml" Target="../customXml/item1.xml"/><Relationship Id="rId11" Type="http://schemas.microsoft.com/office/2007/relationships/diagramDrawing" Target="diagrams/drawing1.xml"/><Relationship Id="rId10" Type="http://schemas.openxmlformats.org/officeDocument/2006/relationships/diagramColors" Target="diagrams/colors1.xml"/><Relationship Id="rId1"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F3F420F1-C177-4E68-9BA1-C90C23E01484}" type="doc">
      <dgm:prSet loTypeId="urn:microsoft.com/office/officeart/2005/8/layout/vList6" loCatId="list" qsTypeId="urn:microsoft.com/office/officeart/2005/8/quickstyle/simple1" qsCatId="simple" csTypeId="urn:microsoft.com/office/officeart/2005/8/colors/accent1_2" csCatId="accent1" phldr="1"/>
      <dgm:spPr/>
      <dgm:t>
        <a:bodyPr/>
        <a:p>
          <a:endParaRPr lang="en-IN"/>
        </a:p>
      </dgm:t>
    </dgm:pt>
    <dgm:pt modelId="{D87B4F14-1FD9-4B6A-912A-4CD4DDAB378C}">
      <dgm:prSet phldrT="[Text]"/>
      <dgm:spPr/>
      <dgm:t>
        <a:bodyPr/>
        <a:p>
          <a:r>
            <a:rPr lang="en-IN" b="1" i="0" u="none"/>
            <a:t>Digital Transformation and Contactless Services</a:t>
          </a:r>
          <a:endParaRPr lang="en-IN"/>
        </a:p>
      </dgm:t>
    </dgm:pt>
    <dgm:pt modelId="{FBD090B1-49A0-47AC-9D9B-AC15E85533F7}" cxnId="{89BE9660-54FB-4E1F-BD98-F428CA93498F}" type="parTrans">
      <dgm:prSet/>
      <dgm:spPr/>
      <dgm:t>
        <a:bodyPr/>
        <a:p>
          <a:endParaRPr lang="en-IN"/>
        </a:p>
      </dgm:t>
    </dgm:pt>
    <dgm:pt modelId="{D372913C-B082-4234-ABDB-1C296839AA69}" cxnId="{89BE9660-54FB-4E1F-BD98-F428CA93498F}" type="sibTrans">
      <dgm:prSet/>
      <dgm:spPr/>
      <dgm:t>
        <a:bodyPr/>
        <a:p>
          <a:endParaRPr lang="en-IN"/>
        </a:p>
      </dgm:t>
    </dgm:pt>
    <dgm:pt modelId="{D587842F-B85A-47F3-B6FD-69C6D6EDF10A}">
      <dgm:prSet phldrT="[Text]"/>
      <dgm:spPr/>
      <dgm:t>
        <a:bodyPr/>
        <a:p>
          <a:r>
            <a:rPr lang="en-IN" b="0" i="0" u="none"/>
            <a:t>Hilton introduced the </a:t>
          </a:r>
          <a:r>
            <a:rPr lang="en-IN" b="1" i="0" u="none"/>
            <a:t>Thrive@Hilton program</a:t>
          </a:r>
          <a:r>
            <a:rPr lang="en-IN" b="0" i="0" u="none"/>
            <a:t> to support mental health, career growth, and flexible work arrangements. </a:t>
          </a:r>
          <a:endParaRPr lang="en-IN"/>
        </a:p>
      </dgm:t>
    </dgm:pt>
    <dgm:pt modelId="{2BDF954F-4D6B-4750-8F72-8563FEAB4E87}" cxnId="{CB3A508D-FEE4-4A41-B27D-6C853ADCB2EC}" type="parTrans">
      <dgm:prSet/>
      <dgm:spPr/>
      <dgm:t>
        <a:bodyPr/>
        <a:p>
          <a:endParaRPr lang="en-IN"/>
        </a:p>
      </dgm:t>
    </dgm:pt>
    <dgm:pt modelId="{E7DE4D2E-5B57-45CC-83B1-0F6993C206AC}" cxnId="{CB3A508D-FEE4-4A41-B27D-6C853ADCB2EC}" type="sibTrans">
      <dgm:prSet/>
      <dgm:spPr/>
      <dgm:t>
        <a:bodyPr/>
        <a:p>
          <a:endParaRPr lang="en-IN"/>
        </a:p>
      </dgm:t>
    </dgm:pt>
    <dgm:pt modelId="{035029D7-572A-42D0-A5D0-D7ADF8D3EA39}">
      <dgm:prSet phldrT="[Text]"/>
      <dgm:spPr/>
      <dgm:t>
        <a:bodyPr/>
        <a:p>
          <a:r>
            <a:rPr lang="en-IN" b="1" i="0" u="none"/>
            <a:t>Employee Well-being and Diversity Initiatives</a:t>
          </a:r>
          <a:endParaRPr lang="en-IN"/>
        </a:p>
      </dgm:t>
    </dgm:pt>
    <dgm:pt modelId="{CE09F702-EE3D-411F-A351-8B2C2B749269}" cxnId="{D372D383-6A79-44DB-A1D7-3459AB3E5902}" type="parTrans">
      <dgm:prSet/>
      <dgm:spPr/>
    </dgm:pt>
    <dgm:pt modelId="{7C5B23B6-4A12-428F-8A36-76C1ED14CD9B}" cxnId="{D372D383-6A79-44DB-A1D7-3459AB3E5902}" type="sibTrans">
      <dgm:prSet/>
      <dgm:spPr/>
    </dgm:pt>
    <dgm:pt modelId="{3AE26B1C-F648-48EA-8118-1E2890D591D3}">
      <dgm:prSet phldrT="[Text]"/>
      <dgm:spPr/>
      <dgm:t>
        <a:bodyPr/>
        <a:p>
          <a:r>
            <a:rPr lang="en-IN" b="0" i="0" u="none"/>
            <a:t>Hilton set ambitious environmental goals, including </a:t>
          </a:r>
          <a:r>
            <a:rPr lang="en-IN" b="1" i="0" u="none"/>
            <a:t>reducing carbon emissions by 61%, cutting water usage by 50%, and increasing waste diversion efforts</a:t>
          </a:r>
          <a:r>
            <a:rPr lang="en-IN" b="0" i="0" u="none"/>
            <a:t>. </a:t>
          </a:r>
          <a:endParaRPr lang="en-IN"/>
        </a:p>
      </dgm:t>
    </dgm:pt>
    <dgm:pt modelId="{E55155A8-40CC-4824-AB56-83A42F030547}" cxnId="{69F81A8A-996E-4484-8BD8-A0FA43298326}" type="sibTrans">
      <dgm:prSet/>
      <dgm:spPr/>
      <dgm:t>
        <a:bodyPr/>
        <a:p>
          <a:endParaRPr lang="en-IN"/>
        </a:p>
      </dgm:t>
    </dgm:pt>
    <dgm:pt modelId="{0454D7E3-78FC-4E61-835A-90360F676607}" cxnId="{69F81A8A-996E-4484-8BD8-A0FA43298326}" type="parTrans">
      <dgm:prSet/>
      <dgm:spPr/>
      <dgm:t>
        <a:bodyPr/>
        <a:p>
          <a:endParaRPr lang="en-IN"/>
        </a:p>
      </dgm:t>
    </dgm:pt>
    <dgm:pt modelId="{4B55E0A6-F752-44D2-AE5C-8F0CBCBAC676}">
      <dgm:prSet phldrT="[Text]"/>
      <dgm:spPr/>
      <dgm:t>
        <a:bodyPr/>
        <a:p>
          <a:r>
            <a:rPr lang="en-IN" b="1" i="0" u="none"/>
            <a:t>Sustainability Commitment through the 2030 Travel with Purpose Program</a:t>
          </a:r>
        </a:p>
        <a:p>
          <a:endParaRPr lang="en-IN"/>
        </a:p>
      </dgm:t>
    </dgm:pt>
    <dgm:pt modelId="{E95A08E6-FCB3-4B20-A14E-8146A4FC912C}" cxnId="{5EA11AC0-EA94-4742-98F9-892402C38A14}" type="parTrans">
      <dgm:prSet/>
      <dgm:spPr/>
    </dgm:pt>
    <dgm:pt modelId="{54C02932-5C6A-42F2-8F43-F143F228F288}" cxnId="{5EA11AC0-EA94-4742-98F9-892402C38A14}" type="sibTrans">
      <dgm:prSet/>
      <dgm:spPr/>
    </dgm:pt>
    <dgm:pt modelId="{78528407-28AF-4A58-94A6-23DDECA145AF}">
      <dgm:prSet/>
      <dgm:spPr/>
      <dgm:t>
        <a:bodyPr/>
        <a:p>
          <a:r>
            <a:rPr lang="en-IN" b="0" i="0" u="none"/>
            <a:t>Hilton expanded its digital services by enhancing the </a:t>
          </a:r>
          <a:r>
            <a:rPr lang="en-IN" b="1" i="0" u="none"/>
            <a:t>Hilton Honors mobile app</a:t>
          </a:r>
          <a:r>
            <a:rPr lang="en-IN" b="0" i="0" u="none"/>
            <a:t>, enabling </a:t>
          </a:r>
          <a:r>
            <a:rPr lang="en-IN" b="1" i="0" u="none"/>
            <a:t>digital check-in, room selection, and keyless entry</a:t>
          </a:r>
          <a:r>
            <a:rPr lang="en-IN" b="0" i="0" u="none"/>
            <a:t>. </a:t>
          </a:r>
          <a:endParaRPr lang="en-IN"/>
        </a:p>
      </dgm:t>
    </dgm:pt>
    <dgm:pt modelId="{DA99D285-248A-42B1-98CC-6C3AD95B90A6}" cxnId="{5BF6B8A4-604D-4E42-9C62-56D0871BC925}" type="parTrans">
      <dgm:prSet/>
      <dgm:spPr/>
    </dgm:pt>
    <dgm:pt modelId="{B27C2894-E3D4-45ED-A805-51F4796316FE}" cxnId="{5BF6B8A4-604D-4E42-9C62-56D0871BC925}" type="sibTrans">
      <dgm:prSet/>
      <dgm:spPr/>
    </dgm:pt>
    <dgm:pt modelId="{63193984-C173-45D0-9133-AE3F335F9AAD}" type="pres">
      <dgm:prSet presAssocID="{F3F420F1-C177-4E68-9BA1-C90C23E01484}" presName="Name0" presStyleCnt="0">
        <dgm:presLayoutVars>
          <dgm:dir/>
          <dgm:animLvl val="lvl"/>
          <dgm:resizeHandles/>
        </dgm:presLayoutVars>
      </dgm:prSet>
      <dgm:spPr/>
    </dgm:pt>
    <dgm:pt modelId="{8159233D-69B5-4EEF-A5A9-DE5C5B364F29}" type="pres">
      <dgm:prSet presAssocID="{D87B4F14-1FD9-4B6A-912A-4CD4DDAB378C}" presName="linNode" presStyleCnt="0"/>
      <dgm:spPr/>
    </dgm:pt>
    <dgm:pt modelId="{80579396-269B-444F-8D87-41CE3CE9AB84}" type="pres">
      <dgm:prSet presAssocID="{D87B4F14-1FD9-4B6A-912A-4CD4DDAB378C}" presName="parentShp" presStyleLbl="node1" presStyleIdx="0" presStyleCnt="3">
        <dgm:presLayoutVars>
          <dgm:bulletEnabled val="1"/>
        </dgm:presLayoutVars>
      </dgm:prSet>
      <dgm:spPr/>
    </dgm:pt>
    <dgm:pt modelId="{91C1BC77-3476-4A45-8C99-E812DC7F2EED}" type="pres">
      <dgm:prSet presAssocID="{D87B4F14-1FD9-4B6A-912A-4CD4DDAB378C}" presName="childShp" presStyleLbl="bgAccFollowNode1" presStyleIdx="0" presStyleCnt="3">
        <dgm:presLayoutVars>
          <dgm:bulletEnabled val="1"/>
        </dgm:presLayoutVars>
      </dgm:prSet>
      <dgm:spPr/>
    </dgm:pt>
    <dgm:pt modelId="{F480D2B7-9D2B-4913-8501-92DA38184148}" type="pres">
      <dgm:prSet presAssocID="{D372913C-B082-4234-ABDB-1C296839AA69}" presName="spacing" presStyleCnt="0"/>
      <dgm:spPr/>
    </dgm:pt>
    <dgm:pt modelId="{970D1FE0-F46A-4BD4-A0A6-01FA83713544}" type="pres">
      <dgm:prSet presAssocID="{4B55E0A6-F752-44D2-AE5C-8F0CBCBAC676}" presName="linNode" presStyleCnt="0"/>
      <dgm:spPr/>
    </dgm:pt>
    <dgm:pt modelId="{498F9E93-9332-4AF6-82E8-F01839F2EF82}" type="pres">
      <dgm:prSet presAssocID="{4B55E0A6-F752-44D2-AE5C-8F0CBCBAC676}" presName="parentShp" presStyleLbl="node1" presStyleIdx="1" presStyleCnt="3">
        <dgm:presLayoutVars>
          <dgm:bulletEnabled val="1"/>
        </dgm:presLayoutVars>
      </dgm:prSet>
      <dgm:spPr/>
    </dgm:pt>
    <dgm:pt modelId="{2D147986-4180-4B4C-9E2E-55A94B10C13D}" type="pres">
      <dgm:prSet presAssocID="{4B55E0A6-F752-44D2-AE5C-8F0CBCBAC676}" presName="childShp" presStyleLbl="bgAccFollowNode1" presStyleIdx="1" presStyleCnt="3">
        <dgm:presLayoutVars>
          <dgm:bulletEnabled val="1"/>
        </dgm:presLayoutVars>
      </dgm:prSet>
      <dgm:spPr/>
    </dgm:pt>
    <dgm:pt modelId="{393EADE9-1AE8-4021-847F-516D3A9FC1A5}" type="pres">
      <dgm:prSet presAssocID="{54C02932-5C6A-42F2-8F43-F143F228F288}" presName="spacing" presStyleCnt="0"/>
      <dgm:spPr/>
    </dgm:pt>
    <dgm:pt modelId="{E3B68BE7-54CA-4AC8-890C-FD59D670A9AE}" type="pres">
      <dgm:prSet presAssocID="{035029D7-572A-42D0-A5D0-D7ADF8D3EA39}" presName="linNode" presStyleCnt="0"/>
      <dgm:spPr/>
    </dgm:pt>
    <dgm:pt modelId="{292ECD72-83F8-435F-BF9E-7AF958F08827}" type="pres">
      <dgm:prSet presAssocID="{035029D7-572A-42D0-A5D0-D7ADF8D3EA39}" presName="parentShp" presStyleLbl="node1" presStyleIdx="2" presStyleCnt="3">
        <dgm:presLayoutVars>
          <dgm:bulletEnabled val="1"/>
        </dgm:presLayoutVars>
      </dgm:prSet>
      <dgm:spPr/>
    </dgm:pt>
    <dgm:pt modelId="{5036CF8F-FD8C-471D-82D6-8CB21F241509}" type="pres">
      <dgm:prSet presAssocID="{035029D7-572A-42D0-A5D0-D7ADF8D3EA39}" presName="childShp" presStyleLbl="bgAccFollowNode1" presStyleIdx="2" presStyleCnt="3">
        <dgm:presLayoutVars>
          <dgm:bulletEnabled val="1"/>
        </dgm:presLayoutVars>
      </dgm:prSet>
      <dgm:spPr/>
    </dgm:pt>
  </dgm:ptLst>
  <dgm:cxnLst>
    <dgm:cxn modelId="{9BB83F37-59AB-4D67-80EB-7D4939594232}" type="presOf" srcId="{F3F420F1-C177-4E68-9BA1-C90C23E01484}" destId="{63193984-C173-45D0-9133-AE3F335F9AAD}" srcOrd="0" destOrd="0" presId="urn:microsoft.com/office/officeart/2005/8/layout/vList6"/>
    <dgm:cxn modelId="{89BE9660-54FB-4E1F-BD98-F428CA93498F}" srcId="{F3F420F1-C177-4E68-9BA1-C90C23E01484}" destId="{D87B4F14-1FD9-4B6A-912A-4CD4DDAB378C}" srcOrd="0" destOrd="0" parTransId="{FBD090B1-49A0-47AC-9D9B-AC15E85533F7}" sibTransId="{D372913C-B082-4234-ABDB-1C296839AA69}"/>
    <dgm:cxn modelId="{D372D383-6A79-44DB-A1D7-3459AB3E5902}" srcId="{F3F420F1-C177-4E68-9BA1-C90C23E01484}" destId="{035029D7-572A-42D0-A5D0-D7ADF8D3EA39}" srcOrd="2" destOrd="0" parTransId="{CE09F702-EE3D-411F-A351-8B2C2B749269}" sibTransId="{7C5B23B6-4A12-428F-8A36-76C1ED14CD9B}"/>
    <dgm:cxn modelId="{69F81A8A-996E-4484-8BD8-A0FA43298326}" srcId="{4B55E0A6-F752-44D2-AE5C-8F0CBCBAC676}" destId="{3AE26B1C-F648-48EA-8118-1E2890D591D3}" srcOrd="0" destOrd="0" parTransId="{0454D7E3-78FC-4E61-835A-90360F676607}" sibTransId="{E55155A8-40CC-4824-AB56-83A42F030547}"/>
    <dgm:cxn modelId="{CB3A508D-FEE4-4A41-B27D-6C853ADCB2EC}" srcId="{035029D7-572A-42D0-A5D0-D7ADF8D3EA39}" destId="{D587842F-B85A-47F3-B6FD-69C6D6EDF10A}" srcOrd="0" destOrd="0" parTransId="{2BDF954F-4D6B-4750-8F72-8563FEAB4E87}" sibTransId="{E7DE4D2E-5B57-45CC-83B1-0F6993C206AC}"/>
    <dgm:cxn modelId="{5BF6B8A4-604D-4E42-9C62-56D0871BC925}" srcId="{D87B4F14-1FD9-4B6A-912A-4CD4DDAB378C}" destId="{78528407-28AF-4A58-94A6-23DDECA145AF}" srcOrd="0" destOrd="0" parTransId="{DA99D285-248A-42B1-98CC-6C3AD95B90A6}" sibTransId="{B27C2894-E3D4-45ED-A805-51F4796316FE}"/>
    <dgm:cxn modelId="{5EA11AC0-EA94-4742-98F9-892402C38A14}" srcId="{F3F420F1-C177-4E68-9BA1-C90C23E01484}" destId="{4B55E0A6-F752-44D2-AE5C-8F0CBCBAC676}" srcOrd="1" destOrd="0" parTransId="{E95A08E6-FCB3-4B20-A14E-8146A4FC912C}" sibTransId="{54C02932-5C6A-42F2-8F43-F143F228F288}"/>
    <dgm:cxn modelId="{C17DE9C3-4775-4848-AEB9-2992B80BE633}" type="presOf" srcId="{D587842F-B85A-47F3-B6FD-69C6D6EDF10A}" destId="{5036CF8F-FD8C-471D-82D6-8CB21F241509}" srcOrd="0" destOrd="0" presId="urn:microsoft.com/office/officeart/2005/8/layout/vList6"/>
    <dgm:cxn modelId="{63C71AC8-D4A1-455C-AE53-E6EEFE9C2560}" type="presOf" srcId="{4B55E0A6-F752-44D2-AE5C-8F0CBCBAC676}" destId="{498F9E93-9332-4AF6-82E8-F01839F2EF82}" srcOrd="0" destOrd="0" presId="urn:microsoft.com/office/officeart/2005/8/layout/vList6"/>
    <dgm:cxn modelId="{728004CB-CAB0-4389-8A94-E4662894C199}" type="presOf" srcId="{3AE26B1C-F648-48EA-8118-1E2890D591D3}" destId="{2D147986-4180-4B4C-9E2E-55A94B10C13D}" srcOrd="0" destOrd="0" presId="urn:microsoft.com/office/officeart/2005/8/layout/vList6"/>
    <dgm:cxn modelId="{3090BEEB-3111-40BE-A1A3-5FE31F782F49}" type="presOf" srcId="{78528407-28AF-4A58-94A6-23DDECA145AF}" destId="{91C1BC77-3476-4A45-8C99-E812DC7F2EED}" srcOrd="0" destOrd="0" presId="urn:microsoft.com/office/officeart/2005/8/layout/vList6"/>
    <dgm:cxn modelId="{62B93AF9-0D4F-4F26-89F9-D0C0E62BD20A}" type="presOf" srcId="{035029D7-572A-42D0-A5D0-D7ADF8D3EA39}" destId="{292ECD72-83F8-435F-BF9E-7AF958F08827}" srcOrd="0" destOrd="0" presId="urn:microsoft.com/office/officeart/2005/8/layout/vList6"/>
    <dgm:cxn modelId="{1A33D6FD-A07D-42D0-AB24-3BEFA796FA3B}" type="presOf" srcId="{D87B4F14-1FD9-4B6A-912A-4CD4DDAB378C}" destId="{80579396-269B-444F-8D87-41CE3CE9AB84}" srcOrd="0" destOrd="0" presId="urn:microsoft.com/office/officeart/2005/8/layout/vList6"/>
    <dgm:cxn modelId="{3BC98463-7C40-4AE9-B981-81C604742B86}" type="presParOf" srcId="{63193984-C173-45D0-9133-AE3F335F9AAD}" destId="{8159233D-69B5-4EEF-A5A9-DE5C5B364F29}" srcOrd="0" destOrd="0" presId="urn:microsoft.com/office/officeart/2005/8/layout/vList6"/>
    <dgm:cxn modelId="{BDB93681-538F-4C5A-B088-5BB67152F985}" type="presParOf" srcId="{8159233D-69B5-4EEF-A5A9-DE5C5B364F29}" destId="{80579396-269B-444F-8D87-41CE3CE9AB84}" srcOrd="0" destOrd="0" presId="urn:microsoft.com/office/officeart/2005/8/layout/vList6"/>
    <dgm:cxn modelId="{CB642295-B5F1-42CA-BECC-F3627B957AAC}" type="presParOf" srcId="{8159233D-69B5-4EEF-A5A9-DE5C5B364F29}" destId="{91C1BC77-3476-4A45-8C99-E812DC7F2EED}" srcOrd="1" destOrd="0" presId="urn:microsoft.com/office/officeart/2005/8/layout/vList6"/>
    <dgm:cxn modelId="{D2858168-8EB4-419C-AFCE-8F7395F12E2B}" type="presParOf" srcId="{63193984-C173-45D0-9133-AE3F335F9AAD}" destId="{F480D2B7-9D2B-4913-8501-92DA38184148}" srcOrd="1" destOrd="0" presId="urn:microsoft.com/office/officeart/2005/8/layout/vList6"/>
    <dgm:cxn modelId="{EECDFBB2-C463-4432-A390-B69EEF88D28D}" type="presParOf" srcId="{63193984-C173-45D0-9133-AE3F335F9AAD}" destId="{970D1FE0-F46A-4BD4-A0A6-01FA83713544}" srcOrd="2" destOrd="0" presId="urn:microsoft.com/office/officeart/2005/8/layout/vList6"/>
    <dgm:cxn modelId="{DCBE3D62-233B-43DA-8919-EF398EC3B9E4}" type="presParOf" srcId="{970D1FE0-F46A-4BD4-A0A6-01FA83713544}" destId="{498F9E93-9332-4AF6-82E8-F01839F2EF82}" srcOrd="0" destOrd="0" presId="urn:microsoft.com/office/officeart/2005/8/layout/vList6"/>
    <dgm:cxn modelId="{B3C9C34C-8DFD-4334-8054-950F77876C69}" type="presParOf" srcId="{970D1FE0-F46A-4BD4-A0A6-01FA83713544}" destId="{2D147986-4180-4B4C-9E2E-55A94B10C13D}" srcOrd="1" destOrd="0" presId="urn:microsoft.com/office/officeart/2005/8/layout/vList6"/>
    <dgm:cxn modelId="{6EABCA52-A3B0-4B24-9C71-EB763F9E63AB}" type="presParOf" srcId="{63193984-C173-45D0-9133-AE3F335F9AAD}" destId="{393EADE9-1AE8-4021-847F-516D3A9FC1A5}" srcOrd="3" destOrd="0" presId="urn:microsoft.com/office/officeart/2005/8/layout/vList6"/>
    <dgm:cxn modelId="{F211047A-4409-40DE-BCBA-37D15764AA0D}" type="presParOf" srcId="{63193984-C173-45D0-9133-AE3F335F9AAD}" destId="{E3B68BE7-54CA-4AC8-890C-FD59D670A9AE}" srcOrd="4" destOrd="0" presId="urn:microsoft.com/office/officeart/2005/8/layout/vList6"/>
    <dgm:cxn modelId="{ED4ED3DD-9F79-48F4-B454-D90AA24BB018}" type="presParOf" srcId="{E3B68BE7-54CA-4AC8-890C-FD59D670A9AE}" destId="{292ECD72-83F8-435F-BF9E-7AF958F08827}" srcOrd="0" destOrd="0" presId="urn:microsoft.com/office/officeart/2005/8/layout/vList6"/>
    <dgm:cxn modelId="{1298CD1A-E6A4-42D1-9A18-01A74953A72F}" type="presParOf" srcId="{E3B68BE7-54CA-4AC8-890C-FD59D670A9AE}" destId="{5036CF8F-FD8C-471D-82D6-8CB21F241509}" srcOrd="1" destOrd="0" presId="urn:microsoft.com/office/officeart/2005/8/layout/vList6"/>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xmlns:r="http://schemas.openxmlformats.org/officeDocument/2006/relationships">
  <dsp:spTree>
    <dsp:nvGrpSpPr>
      <dsp:cNvPr id="2" name="Group 1"/>
      <dsp:cNvGrpSpPr/>
    </dsp:nvGrpSpPr>
    <dsp:grpSpPr>
      <a:xfrm>
        <a:off x="0" y="0"/>
        <a:ext cx="5486400" cy="3200400"/>
        <a:chOff x="0" y="0"/>
        <a:chExt cx="5486400" cy="3200400"/>
      </a:xfrm>
    </dsp:grpSpPr>
    <dsp:sp modelId="{91C1BC77-3476-4A45-8C99-E812DC7F2EED}">
      <dsp:nvSpPr>
        <dsp:cNvPr id="4" name="Right Arrow 3"/>
        <dsp:cNvSpPr/>
      </dsp:nvSpPr>
      <dsp:spPr bwMode="white">
        <a:xfrm>
          <a:off x="2194560" y="0"/>
          <a:ext cx="3291840" cy="1000125"/>
        </a:xfrm>
        <a:prstGeom prst="rightArrow">
          <a:avLst>
            <a:gd name="adj1" fmla="val 75000"/>
            <a:gd name="adj2" fmla="val 50000"/>
          </a:avLst>
        </a:prstGeom>
      </dsp:spPr>
      <dsp:style>
        <a:lnRef idx="2">
          <a:schemeClr val="accent1">
            <a:alpha val="90000"/>
            <a:tint val="40000"/>
          </a:schemeClr>
        </a:lnRef>
        <a:fillRef idx="1">
          <a:schemeClr val="accent1">
            <a:alpha val="90000"/>
            <a:tint val="40000"/>
          </a:schemeClr>
        </a:fillRef>
        <a:effectRef idx="0">
          <a:scrgbClr r="0" g="0" b="0"/>
        </a:effectRef>
        <a:fontRef idx="minor"/>
      </dsp:style>
      <dsp:txBody>
        <a:bodyPr lIns="7620" tIns="7620" rIns="7620" bIns="7620" anchor="t"/>
        <a:lstStyle>
          <a:lvl1pPr algn="l">
            <a:defRPr sz="1200"/>
          </a:lvl1pPr>
          <a:lvl2pPr marL="114300" indent="-114300" algn="l">
            <a:defRPr sz="1200"/>
          </a:lvl2pPr>
          <a:lvl3pPr marL="228600" indent="-114300" algn="l">
            <a:defRPr sz="1200"/>
          </a:lvl3pPr>
          <a:lvl4pPr marL="342900" indent="-114300" algn="l">
            <a:defRPr sz="1200"/>
          </a:lvl4pPr>
          <a:lvl5pPr marL="457200" indent="-114300" algn="l">
            <a:defRPr sz="1200"/>
          </a:lvl5pPr>
          <a:lvl6pPr marL="571500" indent="-114300" algn="l">
            <a:defRPr sz="1200"/>
          </a:lvl6pPr>
          <a:lvl7pPr marL="685800" indent="-114300" algn="l">
            <a:defRPr sz="1200"/>
          </a:lvl7pPr>
          <a:lvl8pPr marL="800100" indent="-114300" algn="l">
            <a:defRPr sz="1200"/>
          </a:lvl8pPr>
          <a:lvl9pPr marL="914400" indent="-114300" algn="l">
            <a:defRPr sz="1200"/>
          </a:lvl9pPr>
        </a:lstStyle>
        <a:p>
          <a:pPr lvl="1">
            <a:lnSpc>
              <a:spcPct val="100000"/>
            </a:lnSpc>
            <a:spcBef>
              <a:spcPct val="0"/>
            </a:spcBef>
            <a:spcAft>
              <a:spcPct val="15000"/>
            </a:spcAft>
            <a:buChar char="•"/>
          </a:pPr>
          <a:r>
            <a:rPr lang="en-IN" b="0" i="0" u="none">
              <a:solidFill>
                <a:schemeClr val="dk1"/>
              </a:solidFill>
            </a:rPr>
            <a:t>Hilton expanded its digital services by enhancing the </a:t>
          </a:r>
          <a:r>
            <a:rPr lang="en-IN" b="1" i="0" u="none">
              <a:solidFill>
                <a:schemeClr val="dk1"/>
              </a:solidFill>
            </a:rPr>
            <a:t>Hilton Honors mobile app</a:t>
          </a:r>
          <a:r>
            <a:rPr lang="en-IN" b="0" i="0" u="none">
              <a:solidFill>
                <a:schemeClr val="dk1"/>
              </a:solidFill>
            </a:rPr>
            <a:t>, enabling </a:t>
          </a:r>
          <a:r>
            <a:rPr lang="en-IN" b="1" i="0" u="none">
              <a:solidFill>
                <a:schemeClr val="dk1"/>
              </a:solidFill>
            </a:rPr>
            <a:t>digital check-in, room selection, and keyless entry</a:t>
          </a:r>
          <a:r>
            <a:rPr lang="en-IN" b="0" i="0" u="none">
              <a:solidFill>
                <a:schemeClr val="dk1"/>
              </a:solidFill>
            </a:rPr>
            <a:t>. </a:t>
          </a:r>
          <a:endParaRPr lang="en-IN">
            <a:solidFill>
              <a:schemeClr val="dk1"/>
            </a:solidFill>
          </a:endParaRPr>
        </a:p>
      </dsp:txBody>
      <dsp:txXfrm>
        <a:off x="2194560" y="0"/>
        <a:ext cx="3291840" cy="1000125"/>
      </dsp:txXfrm>
    </dsp:sp>
    <dsp:sp modelId="{80579396-269B-444F-8D87-41CE3CE9AB84}">
      <dsp:nvSpPr>
        <dsp:cNvPr id="3" name="Rounded Rectangle 2"/>
        <dsp:cNvSpPr/>
      </dsp:nvSpPr>
      <dsp:spPr bwMode="white">
        <a:xfrm>
          <a:off x="0" y="0"/>
          <a:ext cx="2194560" cy="1000125"/>
        </a:xfrm>
        <a:prstGeom prst="roundRect">
          <a:avLst/>
        </a:prstGeom>
      </dsp:spPr>
      <dsp:style>
        <a:lnRef idx="2">
          <a:schemeClr val="lt1"/>
        </a:lnRef>
        <a:fillRef idx="1">
          <a:schemeClr val="accent1"/>
        </a:fillRef>
        <a:effectRef idx="0">
          <a:scrgbClr r="0" g="0" b="0"/>
        </a:effectRef>
        <a:fontRef idx="minor">
          <a:schemeClr val="lt1"/>
        </a:fontRef>
      </dsp:style>
      <dsp:txBody>
        <a:bodyPr lIns="45719" tIns="22859" rIns="45719" bIns="22859" anchor="ctr"/>
        <a:lstStyle>
          <a:lvl1pPr algn="ctr">
            <a:defRPr sz="1200"/>
          </a:lvl1pPr>
          <a:lvl2pPr marL="57150" indent="-57150" algn="ctr">
            <a:defRPr sz="900"/>
          </a:lvl2pPr>
          <a:lvl3pPr marL="114300" indent="-57150" algn="ctr">
            <a:defRPr sz="900"/>
          </a:lvl3pPr>
          <a:lvl4pPr marL="171450" indent="-57150" algn="ctr">
            <a:defRPr sz="900"/>
          </a:lvl4pPr>
          <a:lvl5pPr marL="228600" indent="-57150" algn="ctr">
            <a:defRPr sz="900"/>
          </a:lvl5pPr>
          <a:lvl6pPr marL="285750" indent="-57150" algn="ctr">
            <a:defRPr sz="900"/>
          </a:lvl6pPr>
          <a:lvl7pPr marL="342900" indent="-57150" algn="ctr">
            <a:defRPr sz="900"/>
          </a:lvl7pPr>
          <a:lvl8pPr marL="400050" indent="-57150" algn="ctr">
            <a:defRPr sz="900"/>
          </a:lvl8pPr>
          <a:lvl9pPr marL="457200" indent="-57150" algn="ctr">
            <a:defRPr sz="900"/>
          </a:lvl9pPr>
        </a:lstStyle>
        <a:p>
          <a:pPr lvl="0">
            <a:lnSpc>
              <a:spcPct val="100000"/>
            </a:lnSpc>
            <a:spcBef>
              <a:spcPct val="0"/>
            </a:spcBef>
            <a:spcAft>
              <a:spcPct val="35000"/>
            </a:spcAft>
          </a:pPr>
          <a:r>
            <a:rPr lang="en-IN" b="1" i="0" u="none"/>
            <a:t>Digital Transformation and Contactless Services</a:t>
          </a:r>
          <a:endParaRPr lang="en-IN"/>
        </a:p>
      </dsp:txBody>
      <dsp:txXfrm>
        <a:off x="0" y="0"/>
        <a:ext cx="2194560" cy="1000125"/>
      </dsp:txXfrm>
    </dsp:sp>
    <dsp:sp modelId="{2D147986-4180-4B4C-9E2E-55A94B10C13D}">
      <dsp:nvSpPr>
        <dsp:cNvPr id="6" name="Right Arrow 5"/>
        <dsp:cNvSpPr/>
      </dsp:nvSpPr>
      <dsp:spPr bwMode="white">
        <a:xfrm>
          <a:off x="2194560" y="1100138"/>
          <a:ext cx="3291840" cy="1000125"/>
        </a:xfrm>
        <a:prstGeom prst="rightArrow">
          <a:avLst>
            <a:gd name="adj1" fmla="val 75000"/>
            <a:gd name="adj2" fmla="val 50000"/>
          </a:avLst>
        </a:prstGeom>
      </dsp:spPr>
      <dsp:style>
        <a:lnRef idx="2">
          <a:schemeClr val="accent1">
            <a:alpha val="90000"/>
            <a:tint val="40000"/>
          </a:schemeClr>
        </a:lnRef>
        <a:fillRef idx="1">
          <a:schemeClr val="accent1">
            <a:alpha val="90000"/>
            <a:tint val="40000"/>
          </a:schemeClr>
        </a:fillRef>
        <a:effectRef idx="0">
          <a:scrgbClr r="0" g="0" b="0"/>
        </a:effectRef>
        <a:fontRef idx="minor"/>
      </dsp:style>
      <dsp:txBody>
        <a:bodyPr lIns="7620" tIns="7620" rIns="7620" bIns="7620" anchor="t"/>
        <a:lstStyle>
          <a:lvl1pPr algn="l">
            <a:defRPr sz="1200"/>
          </a:lvl1pPr>
          <a:lvl2pPr marL="114300" indent="-114300" algn="l">
            <a:defRPr sz="1200"/>
          </a:lvl2pPr>
          <a:lvl3pPr marL="228600" indent="-114300" algn="l">
            <a:defRPr sz="1200"/>
          </a:lvl3pPr>
          <a:lvl4pPr marL="342900" indent="-114300" algn="l">
            <a:defRPr sz="1200"/>
          </a:lvl4pPr>
          <a:lvl5pPr marL="457200" indent="-114300" algn="l">
            <a:defRPr sz="1200"/>
          </a:lvl5pPr>
          <a:lvl6pPr marL="571500" indent="-114300" algn="l">
            <a:defRPr sz="1200"/>
          </a:lvl6pPr>
          <a:lvl7pPr marL="685800" indent="-114300" algn="l">
            <a:defRPr sz="1200"/>
          </a:lvl7pPr>
          <a:lvl8pPr marL="800100" indent="-114300" algn="l">
            <a:defRPr sz="1200"/>
          </a:lvl8pPr>
          <a:lvl9pPr marL="914400" indent="-114300" algn="l">
            <a:defRPr sz="1200"/>
          </a:lvl9pPr>
        </a:lstStyle>
        <a:p>
          <a:pPr lvl="1">
            <a:lnSpc>
              <a:spcPct val="100000"/>
            </a:lnSpc>
            <a:spcBef>
              <a:spcPct val="0"/>
            </a:spcBef>
            <a:spcAft>
              <a:spcPct val="15000"/>
            </a:spcAft>
            <a:buChar char="•"/>
          </a:pPr>
          <a:r>
            <a:rPr lang="en-IN" b="0" i="0" u="none">
              <a:solidFill>
                <a:schemeClr val="dk1"/>
              </a:solidFill>
            </a:rPr>
            <a:t>Hilton set ambitious environmental goals, including </a:t>
          </a:r>
          <a:r>
            <a:rPr lang="en-IN" b="1" i="0" u="none">
              <a:solidFill>
                <a:schemeClr val="dk1"/>
              </a:solidFill>
            </a:rPr>
            <a:t>reducing carbon emissions by 61%, cutting water usage by 50%, and increasing waste diversion efforts</a:t>
          </a:r>
          <a:r>
            <a:rPr lang="en-IN" b="0" i="0" u="none">
              <a:solidFill>
                <a:schemeClr val="dk1"/>
              </a:solidFill>
            </a:rPr>
            <a:t>. </a:t>
          </a:r>
          <a:endParaRPr lang="en-IN">
            <a:solidFill>
              <a:schemeClr val="dk1"/>
            </a:solidFill>
          </a:endParaRPr>
        </a:p>
      </dsp:txBody>
      <dsp:txXfrm>
        <a:off x="2194560" y="1100138"/>
        <a:ext cx="3291840" cy="1000125"/>
      </dsp:txXfrm>
    </dsp:sp>
    <dsp:sp modelId="{498F9E93-9332-4AF6-82E8-F01839F2EF82}">
      <dsp:nvSpPr>
        <dsp:cNvPr id="5" name="Rounded Rectangle 4"/>
        <dsp:cNvSpPr/>
      </dsp:nvSpPr>
      <dsp:spPr bwMode="white">
        <a:xfrm>
          <a:off x="0" y="1100138"/>
          <a:ext cx="2194560" cy="1000125"/>
        </a:xfrm>
        <a:prstGeom prst="roundRect">
          <a:avLst/>
        </a:prstGeom>
      </dsp:spPr>
      <dsp:style>
        <a:lnRef idx="2">
          <a:schemeClr val="lt1"/>
        </a:lnRef>
        <a:fillRef idx="1">
          <a:schemeClr val="accent1"/>
        </a:fillRef>
        <a:effectRef idx="0">
          <a:scrgbClr r="0" g="0" b="0"/>
        </a:effectRef>
        <a:fontRef idx="minor">
          <a:schemeClr val="lt1"/>
        </a:fontRef>
      </dsp:style>
      <dsp:txBody>
        <a:bodyPr lIns="45719" tIns="22859" rIns="45719" bIns="22859" anchor="ctr"/>
        <a:lstStyle>
          <a:lvl1pPr algn="ctr">
            <a:defRPr sz="1200"/>
          </a:lvl1pPr>
          <a:lvl2pPr marL="57150" indent="-57150" algn="ctr">
            <a:defRPr sz="900"/>
          </a:lvl2pPr>
          <a:lvl3pPr marL="114300" indent="-57150" algn="ctr">
            <a:defRPr sz="900"/>
          </a:lvl3pPr>
          <a:lvl4pPr marL="171450" indent="-57150" algn="ctr">
            <a:defRPr sz="900"/>
          </a:lvl4pPr>
          <a:lvl5pPr marL="228600" indent="-57150" algn="ctr">
            <a:defRPr sz="900"/>
          </a:lvl5pPr>
          <a:lvl6pPr marL="285750" indent="-57150" algn="ctr">
            <a:defRPr sz="900"/>
          </a:lvl6pPr>
          <a:lvl7pPr marL="342900" indent="-57150" algn="ctr">
            <a:defRPr sz="900"/>
          </a:lvl7pPr>
          <a:lvl8pPr marL="400050" indent="-57150" algn="ctr">
            <a:defRPr sz="900"/>
          </a:lvl8pPr>
          <a:lvl9pPr marL="457200" indent="-57150" algn="ctr">
            <a:defRPr sz="900"/>
          </a:lvl9pPr>
        </a:lstStyle>
        <a:p>
          <a:pPr lvl="0">
            <a:lnSpc>
              <a:spcPct val="100000"/>
            </a:lnSpc>
            <a:spcBef>
              <a:spcPct val="0"/>
            </a:spcBef>
            <a:spcAft>
              <a:spcPct val="35000"/>
            </a:spcAft>
          </a:pPr>
          <a:r>
            <a:rPr lang="en-IN" b="1" i="0" u="none"/>
            <a:t>Sustainability Commitment through the 2030 Travel with Purpose Program</a:t>
          </a:r>
          <a:endParaRPr lang="en-IN" b="1" i="0" u="none"/>
        </a:p>
        <a:p>
          <a:pPr lvl="0">
            <a:lnSpc>
              <a:spcPct val="100000"/>
            </a:lnSpc>
            <a:spcBef>
              <a:spcPct val="0"/>
            </a:spcBef>
            <a:spcAft>
              <a:spcPct val="35000"/>
            </a:spcAft>
          </a:pPr>
          <a:endParaRPr lang="en-IN"/>
        </a:p>
      </dsp:txBody>
      <dsp:txXfrm>
        <a:off x="0" y="1100138"/>
        <a:ext cx="2194560" cy="1000125"/>
      </dsp:txXfrm>
    </dsp:sp>
    <dsp:sp modelId="{5036CF8F-FD8C-471D-82D6-8CB21F241509}">
      <dsp:nvSpPr>
        <dsp:cNvPr id="8" name="Right Arrow 7"/>
        <dsp:cNvSpPr/>
      </dsp:nvSpPr>
      <dsp:spPr bwMode="white">
        <a:xfrm>
          <a:off x="2194560" y="2200275"/>
          <a:ext cx="3291840" cy="1000125"/>
        </a:xfrm>
        <a:prstGeom prst="rightArrow">
          <a:avLst>
            <a:gd name="adj1" fmla="val 75000"/>
            <a:gd name="adj2" fmla="val 50000"/>
          </a:avLst>
        </a:prstGeom>
      </dsp:spPr>
      <dsp:style>
        <a:lnRef idx="2">
          <a:schemeClr val="accent1">
            <a:alpha val="90000"/>
            <a:tint val="40000"/>
          </a:schemeClr>
        </a:lnRef>
        <a:fillRef idx="1">
          <a:schemeClr val="accent1">
            <a:alpha val="90000"/>
            <a:tint val="40000"/>
          </a:schemeClr>
        </a:fillRef>
        <a:effectRef idx="0">
          <a:scrgbClr r="0" g="0" b="0"/>
        </a:effectRef>
        <a:fontRef idx="minor"/>
      </dsp:style>
      <dsp:txBody>
        <a:bodyPr lIns="7620" tIns="7620" rIns="7620" bIns="7620" anchor="t"/>
        <a:lstStyle>
          <a:lvl1pPr algn="l">
            <a:defRPr sz="1200"/>
          </a:lvl1pPr>
          <a:lvl2pPr marL="114300" indent="-114300" algn="l">
            <a:defRPr sz="1200"/>
          </a:lvl2pPr>
          <a:lvl3pPr marL="228600" indent="-114300" algn="l">
            <a:defRPr sz="1200"/>
          </a:lvl3pPr>
          <a:lvl4pPr marL="342900" indent="-114300" algn="l">
            <a:defRPr sz="1200"/>
          </a:lvl4pPr>
          <a:lvl5pPr marL="457200" indent="-114300" algn="l">
            <a:defRPr sz="1200"/>
          </a:lvl5pPr>
          <a:lvl6pPr marL="571500" indent="-114300" algn="l">
            <a:defRPr sz="1200"/>
          </a:lvl6pPr>
          <a:lvl7pPr marL="685800" indent="-114300" algn="l">
            <a:defRPr sz="1200"/>
          </a:lvl7pPr>
          <a:lvl8pPr marL="800100" indent="-114300" algn="l">
            <a:defRPr sz="1200"/>
          </a:lvl8pPr>
          <a:lvl9pPr marL="914400" indent="-114300" algn="l">
            <a:defRPr sz="1200"/>
          </a:lvl9pPr>
        </a:lstStyle>
        <a:p>
          <a:pPr lvl="1">
            <a:lnSpc>
              <a:spcPct val="100000"/>
            </a:lnSpc>
            <a:spcBef>
              <a:spcPct val="0"/>
            </a:spcBef>
            <a:spcAft>
              <a:spcPct val="15000"/>
            </a:spcAft>
            <a:buChar char="•"/>
          </a:pPr>
          <a:r>
            <a:rPr lang="en-IN" b="0" i="0" u="none">
              <a:solidFill>
                <a:schemeClr val="dk1"/>
              </a:solidFill>
            </a:rPr>
            <a:t>Hilton introduced the </a:t>
          </a:r>
          <a:r>
            <a:rPr lang="en-IN" b="1" i="0" u="none">
              <a:solidFill>
                <a:schemeClr val="dk1"/>
              </a:solidFill>
            </a:rPr>
            <a:t>Thrive@Hilton program</a:t>
          </a:r>
          <a:r>
            <a:rPr lang="en-IN" b="0" i="0" u="none">
              <a:solidFill>
                <a:schemeClr val="dk1"/>
              </a:solidFill>
            </a:rPr>
            <a:t> to support mental health, career growth, and flexible work arrangements. </a:t>
          </a:r>
          <a:endParaRPr lang="en-IN">
            <a:solidFill>
              <a:schemeClr val="dk1"/>
            </a:solidFill>
          </a:endParaRPr>
        </a:p>
      </dsp:txBody>
      <dsp:txXfrm>
        <a:off x="2194560" y="2200275"/>
        <a:ext cx="3291840" cy="1000125"/>
      </dsp:txXfrm>
    </dsp:sp>
    <dsp:sp modelId="{292ECD72-83F8-435F-BF9E-7AF958F08827}">
      <dsp:nvSpPr>
        <dsp:cNvPr id="7" name="Rounded Rectangle 6"/>
        <dsp:cNvSpPr/>
      </dsp:nvSpPr>
      <dsp:spPr bwMode="white">
        <a:xfrm>
          <a:off x="0" y="2200275"/>
          <a:ext cx="2194560" cy="1000125"/>
        </a:xfrm>
        <a:prstGeom prst="roundRect">
          <a:avLst/>
        </a:prstGeom>
      </dsp:spPr>
      <dsp:style>
        <a:lnRef idx="2">
          <a:schemeClr val="lt1"/>
        </a:lnRef>
        <a:fillRef idx="1">
          <a:schemeClr val="accent1"/>
        </a:fillRef>
        <a:effectRef idx="0">
          <a:scrgbClr r="0" g="0" b="0"/>
        </a:effectRef>
        <a:fontRef idx="minor">
          <a:schemeClr val="lt1"/>
        </a:fontRef>
      </dsp:style>
      <dsp:txBody>
        <a:bodyPr lIns="45719" tIns="22859" rIns="45719" bIns="22859" anchor="ctr"/>
        <a:lstStyle>
          <a:lvl1pPr algn="ctr">
            <a:defRPr sz="1200"/>
          </a:lvl1pPr>
          <a:lvl2pPr marL="57150" indent="-57150" algn="ctr">
            <a:defRPr sz="900"/>
          </a:lvl2pPr>
          <a:lvl3pPr marL="114300" indent="-57150" algn="ctr">
            <a:defRPr sz="900"/>
          </a:lvl3pPr>
          <a:lvl4pPr marL="171450" indent="-57150" algn="ctr">
            <a:defRPr sz="900"/>
          </a:lvl4pPr>
          <a:lvl5pPr marL="228600" indent="-57150" algn="ctr">
            <a:defRPr sz="900"/>
          </a:lvl5pPr>
          <a:lvl6pPr marL="285750" indent="-57150" algn="ctr">
            <a:defRPr sz="900"/>
          </a:lvl6pPr>
          <a:lvl7pPr marL="342900" indent="-57150" algn="ctr">
            <a:defRPr sz="900"/>
          </a:lvl7pPr>
          <a:lvl8pPr marL="400050" indent="-57150" algn="ctr">
            <a:defRPr sz="900"/>
          </a:lvl8pPr>
          <a:lvl9pPr marL="457200" indent="-57150" algn="ctr">
            <a:defRPr sz="900"/>
          </a:lvl9pPr>
        </a:lstStyle>
        <a:p>
          <a:pPr lvl="0">
            <a:lnSpc>
              <a:spcPct val="100000"/>
            </a:lnSpc>
            <a:spcBef>
              <a:spcPct val="0"/>
            </a:spcBef>
            <a:spcAft>
              <a:spcPct val="35000"/>
            </a:spcAft>
          </a:pPr>
          <a:r>
            <a:rPr lang="en-IN" b="1" i="0" u="none"/>
            <a:t>Employee Well-being and Diversity Initiatives</a:t>
          </a:r>
          <a:endParaRPr lang="en-IN"/>
        </a:p>
      </dsp:txBody>
      <dsp:txXfrm>
        <a:off x="0" y="2200275"/>
        <a:ext cx="2194560" cy="1000125"/>
      </dsp:txXfrm>
    </dsp:sp>
  </dsp:spTree>
</dsp:drawing>
</file>

<file path=word/diagrams/layout1.xml><?xml version="1.0" encoding="utf-8"?>
<dgm:layoutDef xmlns:dgm="http://schemas.openxmlformats.org/drawingml/2006/diagram" xmlns:a="http://schemas.openxmlformats.org/drawingml/2006/main" uniqueId="urn:microsoft.com/office/officeart/2005/8/layout/vList6">
  <dgm:title val=""/>
  <dgm:desc val=""/>
  <dgm:catLst>
    <dgm:cat type="process" pri="22000"/>
    <dgm:cat type="list" pri="1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dgm:varLst>
    <dgm:alg type="lin">
      <dgm:param type="linDir" val="fromT"/>
    </dgm:alg>
    <dgm:shape xmlns:r="http://schemas.openxmlformats.org/officeDocument/2006/relationships" r:blip="">
      <dgm:adjLst/>
    </dgm:shape>
    <dgm:presOf/>
    <dgm:constrLst>
      <dgm:constr type="w" for="ch" forName="linNode" refType="w"/>
      <dgm:constr type="h" for="ch" forName="linNode" refType="h"/>
      <dgm:constr type="h" for="ch" forName="spacing" refType="h" refFor="ch" refForName="linNode" fact="0.1"/>
      <dgm:constr type="primFontSz" for="des" forName="parentShp" op="equ" val="65"/>
      <dgm:constr type="primFontSz" for="des" forName="childShp" op="equ" val="65"/>
    </dgm:constrLst>
    <dgm:ruleLst/>
    <dgm:forEach name="Name1" axis="ch" ptType="node">
      <dgm:layoutNode name="linNode">
        <dgm:choose name="Name2">
          <dgm:if name="Name3" func="var" arg="dir" op="equ" val="norm">
            <dgm:alg type="lin">
              <dgm:param type="linDir" val="fromL"/>
            </dgm:alg>
          </dgm:if>
          <dgm:else name="Name4">
            <dgm:alg type="lin">
              <dgm:param type="linDir" val="fromR"/>
            </dgm:alg>
          </dgm:else>
        </dgm:choose>
        <dgm:shape xmlns:r="http://schemas.openxmlformats.org/officeDocument/2006/relationships" r:blip="">
          <dgm:adjLst/>
        </dgm:shape>
        <dgm:presOf/>
        <dgm:choose name="Name5">
          <dgm:if name="Name6" func="var" arg="dir" op="equ" val="norm">
            <dgm:constrLst>
              <dgm:constr type="w" for="ch" forName="parentShp" refType="w" fact="0.4"/>
              <dgm:constr type="h" for="ch" forName="parentShp" refType="h"/>
              <dgm:constr type="w" for="ch" forName="childShp" refType="w" fact="0.6"/>
              <dgm:constr type="h" for="ch" forName="childShp" refType="h" refFor="ch" refForName="parentShp"/>
            </dgm:constrLst>
          </dgm:if>
          <dgm:else name="Name7">
            <dgm:constrLst>
              <dgm:constr type="w" for="ch" forName="parentShp" refType="w" fact="0.4"/>
              <dgm:constr type="h" for="ch" forName="parentShp" refType="h"/>
              <dgm:constr type="w" for="ch" forName="childShp" refType="w" fact="0.6"/>
              <dgm:constr type="h" for="ch" forName="childShp" refType="h" refFor="ch" refForName="parentShp"/>
            </dgm:constrLst>
          </dgm:else>
        </dgm:choose>
        <dgm:ruleLst/>
        <dgm:layoutNode name="parentShp" styleLbl="node1">
          <dgm:varLst>
            <dgm:bulletEnabled val="1"/>
          </dgm:varLst>
          <dgm:alg type="tx"/>
          <dgm:shape xmlns:r="http://schemas.openxmlformats.org/officeDocument/2006/relationships" type="roundRect" r:blip="">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layoutNode name="childShp" styleLbl="bgAccFollowNode1">
          <dgm:varLst>
            <dgm:bulletEnabled val="1"/>
          </dgm:varLst>
          <dgm:alg type="tx">
            <dgm:param type="stBulletLvl" val="1"/>
          </dgm:alg>
          <dgm:choose name="Name8">
            <dgm:if name="Name9" func="var" arg="dir" op="equ" val="norm">
              <dgm:shape xmlns:r="http://schemas.openxmlformats.org/officeDocument/2006/relationships" type="rightArrow" r:blip="" zOrderOff="-2">
                <dgm:adjLst>
                  <dgm:adj idx="1" val="0.75"/>
                </dgm:adjLst>
              </dgm:shape>
            </dgm:if>
            <dgm:else name="Name10">
              <dgm:shape xmlns:r="http://schemas.openxmlformats.org/officeDocument/2006/relationships" type="rightArrow" r:blip="" rot="180" zOrderOff="-2">
                <dgm:adjLst>
                  <dgm:adj idx="1" val="0.75"/>
                </dgm:adjLst>
              </dgm:shape>
            </dgm:else>
          </dgm:choose>
          <dgm:presOf axis="des" ptType="node"/>
          <dgm:constrLst>
            <dgm:constr type="secFontSz" refType="primFontSz"/>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forEach name="Name11" axis="followSib" ptType="sibTrans" cnt="1">
        <dgm:layoutNode name="spacing">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A758F5-3511-449A-AF09-5BFC4ADD58E7}">
  <ds:schemaRefs/>
</ds:datastoreItem>
</file>

<file path=docProps/app.xml><?xml version="1.0" encoding="utf-8"?>
<Properties xmlns="http://schemas.openxmlformats.org/officeDocument/2006/extended-properties" xmlns:vt="http://schemas.openxmlformats.org/officeDocument/2006/docPropsVTypes">
  <Template>Normal</Template>
  <Pages>12</Pages>
  <Words>3053</Words>
  <Characters>17404</Characters>
  <Lines>145</Lines>
  <Paragraphs>40</Paragraphs>
  <TotalTime>0</TotalTime>
  <ScaleCrop>false</ScaleCrop>
  <LinksUpToDate>false</LinksUpToDate>
  <CharactersWithSpaces>20417</CharactersWithSpaces>
  <Application>WPS Office_12.2.0.19805_F1E327BC-269C-435d-A152-05C5408002CA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2025-02-06T11:22:00Z</dcterms:created>
  <dc:creator>DEBLINA</dc:creator>
  <cp:lastModifiedBy>i study</cp:lastModifiedBy>
  <dcterms:modified xsi:type="dcterms:W3CDTF">2025-02-06T18:28:49Z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2057-12.2.0.19805</vt:lpwstr>
  </property>
  <property fmtid="{D5CDD505-2E9C-101B-9397-08002B2CF9AE}" pid="3" name="ICV">
    <vt:lpwstr>0A2EB5F8E6DF494BAD0083E3119BF66C_12</vt:lpwstr>
  </property>
</Properties>
</file>