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24B68F" w14:textId="3E648FE6"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Student name: </w:t>
      </w:r>
      <w:r w:rsidR="00B05648" w:rsidRPr="0080512E">
        <w:rPr>
          <w:rFonts w:ascii="Arial" w:eastAsia="Times New Roman" w:hAnsi="Arial" w:cs="Arial"/>
          <w:color w:val="000000" w:themeColor="text1"/>
          <w:kern w:val="0"/>
          <w:sz w:val="22"/>
          <w:szCs w:val="22"/>
          <w:lang w:eastAsia="en-GB"/>
          <w14:ligatures w14:val="none"/>
        </w:rPr>
        <w:t>Florence Chijioke Oguledo</w:t>
      </w:r>
      <w:r w:rsidRPr="0080512E">
        <w:rPr>
          <w:rFonts w:ascii="Arial" w:eastAsia="Times New Roman" w:hAnsi="Arial" w:cs="Arial"/>
          <w:color w:val="000000" w:themeColor="text1"/>
          <w:kern w:val="0"/>
          <w:sz w:val="22"/>
          <w:szCs w:val="22"/>
          <w:lang w:eastAsia="en-GB"/>
          <w14:ligatures w14:val="none"/>
        </w:rPr>
        <w:br/>
        <w:t>Student ID:</w:t>
      </w:r>
      <w:r w:rsidR="00B05648" w:rsidRPr="0080512E">
        <w:rPr>
          <w:rFonts w:ascii="Arial" w:eastAsia="Times New Roman" w:hAnsi="Arial" w:cs="Arial"/>
          <w:color w:val="000000" w:themeColor="text1"/>
          <w:kern w:val="0"/>
          <w:sz w:val="22"/>
          <w:szCs w:val="22"/>
          <w:lang w:eastAsia="en-GB"/>
          <w14:ligatures w14:val="none"/>
        </w:rPr>
        <w:t>2411483</w:t>
      </w:r>
      <w:r w:rsidRPr="0080512E">
        <w:rPr>
          <w:rFonts w:ascii="Arial" w:eastAsia="Times New Roman" w:hAnsi="Arial" w:cs="Arial"/>
          <w:color w:val="000000" w:themeColor="text1"/>
          <w:kern w:val="0"/>
          <w:sz w:val="22"/>
          <w:szCs w:val="22"/>
          <w:lang w:eastAsia="en-GB"/>
          <w14:ligatures w14:val="none"/>
        </w:rPr>
        <w:br/>
        <w:t>Module name: Principles of Health and Social Care Practice</w:t>
      </w:r>
      <w:r w:rsidRPr="0080512E">
        <w:rPr>
          <w:rFonts w:ascii="Arial" w:eastAsia="Times New Roman" w:hAnsi="Arial" w:cs="Arial"/>
          <w:color w:val="000000" w:themeColor="text1"/>
          <w:kern w:val="0"/>
          <w:sz w:val="22"/>
          <w:szCs w:val="22"/>
          <w:lang w:eastAsia="en-GB"/>
          <w14:ligatures w14:val="none"/>
        </w:rPr>
        <w:br/>
        <w:t>Component: 1</w:t>
      </w:r>
      <w:r w:rsidRPr="0080512E">
        <w:rPr>
          <w:rFonts w:ascii="Arial" w:eastAsia="Times New Roman" w:hAnsi="Arial" w:cs="Arial"/>
          <w:color w:val="000000" w:themeColor="text1"/>
          <w:kern w:val="0"/>
          <w:sz w:val="22"/>
          <w:szCs w:val="22"/>
          <w:lang w:eastAsia="en-GB"/>
          <w14:ligatures w14:val="none"/>
        </w:rPr>
        <w:br/>
        <w:t>Module code: BMHP5016</w:t>
      </w:r>
      <w:r w:rsidRPr="0080512E">
        <w:rPr>
          <w:rFonts w:ascii="Arial" w:eastAsia="Times New Roman" w:hAnsi="Arial" w:cs="Arial"/>
          <w:color w:val="000000" w:themeColor="text1"/>
          <w:kern w:val="0"/>
          <w:sz w:val="22"/>
          <w:szCs w:val="22"/>
          <w:lang w:eastAsia="en-GB"/>
          <w14:ligatures w14:val="none"/>
        </w:rPr>
        <w:br/>
        <w:t xml:space="preserve">Lecturer name: </w:t>
      </w:r>
      <w:r w:rsidR="00F87130" w:rsidRPr="0080512E">
        <w:rPr>
          <w:rFonts w:ascii="Arial" w:eastAsia="Times New Roman" w:hAnsi="Arial" w:cs="Arial"/>
          <w:color w:val="000000" w:themeColor="text1"/>
          <w:kern w:val="0"/>
          <w:sz w:val="22"/>
          <w:szCs w:val="22"/>
          <w:lang w:eastAsia="en-GB"/>
          <w14:ligatures w14:val="none"/>
        </w:rPr>
        <w:t>Dr, Itse Olaoye.</w:t>
      </w:r>
    </w:p>
    <w:p w14:paraId="467C5381" w14:textId="77777777" w:rsidR="000B7C71" w:rsidRPr="0080512E" w:rsidRDefault="00192A9E" w:rsidP="008C7F5E">
      <w:pPr>
        <w:spacing w:before="240" w:after="240" w:line="24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pict w14:anchorId="125CF845">
          <v:rect id="_x0000_i1025" style="width:0;height:.75pt" o:hralign="center" o:hrstd="t" o:hr="t" fillcolor="#a0a0a0" stroked="f"/>
        </w:pict>
      </w:r>
    </w:p>
    <w:p w14:paraId="2A9C679D"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Table of Contents</w:t>
      </w:r>
    </w:p>
    <w:tbl>
      <w:tblPr>
        <w:tblW w:w="9588" w:type="dxa"/>
        <w:tblCellMar>
          <w:top w:w="15" w:type="dxa"/>
          <w:left w:w="15" w:type="dxa"/>
          <w:bottom w:w="15" w:type="dxa"/>
          <w:right w:w="15" w:type="dxa"/>
        </w:tblCellMar>
        <w:tblLook w:val="04A0" w:firstRow="1" w:lastRow="0" w:firstColumn="1" w:lastColumn="0" w:noHBand="0" w:noVBand="1"/>
      </w:tblPr>
      <w:tblGrid>
        <w:gridCol w:w="9030"/>
        <w:gridCol w:w="558"/>
      </w:tblGrid>
      <w:tr w:rsidR="008C7F5E" w:rsidRPr="0080512E" w14:paraId="75CA6893" w14:textId="77777777" w:rsidTr="000B7C71">
        <w:trPr>
          <w:trHeight w:val="430"/>
          <w:tblHeader/>
        </w:trPr>
        <w:tc>
          <w:tcPr>
            <w:tcW w:w="0" w:type="auto"/>
            <w:tcBorders>
              <w:top w:val="nil"/>
            </w:tcBorders>
            <w:tcMar>
              <w:top w:w="150" w:type="dxa"/>
              <w:left w:w="0" w:type="dxa"/>
              <w:bottom w:w="150" w:type="dxa"/>
              <w:right w:w="240" w:type="dxa"/>
            </w:tcMar>
            <w:vAlign w:val="center"/>
            <w:hideMark/>
          </w:tcPr>
          <w:p w14:paraId="4D3FAD27" w14:textId="2192696E"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tc>
        <w:tc>
          <w:tcPr>
            <w:tcW w:w="0" w:type="auto"/>
            <w:tcBorders>
              <w:top w:val="nil"/>
            </w:tcBorders>
            <w:tcMar>
              <w:top w:w="150" w:type="dxa"/>
              <w:left w:w="240" w:type="dxa"/>
              <w:bottom w:w="150" w:type="dxa"/>
              <w:right w:w="240" w:type="dxa"/>
            </w:tcMar>
            <w:vAlign w:val="center"/>
            <w:hideMark/>
          </w:tcPr>
          <w:p w14:paraId="1EE29713" w14:textId="2511E116"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tc>
      </w:tr>
      <w:tr w:rsidR="008C7F5E" w:rsidRPr="0080512E" w14:paraId="39A2CB8E" w14:textId="77777777" w:rsidTr="000B7C71">
        <w:trPr>
          <w:trHeight w:val="437"/>
        </w:trPr>
        <w:tc>
          <w:tcPr>
            <w:tcW w:w="0" w:type="auto"/>
            <w:tcMar>
              <w:top w:w="150" w:type="dxa"/>
              <w:left w:w="0" w:type="dxa"/>
              <w:bottom w:w="150" w:type="dxa"/>
              <w:right w:w="240" w:type="dxa"/>
            </w:tcMar>
            <w:vAlign w:val="center"/>
            <w:hideMark/>
          </w:tcPr>
          <w:p w14:paraId="711AC3D7" w14:textId="77777777"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Introduction</w:t>
            </w:r>
          </w:p>
        </w:tc>
        <w:tc>
          <w:tcPr>
            <w:tcW w:w="0" w:type="auto"/>
            <w:tcMar>
              <w:top w:w="150" w:type="dxa"/>
              <w:left w:w="240" w:type="dxa"/>
              <w:bottom w:w="150" w:type="dxa"/>
              <w:right w:w="0" w:type="dxa"/>
            </w:tcMar>
            <w:vAlign w:val="center"/>
            <w:hideMark/>
          </w:tcPr>
          <w:p w14:paraId="2AD7F370" w14:textId="32E4DDCF"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tc>
      </w:tr>
      <w:tr w:rsidR="008C7F5E" w:rsidRPr="0080512E" w14:paraId="63D4F221" w14:textId="77777777" w:rsidTr="000B7C71">
        <w:trPr>
          <w:trHeight w:val="430"/>
        </w:trPr>
        <w:tc>
          <w:tcPr>
            <w:tcW w:w="0" w:type="auto"/>
            <w:tcMar>
              <w:top w:w="150" w:type="dxa"/>
              <w:left w:w="0" w:type="dxa"/>
              <w:bottom w:w="150" w:type="dxa"/>
              <w:right w:w="240" w:type="dxa"/>
            </w:tcMar>
            <w:vAlign w:val="center"/>
            <w:hideMark/>
          </w:tcPr>
          <w:p w14:paraId="3567E572" w14:textId="77777777"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Task 1: Understanding Person-Centred Care, Partnership Working, and Ethics</w:t>
            </w:r>
          </w:p>
        </w:tc>
        <w:tc>
          <w:tcPr>
            <w:tcW w:w="0" w:type="auto"/>
            <w:tcMar>
              <w:top w:w="150" w:type="dxa"/>
              <w:left w:w="240" w:type="dxa"/>
              <w:bottom w:w="150" w:type="dxa"/>
              <w:right w:w="0" w:type="dxa"/>
            </w:tcMar>
            <w:vAlign w:val="center"/>
            <w:hideMark/>
          </w:tcPr>
          <w:p w14:paraId="6DDA1E9A" w14:textId="1336A857"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tc>
      </w:tr>
      <w:tr w:rsidR="008C7F5E" w:rsidRPr="0080512E" w14:paraId="413048CC" w14:textId="77777777" w:rsidTr="000B7C71">
        <w:trPr>
          <w:trHeight w:val="437"/>
        </w:trPr>
        <w:tc>
          <w:tcPr>
            <w:tcW w:w="0" w:type="auto"/>
            <w:tcMar>
              <w:top w:w="150" w:type="dxa"/>
              <w:left w:w="0" w:type="dxa"/>
              <w:bottom w:w="150" w:type="dxa"/>
              <w:right w:w="240" w:type="dxa"/>
            </w:tcMar>
            <w:vAlign w:val="center"/>
            <w:hideMark/>
          </w:tcPr>
          <w:p w14:paraId="7B59C350" w14:textId="77777777"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Task 2: Practical Examples of Principles in Action</w:t>
            </w:r>
          </w:p>
        </w:tc>
        <w:tc>
          <w:tcPr>
            <w:tcW w:w="0" w:type="auto"/>
            <w:tcMar>
              <w:top w:w="150" w:type="dxa"/>
              <w:left w:w="240" w:type="dxa"/>
              <w:bottom w:w="150" w:type="dxa"/>
              <w:right w:w="0" w:type="dxa"/>
            </w:tcMar>
            <w:vAlign w:val="center"/>
            <w:hideMark/>
          </w:tcPr>
          <w:p w14:paraId="3DA6C069" w14:textId="6BA77B6B"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tc>
      </w:tr>
      <w:tr w:rsidR="008C7F5E" w:rsidRPr="0080512E" w14:paraId="4988A5E9" w14:textId="77777777" w:rsidTr="000B7C71">
        <w:trPr>
          <w:trHeight w:val="430"/>
        </w:trPr>
        <w:tc>
          <w:tcPr>
            <w:tcW w:w="0" w:type="auto"/>
            <w:tcMar>
              <w:top w:w="150" w:type="dxa"/>
              <w:left w:w="0" w:type="dxa"/>
              <w:bottom w:w="150" w:type="dxa"/>
              <w:right w:w="240" w:type="dxa"/>
            </w:tcMar>
            <w:vAlign w:val="center"/>
            <w:hideMark/>
          </w:tcPr>
          <w:p w14:paraId="74658CFA" w14:textId="77777777"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Task 3: Critical Reflection on Professional Growth</w:t>
            </w:r>
          </w:p>
        </w:tc>
        <w:tc>
          <w:tcPr>
            <w:tcW w:w="0" w:type="auto"/>
            <w:tcMar>
              <w:top w:w="150" w:type="dxa"/>
              <w:left w:w="240" w:type="dxa"/>
              <w:bottom w:w="150" w:type="dxa"/>
              <w:right w:w="0" w:type="dxa"/>
            </w:tcMar>
            <w:vAlign w:val="center"/>
            <w:hideMark/>
          </w:tcPr>
          <w:p w14:paraId="76DE4EF9" w14:textId="14E33651"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tc>
      </w:tr>
      <w:tr w:rsidR="008C7F5E" w:rsidRPr="0080512E" w14:paraId="1EA2CCC4" w14:textId="77777777" w:rsidTr="000B7C71">
        <w:trPr>
          <w:trHeight w:val="430"/>
        </w:trPr>
        <w:tc>
          <w:tcPr>
            <w:tcW w:w="0" w:type="auto"/>
            <w:tcMar>
              <w:top w:w="150" w:type="dxa"/>
              <w:left w:w="0" w:type="dxa"/>
              <w:bottom w:w="150" w:type="dxa"/>
              <w:right w:w="240" w:type="dxa"/>
            </w:tcMar>
            <w:vAlign w:val="center"/>
            <w:hideMark/>
          </w:tcPr>
          <w:p w14:paraId="1A51B470" w14:textId="77777777"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Conclusion</w:t>
            </w:r>
          </w:p>
        </w:tc>
        <w:tc>
          <w:tcPr>
            <w:tcW w:w="0" w:type="auto"/>
            <w:tcMar>
              <w:top w:w="150" w:type="dxa"/>
              <w:left w:w="240" w:type="dxa"/>
              <w:bottom w:w="150" w:type="dxa"/>
              <w:right w:w="0" w:type="dxa"/>
            </w:tcMar>
            <w:vAlign w:val="center"/>
            <w:hideMark/>
          </w:tcPr>
          <w:p w14:paraId="4B83E987" w14:textId="259D0FB5"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tc>
      </w:tr>
      <w:tr w:rsidR="008C7F5E" w:rsidRPr="0080512E" w14:paraId="1CF8601D" w14:textId="77777777" w:rsidTr="000B7C71">
        <w:trPr>
          <w:trHeight w:val="437"/>
        </w:trPr>
        <w:tc>
          <w:tcPr>
            <w:tcW w:w="0" w:type="auto"/>
            <w:tcMar>
              <w:top w:w="150" w:type="dxa"/>
              <w:left w:w="0" w:type="dxa"/>
              <w:bottom w:w="150" w:type="dxa"/>
              <w:right w:w="240" w:type="dxa"/>
            </w:tcMar>
            <w:vAlign w:val="center"/>
            <w:hideMark/>
          </w:tcPr>
          <w:p w14:paraId="6696442E" w14:textId="77777777"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References</w:t>
            </w:r>
          </w:p>
        </w:tc>
        <w:tc>
          <w:tcPr>
            <w:tcW w:w="0" w:type="auto"/>
            <w:tcMar>
              <w:top w:w="150" w:type="dxa"/>
              <w:left w:w="240" w:type="dxa"/>
              <w:bottom w:w="150" w:type="dxa"/>
              <w:right w:w="0" w:type="dxa"/>
            </w:tcMar>
            <w:vAlign w:val="center"/>
            <w:hideMark/>
          </w:tcPr>
          <w:p w14:paraId="2DC295C5" w14:textId="7FD9D43F"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tc>
      </w:tr>
    </w:tbl>
    <w:p w14:paraId="7F8BFF30" w14:textId="111E1DA0"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p w14:paraId="38C9DFA8"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Introduction</w:t>
      </w:r>
    </w:p>
    <w:p w14:paraId="3395F664" w14:textId="7DF6655B"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Over recent years, UK health and social care have been shifting away from a rigid, </w:t>
      </w:r>
      <w:r w:rsidR="00D01A92" w:rsidRPr="0080512E">
        <w:rPr>
          <w:rFonts w:ascii="Arial" w:eastAsia="Times New Roman" w:hAnsi="Arial" w:cs="Arial"/>
          <w:color w:val="000000" w:themeColor="text1"/>
          <w:kern w:val="0"/>
          <w:sz w:val="22"/>
          <w:szCs w:val="22"/>
          <w:lang w:eastAsia="en-GB"/>
          <w14:ligatures w14:val="none"/>
        </w:rPr>
        <w:t>task-oriented</w:t>
      </w:r>
      <w:r w:rsidRPr="0080512E">
        <w:rPr>
          <w:rFonts w:ascii="Arial" w:eastAsia="Times New Roman" w:hAnsi="Arial" w:cs="Arial"/>
          <w:color w:val="000000" w:themeColor="text1"/>
          <w:kern w:val="0"/>
          <w:sz w:val="22"/>
          <w:szCs w:val="22"/>
          <w:lang w:eastAsia="en-GB"/>
          <w14:ligatures w14:val="none"/>
        </w:rPr>
        <w:t xml:space="preserve"> model towards something far more human and holistic. This essay explores three interconnected principles that now form the bedrock of modern, high-quality practice: person-centred care, partnership working, and ethics. These concepts are not merely abstract ideals but practical tools that can improve health outcomes, enhance service user satisfaction, and create a more fulfilling work environment for professionals. Throughout this work, links will be made to UK legislation such as the Care Act 2014 and psychological theory including Maslow's Hierarchy of Needs. Real-world examples drawn from practice experience and published research will be examined, followed by a personal reflection on how these principles can shape professional development in health and social care.</w:t>
      </w:r>
    </w:p>
    <w:p w14:paraId="1B1A2350" w14:textId="08E35A49"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p w14:paraId="54C96464"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Task 1: Understanding Person-Centred Care, Partnership Working, and Ethics</w:t>
      </w:r>
    </w:p>
    <w:p w14:paraId="4D1D303C"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Person-Centred Care</w:t>
      </w:r>
    </w:p>
    <w:p w14:paraId="19B651B6" w14:textId="77777777" w:rsidR="00741A5E" w:rsidRPr="00741A5E" w:rsidRDefault="00741A5E"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741A5E">
        <w:rPr>
          <w:rFonts w:ascii="Arial" w:eastAsia="Times New Roman" w:hAnsi="Arial" w:cs="Arial"/>
          <w:color w:val="000000" w:themeColor="text1"/>
          <w:kern w:val="0"/>
          <w:sz w:val="22"/>
          <w:szCs w:val="22"/>
          <w:lang w:eastAsia="en-GB"/>
          <w14:ligatures w14:val="none"/>
        </w:rPr>
        <w:t>Person-centred care means seeing the person before their condition. The Health Foundation (2016) defines it as ensuring that people's values and preferences guide every decision about their health and care. This is a shift from the old medical model where the professional was the expert and the patient just listened.</w:t>
      </w:r>
    </w:p>
    <w:p w14:paraId="026985B1" w14:textId="77777777" w:rsidR="00741A5E" w:rsidRPr="00741A5E" w:rsidRDefault="00741A5E"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741A5E">
        <w:rPr>
          <w:rFonts w:ascii="Arial" w:eastAsia="Times New Roman" w:hAnsi="Arial" w:cs="Arial"/>
          <w:color w:val="000000" w:themeColor="text1"/>
          <w:kern w:val="0"/>
          <w:sz w:val="22"/>
          <w:szCs w:val="22"/>
          <w:lang w:eastAsia="en-GB"/>
          <w14:ligatures w14:val="none"/>
        </w:rPr>
        <w:t>What does this look like in practice? Imagine an older person leaving hospital. A task-focused approach might involve a social worker quickly arranging a residential bed because it seems safest. But a person-centred approach means sitting down with that person, maybe over a cup of tea, and asking: What matters to you? You might discover they are terrified of losing their cat. Suddenly the goal shifts from "find a bed" to "make home safe."</w:t>
      </w:r>
    </w:p>
    <w:p w14:paraId="253A9139" w14:textId="77777777" w:rsidR="00741A5E" w:rsidRPr="00741A5E" w:rsidRDefault="00741A5E"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741A5E">
        <w:rPr>
          <w:rFonts w:ascii="Arial" w:eastAsia="Times New Roman" w:hAnsi="Arial" w:cs="Arial"/>
          <w:color w:val="000000" w:themeColor="text1"/>
          <w:kern w:val="0"/>
          <w:sz w:val="22"/>
          <w:szCs w:val="22"/>
          <w:lang w:eastAsia="en-GB"/>
          <w14:ligatures w14:val="none"/>
        </w:rPr>
        <w:t>The Health Foundation (2016) describes a gentleman with lung disease who kept ending up back in hospital. He was labelled "non-compliant." But someone took time to ask why. It turned out he couldn't open child-proof bottle caps because of arthritis. Easy-open bottles fixed everything. That small question changed his life.</w:t>
      </w:r>
    </w:p>
    <w:p w14:paraId="4B621E72" w14:textId="3678C3AE" w:rsidR="0018232B" w:rsidRPr="0080512E" w:rsidRDefault="00741A5E"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741A5E">
        <w:rPr>
          <w:rFonts w:ascii="Arial" w:eastAsia="Times New Roman" w:hAnsi="Arial" w:cs="Arial"/>
          <w:color w:val="000000" w:themeColor="text1"/>
          <w:kern w:val="0"/>
          <w:sz w:val="22"/>
          <w:szCs w:val="22"/>
          <w:lang w:eastAsia="en-GB"/>
          <w14:ligatures w14:val="none"/>
        </w:rPr>
        <w:t>The Care Act 2014 backs this up. Section 1 says local authorities must promote individual well-being, and people should control their own care. This links to Maslow's (1943) Hierarchy of Needs. Person-centred care doesn't just cover food and safety. It reaches love, belonging, and esteem. When professionals truly listen, they help people towards self-actualisation still being themselves even when they need support.</w:t>
      </w:r>
    </w:p>
    <w:p w14:paraId="659FE09E" w14:textId="77777777" w:rsidR="00237C18"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Partnership Working</w:t>
      </w:r>
    </w:p>
    <w:p w14:paraId="582BEB3C" w14:textId="77777777" w:rsidR="00237C18" w:rsidRPr="0080512E" w:rsidRDefault="00237C18"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5C200515" w14:textId="77777777" w:rsidR="00B94A38" w:rsidRPr="00B94A38" w:rsidRDefault="00B94A38"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B94A38">
        <w:rPr>
          <w:rFonts w:ascii="Arial" w:eastAsia="Times New Roman" w:hAnsi="Arial" w:cs="Arial"/>
          <w:color w:val="000000" w:themeColor="text1"/>
          <w:kern w:val="0"/>
          <w:sz w:val="22"/>
          <w:szCs w:val="22"/>
          <w:lang w:eastAsia="en-GB"/>
          <w14:ligatures w14:val="none"/>
        </w:rPr>
        <w:t>Partnership working is the engine that makes person-centred care happen. Cameron et al. (2014) describe it as different organisations coming together around a shared goal – the service user's well-being. Glasby and Dickinson (2014) say health and social care have been "two tribes" with different budgets and cultures. Partnership builds bridges.</w:t>
      </w:r>
    </w:p>
    <w:p w14:paraId="536FEE10" w14:textId="77777777" w:rsidR="00B94A38" w:rsidRPr="00B94A38" w:rsidRDefault="00B94A38"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B94A38">
        <w:rPr>
          <w:rFonts w:ascii="Arial" w:eastAsia="Times New Roman" w:hAnsi="Arial" w:cs="Arial"/>
          <w:color w:val="000000" w:themeColor="text1"/>
          <w:kern w:val="0"/>
          <w:sz w:val="22"/>
          <w:szCs w:val="22"/>
          <w:lang w:eastAsia="en-GB"/>
          <w14:ligatures w14:val="none"/>
        </w:rPr>
        <w:t>Think about an elderly person discharged after a hip fracture. Without partnership working, the hospital sends them home with medication. No one tells the GP. No one checks for grab rails. Within weeks, they fall again and end up back in A&amp;E. With partnership working, the discharge team speaks to the GP. The GP alerts a district nurse. An occupational therapist installs adaptations. Age UK fixes loose rugs. The daughter joins weekly calls. Everyone pulls together.</w:t>
      </w:r>
    </w:p>
    <w:p w14:paraId="080CCA30" w14:textId="77777777" w:rsidR="00B94A38" w:rsidRPr="00B94A38" w:rsidRDefault="00B94A38"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B94A38">
        <w:rPr>
          <w:rFonts w:ascii="Arial" w:eastAsia="Times New Roman" w:hAnsi="Arial" w:cs="Arial"/>
          <w:color w:val="000000" w:themeColor="text1"/>
          <w:kern w:val="0"/>
          <w:sz w:val="22"/>
          <w:szCs w:val="22"/>
          <w:lang w:eastAsia="en-GB"/>
          <w14:ligatures w14:val="none"/>
        </w:rPr>
        <w:t>Research supports this. Baxter et al. (2018) found integrated care reduces hospital admissions for older people with complex needs by about 17%. The Health and Care Act 2022 made partnership working a legal requirement, establishing Integrated Care Systems (ICSs) across England (Department of Health and Social Care, 2022). NICE (2015) warns that poor communication at discharge is a major risk factor for readmission.</w:t>
      </w:r>
    </w:p>
    <w:p w14:paraId="6DB535E7" w14:textId="77777777" w:rsidR="00B94A38" w:rsidRPr="00B94A38" w:rsidRDefault="00B94A38"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B94A38">
        <w:rPr>
          <w:rFonts w:ascii="Arial" w:eastAsia="Times New Roman" w:hAnsi="Arial" w:cs="Arial"/>
          <w:color w:val="000000" w:themeColor="text1"/>
          <w:kern w:val="0"/>
          <w:sz w:val="22"/>
          <w:szCs w:val="22"/>
          <w:lang w:eastAsia="en-GB"/>
          <w14:ligatures w14:val="none"/>
        </w:rPr>
        <w:t>Why does it matter so much? No single professional can meet all a person's needs. A GP cannot install a stairlift. An OT cannot manage complex medication. We need each other. Without coordination, service users get conflicting advice. That is confusing and stressful. Partnership working puts the person at the centre of a joined-up team.</w:t>
      </w:r>
    </w:p>
    <w:p w14:paraId="0575922C" w14:textId="02349574"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1DC614D0" w14:textId="45AFBEB9" w:rsidR="004D39F0"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Ethics in Health and Social Care</w:t>
      </w:r>
    </w:p>
    <w:p w14:paraId="23E4B30E" w14:textId="77777777" w:rsidR="00C13B91" w:rsidRPr="0080512E" w:rsidRDefault="00C13B9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C13B91">
        <w:rPr>
          <w:rFonts w:ascii="Arial" w:eastAsia="Times New Roman" w:hAnsi="Arial" w:cs="Arial"/>
          <w:color w:val="000000" w:themeColor="text1"/>
          <w:kern w:val="0"/>
          <w:sz w:val="22"/>
          <w:szCs w:val="22"/>
          <w:lang w:eastAsia="en-GB"/>
          <w14:ligatures w14:val="none"/>
        </w:rPr>
        <w:t>Ethics guide us when things get complicated. Beauchamp and Childress (2019) give four principles: autonomy (respecting choices), beneficence (doing good), non-maleficence (avoiding harm), and justice (being fair). These are written into professional codes like the NMC Code (2018). Without ethics, even well-intentioned care can become harmful. A person with dementia who refuses a bath a task-focused approach forces them. An ethical approach asks why. Maybe they are cold or frightened. Ethics means slowing down and asking why, not just what.</w:t>
      </w:r>
    </w:p>
    <w:p w14:paraId="7F02F183" w14:textId="77777777" w:rsidR="00D308C3" w:rsidRPr="00C13B91" w:rsidRDefault="00D308C3"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6F320B7F" w14:textId="18FA1493"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p w14:paraId="6DF006D0"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Task 2: Practical Examples of Principles in Action</w:t>
      </w:r>
    </w:p>
    <w:p w14:paraId="6CA43AED" w14:textId="77777777" w:rsidR="00D308C3" w:rsidRPr="0080512E" w:rsidRDefault="00D308C3"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2C42472F"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For this task, practical examples are drawn from work experience in community health and social care, as well as from published case studies and research findings. All identifying details have been removed or anonymised to protect confidentiality.</w:t>
      </w:r>
    </w:p>
    <w:p w14:paraId="5E716B54" w14:textId="49D7AAD1" w:rsidR="000D4ACE"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A Resident with Dementia – Person-Centred Care Reducing Anxiety and Falls</w:t>
      </w:r>
    </w:p>
    <w:p w14:paraId="50B83E08" w14:textId="77777777" w:rsidR="00402001" w:rsidRPr="00402001" w:rsidRDefault="0040200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402001">
        <w:rPr>
          <w:rFonts w:ascii="Arial" w:eastAsia="Times New Roman" w:hAnsi="Arial" w:cs="Arial"/>
          <w:color w:val="000000" w:themeColor="text1"/>
          <w:kern w:val="0"/>
          <w:sz w:val="22"/>
          <w:szCs w:val="22"/>
          <w:lang w:eastAsia="en-GB"/>
          <w14:ligatures w14:val="none"/>
        </w:rPr>
        <w:t>In a residential home, an older adult with dementia was called "difficult." She wandered at night, refused personal care, and had fallen three times in six weeks. Staff tried to redirect her, offered sedatives, and considered a secure unit. Nothing worked.</w:t>
      </w:r>
    </w:p>
    <w:p w14:paraId="4730919F" w14:textId="77777777" w:rsidR="00402001" w:rsidRPr="00402001" w:rsidRDefault="0040200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402001">
        <w:rPr>
          <w:rFonts w:ascii="Arial" w:eastAsia="Times New Roman" w:hAnsi="Arial" w:cs="Arial"/>
          <w:color w:val="000000" w:themeColor="text1"/>
          <w:kern w:val="0"/>
          <w:sz w:val="22"/>
          <w:szCs w:val="22"/>
          <w:lang w:eastAsia="en-GB"/>
          <w14:ligatures w14:val="none"/>
        </w:rPr>
        <w:t>A new care coordinator asked a different question: What is she trying to tell us? Through quiet conversation, they learned she had been a nurse for forty years always on night shifts. Her body clock was different. The wandering was habit, not confusion. She also refused morning care because she had always bathed in the evening.</w:t>
      </w:r>
    </w:p>
    <w:p w14:paraId="2D4F5D00" w14:textId="77777777" w:rsidR="00402001" w:rsidRPr="00402001" w:rsidRDefault="0040200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402001">
        <w:rPr>
          <w:rFonts w:ascii="Arial" w:eastAsia="Times New Roman" w:hAnsi="Arial" w:cs="Arial"/>
          <w:color w:val="000000" w:themeColor="text1"/>
          <w:kern w:val="0"/>
          <w:sz w:val="22"/>
          <w:szCs w:val="22"/>
          <w:lang w:eastAsia="en-GB"/>
          <w14:ligatures w14:val="none"/>
        </w:rPr>
        <w:t>A person-centred plan followed. She could stay up later and sleep in. Personal care moved to evenings. A night-time snack was left in her room. Within two weeks, the wandering stopped. Within a month, no falls. Her anxiety dropped. She started smiling again.</w:t>
      </w:r>
    </w:p>
    <w:p w14:paraId="58AF937A" w14:textId="77777777" w:rsidR="00402001" w:rsidRPr="0080512E" w:rsidRDefault="0040200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402001">
        <w:rPr>
          <w:rFonts w:ascii="Arial" w:eastAsia="Times New Roman" w:hAnsi="Arial" w:cs="Arial"/>
          <w:color w:val="000000" w:themeColor="text1"/>
          <w:kern w:val="0"/>
          <w:sz w:val="22"/>
          <w:szCs w:val="22"/>
          <w:lang w:eastAsia="en-GB"/>
          <w14:ligatures w14:val="none"/>
        </w:rPr>
        <w:t>Chenoweth et al. (2019) found person-centred training reduces agitation and falls in dementia by nearly 30%. The improvements were clear: reduced anxiety, zero falls, better staff morale.</w:t>
      </w:r>
    </w:p>
    <w:p w14:paraId="1EA548E2" w14:textId="77777777" w:rsidR="00CD1C81" w:rsidRPr="0080512E" w:rsidRDefault="00CD1C8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73ABBF8B" w14:textId="055E2C5B" w:rsidR="00CD1C81" w:rsidRPr="00402001" w:rsidRDefault="00026703"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026703">
        <w:rPr>
          <w:rFonts w:ascii="Arial" w:eastAsia="Times New Roman" w:hAnsi="Arial" w:cs="Arial"/>
          <w:color w:val="000000" w:themeColor="text1"/>
          <w:kern w:val="0"/>
          <w:sz w:val="22"/>
          <w:szCs w:val="22"/>
          <w:lang w:eastAsia="en-GB"/>
          <w14:ligatures w14:val="none"/>
        </w:rPr>
        <w:t>An Older Adult with Diabetes – Partnership Working and Medication Adherence</w:t>
      </w:r>
    </w:p>
    <w:p w14:paraId="56A3F35B" w14:textId="3EDE22C1" w:rsidR="0076724C" w:rsidRPr="0076724C" w:rsidRDefault="0076724C"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76724C">
        <w:rPr>
          <w:rFonts w:ascii="Arial" w:eastAsia="Times New Roman" w:hAnsi="Arial" w:cs="Arial"/>
          <w:color w:val="000000" w:themeColor="text1"/>
          <w:kern w:val="0"/>
          <w:sz w:val="22"/>
          <w:szCs w:val="22"/>
          <w:lang w:eastAsia="en-GB"/>
          <w14:ligatures w14:val="none"/>
        </w:rPr>
        <w:t xml:space="preserve">An older adult with type 2 diabetes felt excluded from decisions </w:t>
      </w:r>
      <w:r w:rsidR="0080512E" w:rsidRPr="0076724C">
        <w:rPr>
          <w:rFonts w:ascii="Arial" w:eastAsia="Times New Roman" w:hAnsi="Arial" w:cs="Arial"/>
          <w:color w:val="000000" w:themeColor="text1"/>
          <w:kern w:val="0"/>
          <w:sz w:val="22"/>
          <w:szCs w:val="22"/>
          <w:lang w:eastAsia="en-GB"/>
          <w14:ligatures w14:val="none"/>
        </w:rPr>
        <w:t>about meals</w:t>
      </w:r>
      <w:r w:rsidRPr="0076724C">
        <w:rPr>
          <w:rFonts w:ascii="Arial" w:eastAsia="Times New Roman" w:hAnsi="Arial" w:cs="Arial"/>
          <w:color w:val="000000" w:themeColor="text1"/>
          <w:kern w:val="0"/>
          <w:sz w:val="22"/>
          <w:szCs w:val="22"/>
          <w:lang w:eastAsia="en-GB"/>
          <w14:ligatures w14:val="none"/>
        </w:rPr>
        <w:t>. After a leg ulcer, the discharge plan said: "Diabetic diet. Refer to community nurse." No one asked what they liked to eat or if they could cook. They ignored the advice. Blood sugar stayed high. The ulcer didn't heal. Within three months, they were back in hospital.</w:t>
      </w:r>
    </w:p>
    <w:p w14:paraId="6ABBC94A" w14:textId="77777777" w:rsidR="0076724C" w:rsidRPr="0076724C" w:rsidRDefault="0076724C"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76724C">
        <w:rPr>
          <w:rFonts w:ascii="Arial" w:eastAsia="Times New Roman" w:hAnsi="Arial" w:cs="Arial"/>
          <w:color w:val="000000" w:themeColor="text1"/>
          <w:kern w:val="0"/>
          <w:sz w:val="22"/>
          <w:szCs w:val="22"/>
          <w:lang w:eastAsia="en-GB"/>
          <w14:ligatures w14:val="none"/>
        </w:rPr>
        <w:t xml:space="preserve">A different approach comes from the Health Foundation (2016). A gentleman with diabetes and heart failure kept being readmitted. A pharmacist sat with him and discovered he </w:t>
      </w:r>
      <w:r w:rsidRPr="0076724C">
        <w:rPr>
          <w:rFonts w:ascii="Arial" w:eastAsia="Times New Roman" w:hAnsi="Arial" w:cs="Arial"/>
          <w:color w:val="000000" w:themeColor="text1"/>
          <w:kern w:val="0"/>
          <w:sz w:val="22"/>
          <w:szCs w:val="22"/>
          <w:lang w:eastAsia="en-GB"/>
          <w14:ligatures w14:val="none"/>
        </w:rPr>
        <w:lastRenderedPageBreak/>
        <w:t>couldn't open child-proof caps due to arthritis. Easy-open bottles fixed it. That small partnership prevented further admissions.</w:t>
      </w:r>
    </w:p>
    <w:p w14:paraId="7199CC83" w14:textId="5E6EC78D" w:rsidR="000D4ACE" w:rsidRPr="0080512E" w:rsidRDefault="0076724C"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76724C">
        <w:rPr>
          <w:rFonts w:ascii="Arial" w:eastAsia="Times New Roman" w:hAnsi="Arial" w:cs="Arial"/>
          <w:color w:val="000000" w:themeColor="text1"/>
          <w:kern w:val="0"/>
          <w:sz w:val="22"/>
          <w:szCs w:val="22"/>
          <w:lang w:eastAsia="en-GB"/>
          <w14:ligatures w14:val="none"/>
        </w:rPr>
        <w:t>Coulter et al. (2015) found that when people co-create their care plans, medication adherence improves by 19% and admissions drop by a quarter. Genuine partnership, not instruction, is the key.</w:t>
      </w:r>
    </w:p>
    <w:p w14:paraId="3F1248E0" w14:textId="77777777" w:rsidR="000D4ACE" w:rsidRPr="0080512E" w:rsidRDefault="000D4ACE"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1B8194B7" w14:textId="77777777" w:rsidR="000D4ACE" w:rsidRPr="0080512E" w:rsidRDefault="000D4ACE"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1E8AC6B8" w14:textId="77777777" w:rsidR="000D4ACE" w:rsidRPr="0080512E" w:rsidRDefault="000D4ACE"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1DBA8E86" w14:textId="77777777" w:rsidR="000D4ACE" w:rsidRPr="0080512E" w:rsidRDefault="000D4ACE"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5DAB5946" w14:textId="3C99187D"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w:t>
      </w:r>
    </w:p>
    <w:p w14:paraId="29AFD529" w14:textId="4B51379B" w:rsidR="00364912"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Discharge Planning for an Adult with a Learning Disability </w:t>
      </w:r>
    </w:p>
    <w:p w14:paraId="380D2872" w14:textId="73AD34AA" w:rsidR="00D909A6" w:rsidRPr="00D909A6" w:rsidRDefault="00D909A6"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D909A6">
        <w:rPr>
          <w:rFonts w:ascii="Arial" w:eastAsia="Times New Roman" w:hAnsi="Arial" w:cs="Arial"/>
          <w:color w:val="000000" w:themeColor="text1"/>
          <w:kern w:val="0"/>
          <w:sz w:val="22"/>
          <w:szCs w:val="22"/>
          <w:lang w:eastAsia="en-GB"/>
          <w14:ligatures w14:val="none"/>
        </w:rPr>
        <w:t>Manthorpe and Martineau (2018) reviewed discharge planning for adults with learning disabilities. Poor partnership working caused delayed discharges and readmissions. When hospitals involved community teams before discharge, readmission rates fell by over 40%</w:t>
      </w:r>
      <w:r w:rsidR="00286DBD" w:rsidRPr="0080512E">
        <w:rPr>
          <w:rFonts w:ascii="Arial" w:eastAsia="Times New Roman" w:hAnsi="Arial" w:cs="Arial"/>
          <w:color w:val="000000" w:themeColor="text1"/>
          <w:kern w:val="0"/>
          <w:sz w:val="22"/>
          <w:szCs w:val="22"/>
          <w:lang w:eastAsia="en-GB"/>
          <w14:ligatures w14:val="none"/>
        </w:rPr>
        <w:t>.</w:t>
      </w:r>
    </w:p>
    <w:p w14:paraId="6BD55F93" w14:textId="77777777" w:rsidR="00D909A6" w:rsidRPr="00D909A6" w:rsidRDefault="00D909A6"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D909A6">
        <w:rPr>
          <w:rFonts w:ascii="Arial" w:eastAsia="Times New Roman" w:hAnsi="Arial" w:cs="Arial"/>
          <w:color w:val="000000" w:themeColor="text1"/>
          <w:kern w:val="0"/>
          <w:sz w:val="22"/>
          <w:szCs w:val="22"/>
          <w:lang w:eastAsia="en-GB"/>
          <w14:ligatures w14:val="none"/>
        </w:rPr>
        <w:t>In practice, an adult with a mild learning disability was admitted after a seizure. The hospital planned to discharge them with new medication and a follow-up appointment in three months. That was it. No easy-read leaflet. No check on transport.</w:t>
      </w:r>
    </w:p>
    <w:p w14:paraId="73C07326" w14:textId="77777777" w:rsidR="00D909A6" w:rsidRPr="00D909A6" w:rsidRDefault="00D909A6"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D909A6">
        <w:rPr>
          <w:rFonts w:ascii="Arial" w:eastAsia="Times New Roman" w:hAnsi="Arial" w:cs="Arial"/>
          <w:color w:val="000000" w:themeColor="text1"/>
          <w:kern w:val="0"/>
          <w:sz w:val="22"/>
          <w:szCs w:val="22"/>
          <w:lang w:eastAsia="en-GB"/>
          <w14:ligatures w14:val="none"/>
        </w:rPr>
        <w:t>A liaison nurse brought everyone together: the doctor, GP, supported living manager, and the person themselves. They created a plan with a pictorial medication chart, a taxi for the appointment, and weekly check-ins. The person stayed well. No readmission.</w:t>
      </w:r>
    </w:p>
    <w:p w14:paraId="36E4E58F" w14:textId="77777777" w:rsidR="00364912" w:rsidRPr="0080512E" w:rsidRDefault="00364912"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57A42075"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An Older Adult with Parkinson's – Ethics and Improved Discharge Planning</w:t>
      </w:r>
    </w:p>
    <w:p w14:paraId="706C8EF4" w14:textId="77777777" w:rsidR="002334D8" w:rsidRPr="002334D8" w:rsidRDefault="002334D8"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2334D8">
        <w:rPr>
          <w:rFonts w:ascii="Arial" w:eastAsia="Times New Roman" w:hAnsi="Arial" w:cs="Arial"/>
          <w:color w:val="000000" w:themeColor="text1"/>
          <w:kern w:val="0"/>
          <w:sz w:val="22"/>
          <w:szCs w:val="22"/>
          <w:lang w:eastAsia="en-GB"/>
          <w14:ligatures w14:val="none"/>
        </w:rPr>
        <w:t>Roberts and Green (2017) described a man with Parkinson's discharged after a fall. The hospital fitted a pendant alarm and gave him a leaflet. No one asked if he could press the pendant (stiff hands) or read the leaflet (poor eyesight). He fell again. The pendant was useless. He lay on the floor for six hours.</w:t>
      </w:r>
    </w:p>
    <w:p w14:paraId="0FB51B28" w14:textId="77777777" w:rsidR="002334D8" w:rsidRPr="002334D8" w:rsidRDefault="002334D8"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2334D8">
        <w:rPr>
          <w:rFonts w:ascii="Arial" w:eastAsia="Times New Roman" w:hAnsi="Arial" w:cs="Arial"/>
          <w:color w:val="000000" w:themeColor="text1"/>
          <w:kern w:val="0"/>
          <w:sz w:val="22"/>
          <w:szCs w:val="22"/>
          <w:lang w:eastAsia="en-GB"/>
          <w14:ligatures w14:val="none"/>
        </w:rPr>
        <w:t>The ethical failures are obvious: non-maleficence breached, autonomy ignored, justice violated. A follow-up study introduced a discharge bundle: an OT home visit, pharmacist medication review, and a mandatory call to family. Readmissions fell by half. Patient satisfaction doubled.</w:t>
      </w:r>
    </w:p>
    <w:p w14:paraId="49D549AB" w14:textId="77777777" w:rsidR="00C2482B" w:rsidRPr="0080512E" w:rsidRDefault="00C2482B"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p>
    <w:p w14:paraId="5810F596"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Summary of Improvements</w:t>
      </w:r>
    </w:p>
    <w:p w14:paraId="1DAA5CFA"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Across all these examples – drawn from both practice experience and published research – the improvements are remarkably consistent. Person-centred care and partnership working lead to increased patient satisfaction because people feel heard and respected. They lead to better medication adherence when practical barriers such as difficult bottle caps or lack of understanding are removed. They reduce anxiety when individuals with dementia are allowed to follow their natural rhythms and preferences. They result in fewer falls when the environment and medication are reviewed collaboratively. And they produce improved </w:t>
      </w:r>
      <w:r w:rsidRPr="0080512E">
        <w:rPr>
          <w:rFonts w:ascii="Arial" w:eastAsia="Times New Roman" w:hAnsi="Arial" w:cs="Arial"/>
          <w:color w:val="000000" w:themeColor="text1"/>
          <w:kern w:val="0"/>
          <w:sz w:val="22"/>
          <w:szCs w:val="22"/>
          <w:lang w:eastAsia="en-GB"/>
          <w14:ligatures w14:val="none"/>
        </w:rPr>
        <w:lastRenderedPageBreak/>
        <w:t>discharge planning when hospitals involve community teams and families before the person leaves the ward. These are not theoretical benefits. They have been observed in real practice and confirmed by research evidence.</w:t>
      </w:r>
    </w:p>
    <w:p w14:paraId="2BBDA25C" w14:textId="4CF40A44"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p w14:paraId="250A7E76"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Task 3: Critical Reflection on Professional Growth</w:t>
      </w:r>
    </w:p>
    <w:p w14:paraId="1EA242F2" w14:textId="5BD068BF"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I am using Gibbs' Reflective Cycle (1988) for this reflection because it provides a clear structure to think deeply about what I have learned from the examples above. I have chosen Gibbs because it moves beyond simply describing what happened into feelings, evaluation, analysis, and crucially an action plan for change.</w:t>
      </w:r>
    </w:p>
    <w:p w14:paraId="51EEFBBB" w14:textId="58FD75EE"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Description</w:t>
      </w:r>
      <w:r w:rsidRPr="0080512E">
        <w:rPr>
          <w:rFonts w:ascii="Arial" w:eastAsia="Times New Roman" w:hAnsi="Arial" w:cs="Arial"/>
          <w:color w:val="000000" w:themeColor="text1"/>
          <w:kern w:val="0"/>
          <w:sz w:val="22"/>
          <w:szCs w:val="22"/>
          <w:lang w:eastAsia="en-GB"/>
          <w14:ligatures w14:val="none"/>
        </w:rPr>
        <w:br/>
        <w:t xml:space="preserve">Several situations have been described in Task 2, but the one that stayed with me most was the resident with dementia who was labelled "difficult" until someone </w:t>
      </w:r>
      <w:r w:rsidR="00D01A92" w:rsidRPr="0080512E">
        <w:rPr>
          <w:rFonts w:ascii="Arial" w:eastAsia="Times New Roman" w:hAnsi="Arial" w:cs="Arial"/>
          <w:color w:val="000000" w:themeColor="text1"/>
          <w:kern w:val="0"/>
          <w:sz w:val="22"/>
          <w:szCs w:val="22"/>
          <w:lang w:eastAsia="en-GB"/>
          <w14:ligatures w14:val="none"/>
        </w:rPr>
        <w:t>took</w:t>
      </w:r>
      <w:r w:rsidRPr="0080512E">
        <w:rPr>
          <w:rFonts w:ascii="Arial" w:eastAsia="Times New Roman" w:hAnsi="Arial" w:cs="Arial"/>
          <w:color w:val="000000" w:themeColor="text1"/>
          <w:kern w:val="0"/>
          <w:sz w:val="22"/>
          <w:szCs w:val="22"/>
          <w:lang w:eastAsia="en-GB"/>
          <w14:ligatures w14:val="none"/>
        </w:rPr>
        <w:t xml:space="preserve"> the time to listen to her. I also witnessed a very different situation: a hospital discharge where a learning disability liaison nurse brought everyone together – the doctor, the GP, the supported living manager, and the person themselves – to create a proper plan. The contrast was stark. In the first situation, the absence of person-centred care caused weeks of distress and multiple falls. In the second, genuine partnership working prevented a readmission and preserved the person's dignity.</w:t>
      </w:r>
    </w:p>
    <w:p w14:paraId="583C0927" w14:textId="5BC98C19"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Feelings</w:t>
      </w:r>
      <w:r w:rsidRPr="0080512E">
        <w:rPr>
          <w:rFonts w:ascii="Arial" w:eastAsia="Times New Roman" w:hAnsi="Arial" w:cs="Arial"/>
          <w:color w:val="000000" w:themeColor="text1"/>
          <w:kern w:val="0"/>
          <w:sz w:val="22"/>
          <w:szCs w:val="22"/>
          <w:lang w:eastAsia="en-GB"/>
          <w14:ligatures w14:val="none"/>
        </w:rPr>
        <w:br/>
        <w:t xml:space="preserve">To be honest, the first approach made me angry. Not at the care home staff </w:t>
      </w:r>
      <w:r w:rsidR="00D01A92" w:rsidRPr="0080512E">
        <w:rPr>
          <w:rFonts w:ascii="Arial" w:eastAsia="Times New Roman" w:hAnsi="Arial" w:cs="Arial"/>
          <w:color w:val="000000" w:themeColor="text1"/>
          <w:kern w:val="0"/>
          <w:sz w:val="22"/>
          <w:szCs w:val="22"/>
          <w:lang w:eastAsia="en-GB"/>
          <w14:ligatures w14:val="none"/>
        </w:rPr>
        <w:t>personally I</w:t>
      </w:r>
      <w:r w:rsidRPr="0080512E">
        <w:rPr>
          <w:rFonts w:ascii="Arial" w:eastAsia="Times New Roman" w:hAnsi="Arial" w:cs="Arial"/>
          <w:color w:val="000000" w:themeColor="text1"/>
          <w:kern w:val="0"/>
          <w:sz w:val="22"/>
          <w:szCs w:val="22"/>
          <w:lang w:eastAsia="en-GB"/>
          <w14:ligatures w14:val="none"/>
        </w:rPr>
        <w:t xml:space="preserve"> know they were understaffed and exhausted. But angry at a system that reduces a human being to a set of "behaviours to be managed." It felt dehumanising. I remember thinking: Is this what I am going to become if I am not careful?</w:t>
      </w:r>
    </w:p>
    <w:p w14:paraId="1237FD4E" w14:textId="688CAD9B"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Then, watching the learning disability liaison nurse work, I felt inspired but also a bit intimidated. She seemed so calm, so patient, so creative. She did not have more resources than the hospital team she just worked differently. She took time upfront to listen and to bring people together, which meant less firefighting later. I also felt anxious, because I asked myself a hard question: Would I have the courage to challenge a quick, system-driven decision? Or would I just go along with it because it is easier? I am not sure I know the answer yet.</w:t>
      </w:r>
    </w:p>
    <w:p w14:paraId="08FD4E8A"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Evaluation</w:t>
      </w:r>
      <w:r w:rsidRPr="0080512E">
        <w:rPr>
          <w:rFonts w:ascii="Arial" w:eastAsia="Times New Roman" w:hAnsi="Arial" w:cs="Arial"/>
          <w:color w:val="000000" w:themeColor="text1"/>
          <w:kern w:val="0"/>
          <w:sz w:val="22"/>
          <w:szCs w:val="22"/>
          <w:lang w:eastAsia="en-GB"/>
          <w14:ligatures w14:val="none"/>
        </w:rPr>
        <w:br/>
        <w:t>The first approach – the care home that tried to redirect and sedate the wandering resident – was poor practice. It ignored the resident's autonomy and risked causing psychological harm, violating the principle of non-maleficence. It was also inefficient: the wandering and falls continued for weeks because no one asked why the behaviour was happening.</w:t>
      </w:r>
    </w:p>
    <w:p w14:paraId="78BAB642" w14:textId="5F7EE658"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The second </w:t>
      </w:r>
      <w:r w:rsidR="008415E3" w:rsidRPr="0080512E">
        <w:rPr>
          <w:rFonts w:ascii="Arial" w:eastAsia="Times New Roman" w:hAnsi="Arial" w:cs="Arial"/>
          <w:color w:val="000000" w:themeColor="text1"/>
          <w:kern w:val="0"/>
          <w:sz w:val="22"/>
          <w:szCs w:val="22"/>
          <w:lang w:eastAsia="en-GB"/>
          <w14:ligatures w14:val="none"/>
        </w:rPr>
        <w:t>approach the</w:t>
      </w:r>
      <w:r w:rsidRPr="0080512E">
        <w:rPr>
          <w:rFonts w:ascii="Arial" w:eastAsia="Times New Roman" w:hAnsi="Arial" w:cs="Arial"/>
          <w:color w:val="000000" w:themeColor="text1"/>
          <w:kern w:val="0"/>
          <w:sz w:val="22"/>
          <w:szCs w:val="22"/>
          <w:lang w:eastAsia="en-GB"/>
          <w14:ligatures w14:val="none"/>
        </w:rPr>
        <w:t xml:space="preserve"> liaison nurse's partnership </w:t>
      </w:r>
      <w:r w:rsidR="008415E3" w:rsidRPr="0080512E">
        <w:rPr>
          <w:rFonts w:ascii="Arial" w:eastAsia="Times New Roman" w:hAnsi="Arial" w:cs="Arial"/>
          <w:color w:val="000000" w:themeColor="text1"/>
          <w:kern w:val="0"/>
          <w:sz w:val="22"/>
          <w:szCs w:val="22"/>
          <w:lang w:eastAsia="en-GB"/>
          <w14:ligatures w14:val="none"/>
        </w:rPr>
        <w:t>working was</w:t>
      </w:r>
      <w:r w:rsidRPr="0080512E">
        <w:rPr>
          <w:rFonts w:ascii="Arial" w:eastAsia="Times New Roman" w:hAnsi="Arial" w:cs="Arial"/>
          <w:color w:val="000000" w:themeColor="text1"/>
          <w:kern w:val="0"/>
          <w:sz w:val="22"/>
          <w:szCs w:val="22"/>
          <w:lang w:eastAsia="en-GB"/>
          <w14:ligatures w14:val="none"/>
        </w:rPr>
        <w:t xml:space="preserve"> excellent. The only real difficulty was time. It took perhaps three or four extra hours to coordinate the meeting, prepare the easy-read leaflet, book the taxi, and arrange the follow-up checks. But that time saved so much distress and cost later. The partnership working was the real strength. Without the GP, the medication review would not have happened. Without the supported living manager, the home-based support would have been fragmented. Without the person themselves, the plan would not have made sense to them.</w:t>
      </w:r>
    </w:p>
    <w:p w14:paraId="2DEEEFAC" w14:textId="55AA88C3"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If I am being critical, I would say that even the good example could have been better. The liaison nurse did not involve a pharmacist in the discharge planning. A pharmacist might have simplified the medication regime or spotted a potential side effect that everyone else </w:t>
      </w:r>
      <w:r w:rsidRPr="0080512E">
        <w:rPr>
          <w:rFonts w:ascii="Arial" w:eastAsia="Times New Roman" w:hAnsi="Arial" w:cs="Arial"/>
          <w:color w:val="000000" w:themeColor="text1"/>
          <w:kern w:val="0"/>
          <w:sz w:val="22"/>
          <w:szCs w:val="22"/>
          <w:lang w:eastAsia="en-GB"/>
          <w14:ligatures w14:val="none"/>
        </w:rPr>
        <w:lastRenderedPageBreak/>
        <w:t>missed. That is something I will remember for my own practice always ask who else could help.</w:t>
      </w:r>
    </w:p>
    <w:p w14:paraId="426D7054" w14:textId="2CA00FA2"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Analysis</w:t>
      </w:r>
      <w:r w:rsidRPr="0080512E">
        <w:rPr>
          <w:rFonts w:ascii="Arial" w:eastAsia="Times New Roman" w:hAnsi="Arial" w:cs="Arial"/>
          <w:color w:val="000000" w:themeColor="text1"/>
          <w:kern w:val="0"/>
          <w:sz w:val="22"/>
          <w:szCs w:val="22"/>
          <w:lang w:eastAsia="en-GB"/>
          <w14:ligatures w14:val="none"/>
        </w:rPr>
        <w:br/>
        <w:t xml:space="preserve">These cases showed me the power of the social model of care. The medical model focuses on diagnosis and </w:t>
      </w:r>
      <w:r w:rsidR="008415E3" w:rsidRPr="0080512E">
        <w:rPr>
          <w:rFonts w:ascii="Arial" w:eastAsia="Times New Roman" w:hAnsi="Arial" w:cs="Arial"/>
          <w:color w:val="000000" w:themeColor="text1"/>
          <w:kern w:val="0"/>
          <w:sz w:val="22"/>
          <w:szCs w:val="22"/>
          <w:lang w:eastAsia="en-GB"/>
          <w14:ligatures w14:val="none"/>
        </w:rPr>
        <w:t>treatment dementia</w:t>
      </w:r>
      <w:r w:rsidRPr="0080512E">
        <w:rPr>
          <w:rFonts w:ascii="Arial" w:eastAsia="Times New Roman" w:hAnsi="Arial" w:cs="Arial"/>
          <w:color w:val="000000" w:themeColor="text1"/>
          <w:kern w:val="0"/>
          <w:sz w:val="22"/>
          <w:szCs w:val="22"/>
          <w:lang w:eastAsia="en-GB"/>
          <w14:ligatures w14:val="none"/>
        </w:rPr>
        <w:t>, diabetes, learning disability, Parkinson's. The social model focuses on removing environmental and social barriers to participation. By adapting routines such as offering evening personal care to the former nurse, removing physical barriers such as easy-open bottle tops, coordinating services through a discharge bundle, and involving families in planning, these professionals made it possible for people to live well despite their conditions. That is not just kinder it is more effective.</w:t>
      </w:r>
    </w:p>
    <w:p w14:paraId="7B7B0DFE"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Maslow's (1943) Hierarchy of Needs became real for me here, not just a diagram from a textbook. At the bottom of the pyramid, physiological needs: the resident with dementia needed to eat, so the night-time snack mattered. Safety needs: the grab rails, key safe, and medication review covered that. Love and belonging: the resident's cat, the befriender who visited twice a week, and family visits all addressed this level. Esteem: making her own decisions about when to bathe, staying in her own home, still being the person who decides what happens in her day. And perhaps even self-actualisation – that quiet satisfaction of living a dignified life on her own terms. Maslow argued that you cannot reach the higher levels of the hierarchy without the lower levels being secure. The professionals who succeeded understood that instinctively, even if they had never read Maslow's original work.</w:t>
      </w:r>
    </w:p>
    <w:p w14:paraId="3AD4D46A"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The Care Act 2014's well-being principle was also central to what made the good examples successful. Section 1 of the Act lists individual well-being as including personal dignity, physical and mental health, control over daily life, participation in work and recreation, and social and economic well-being. The successful plans I observed addressed every single one of those domains. The unsuccessful plans addressed almost none of them.</w:t>
      </w:r>
    </w:p>
    <w:p w14:paraId="11E5CC30" w14:textId="53CD252B"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The Health and Care Act 2022's push for integration was not just bureaucracy. It was exactly what happened in the good </w:t>
      </w:r>
      <w:r w:rsidR="008415E3" w:rsidRPr="0080512E">
        <w:rPr>
          <w:rFonts w:ascii="Arial" w:eastAsia="Times New Roman" w:hAnsi="Arial" w:cs="Arial"/>
          <w:color w:val="000000" w:themeColor="text1"/>
          <w:kern w:val="0"/>
          <w:sz w:val="22"/>
          <w:szCs w:val="22"/>
          <w:lang w:eastAsia="en-GB"/>
          <w14:ligatures w14:val="none"/>
        </w:rPr>
        <w:t>example’s</w:t>
      </w:r>
      <w:r w:rsidRPr="0080512E">
        <w:rPr>
          <w:rFonts w:ascii="Arial" w:eastAsia="Times New Roman" w:hAnsi="Arial" w:cs="Arial"/>
          <w:color w:val="000000" w:themeColor="text1"/>
          <w:kern w:val="0"/>
          <w:sz w:val="22"/>
          <w:szCs w:val="22"/>
          <w:lang w:eastAsia="en-GB"/>
          <w14:ligatures w14:val="none"/>
        </w:rPr>
        <w:t xml:space="preserve"> different organisations with different budgets and different cultures finding a way to work together around one person. The Act created Integrated Care Systems to make this normal rather than exceptional. My examples show why that matters so much.</w:t>
      </w:r>
    </w:p>
    <w:p w14:paraId="37D71392"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From a professional ethics perspective, Beauchamp and Childress (2019) gave me a framework to judge what happened. Autonomy was upheld fully in the good examples and ignored in the bad ones. Beneficence was demonstrated by the liaison nurse who actively did good for the person with a learning disability. Non-maleficence was achieved because she avoided the harm of a rushed and thoughtless discharge. Justice was served because she ensured the person was not disadvantaged by poor communication or lack of resources. I want to be the kind of professional who runs every difficult decision through those four principles, not occasionally but every single time.</w:t>
      </w:r>
    </w:p>
    <w:p w14:paraId="5116A27A"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The research evidence backs up what I observed. Chenoweth et al. (2019) showed that person-centred care reduces falls and agitation in dementia care. Coulter et al. (2015) proved that co-creating care plans improves medication adherence and reduces hospital admissions. Manthorpe and Martineau (2018) demonstrated that partnership working in discharge planning cuts readmissions by over forty percent. This is not opinion – it is peer-reviewed evidence. And as a professional, I have a duty to follow the evidence, not just my own intuition or habit.</w:t>
      </w:r>
    </w:p>
    <w:p w14:paraId="6C640560"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Conclusion</w:t>
      </w:r>
      <w:r w:rsidRPr="0080512E">
        <w:rPr>
          <w:rFonts w:ascii="Arial" w:eastAsia="Times New Roman" w:hAnsi="Arial" w:cs="Arial"/>
          <w:color w:val="000000" w:themeColor="text1"/>
          <w:kern w:val="0"/>
          <w:sz w:val="22"/>
          <w:szCs w:val="22"/>
          <w:lang w:eastAsia="en-GB"/>
          <w14:ligatures w14:val="none"/>
        </w:rPr>
        <w:br/>
        <w:t xml:space="preserve">I have learned that good care is not about fixing people. It is about standing alongside them and helping them reach their own goals. My role as a future professional is to be an </w:t>
      </w:r>
      <w:r w:rsidRPr="0080512E">
        <w:rPr>
          <w:rFonts w:ascii="Arial" w:eastAsia="Times New Roman" w:hAnsi="Arial" w:cs="Arial"/>
          <w:color w:val="000000" w:themeColor="text1"/>
          <w:kern w:val="0"/>
          <w:sz w:val="22"/>
          <w:szCs w:val="22"/>
          <w:lang w:eastAsia="en-GB"/>
          <w14:ligatures w14:val="none"/>
        </w:rPr>
        <w:lastRenderedPageBreak/>
        <w:t>advocate and a bridge-builder, not just a technician following a checklist. I need to challenge one-size-fits-all solutions, even when that feels uncomfortable or time-consuming. I also need to be humble enough to admit that I cannot meet every need myself – partnership working is not a weakness, it is a strength.</w:t>
      </w:r>
    </w:p>
    <w:p w14:paraId="542F12A9"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The hardest lesson from this reflection is this: doing the right thing often takes more time upfront. There is no way around that. But that time is not wasted. It is the most valuable investment a professional can make.</w:t>
      </w:r>
    </w:p>
    <w:p w14:paraId="2CEBAEB1" w14:textId="3A743543"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Action Plan</w:t>
      </w:r>
      <w:r w:rsidRPr="0080512E">
        <w:rPr>
          <w:rFonts w:ascii="Arial" w:eastAsia="Times New Roman" w:hAnsi="Arial" w:cs="Arial"/>
          <w:color w:val="000000" w:themeColor="text1"/>
          <w:kern w:val="0"/>
          <w:sz w:val="22"/>
          <w:szCs w:val="22"/>
          <w:lang w:eastAsia="en-GB"/>
          <w14:ligatures w14:val="none"/>
        </w:rPr>
        <w:br/>
        <w:t xml:space="preserve">So what will I </w:t>
      </w:r>
      <w:r w:rsidR="00D01A92" w:rsidRPr="0080512E">
        <w:rPr>
          <w:rFonts w:ascii="Arial" w:eastAsia="Times New Roman" w:hAnsi="Arial" w:cs="Arial"/>
          <w:color w:val="000000" w:themeColor="text1"/>
          <w:kern w:val="0"/>
          <w:sz w:val="22"/>
          <w:szCs w:val="22"/>
          <w:lang w:eastAsia="en-GB"/>
          <w14:ligatures w14:val="none"/>
        </w:rPr>
        <w:t>do</w:t>
      </w:r>
      <w:r w:rsidRPr="0080512E">
        <w:rPr>
          <w:rFonts w:ascii="Arial" w:eastAsia="Times New Roman" w:hAnsi="Arial" w:cs="Arial"/>
          <w:color w:val="000000" w:themeColor="text1"/>
          <w:kern w:val="0"/>
          <w:sz w:val="22"/>
          <w:szCs w:val="22"/>
          <w:lang w:eastAsia="en-GB"/>
          <w14:ligatures w14:val="none"/>
        </w:rPr>
        <w:t xml:space="preserve"> differently from now on? I have thought about this carefully, and I have come up with several concrete actions.</w:t>
      </w:r>
    </w:p>
    <w:p w14:paraId="68999936" w14:textId="0B233F33"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First, I need to improve my listening skills. Not just hearing the words people </w:t>
      </w:r>
      <w:r w:rsidR="00D01A92" w:rsidRPr="0080512E">
        <w:rPr>
          <w:rFonts w:ascii="Arial" w:eastAsia="Times New Roman" w:hAnsi="Arial" w:cs="Arial"/>
          <w:color w:val="000000" w:themeColor="text1"/>
          <w:kern w:val="0"/>
          <w:sz w:val="22"/>
          <w:szCs w:val="22"/>
          <w:lang w:eastAsia="en-GB"/>
          <w14:ligatures w14:val="none"/>
        </w:rPr>
        <w:t>say but</w:t>
      </w:r>
      <w:r w:rsidRPr="0080512E">
        <w:rPr>
          <w:rFonts w:ascii="Arial" w:eastAsia="Times New Roman" w:hAnsi="Arial" w:cs="Arial"/>
          <w:color w:val="000000" w:themeColor="text1"/>
          <w:kern w:val="0"/>
          <w:sz w:val="22"/>
          <w:szCs w:val="22"/>
          <w:lang w:eastAsia="en-GB"/>
          <w14:ligatures w14:val="none"/>
        </w:rPr>
        <w:t xml:space="preserve"> really understanding what matters to the person in front of me. I plan to practice using open-ended questions and motivational interviewing techniques. I have borrowed a book on motivational interviewing from my university library, and I will ask my placement supervisor to observe one of my interactions each week and give me honest feedback on whether I am truly listening or just waiting for my turn to talk.</w:t>
      </w:r>
    </w:p>
    <w:p w14:paraId="67978F72"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Second, I need to become an expert on local resources. Partnership working is impossible if you do not know who the potential partners are. My specific action is to create a personal directory of local voluntary organisations, support groups, and community services within the next month. I will include Age UK, the local carers' centre, dementia support groups, food banks, handyperson services, befriending schemes, and any other resource I can find. I will keep this directory on my phone so I can access it during home visits. I will also update it every three months because services change and new ones appear.</w:t>
      </w:r>
    </w:p>
    <w:p w14:paraId="3C66F8A8" w14:textId="49E7E2EE"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Third, I need to develop my advocacy skills. It is one thing to know what is right; it is another thing entirely to speak up when a manager or a doctor or a social worker is pushing for a quick fix that ignores the person's wishes. I have committed to reading the Social Care Institute for Excellence (SCIE) guides on the Care Act and personalisation cover to cover. I </w:t>
      </w:r>
      <w:r w:rsidR="0080512E" w:rsidRPr="0080512E">
        <w:rPr>
          <w:rFonts w:ascii="Arial" w:eastAsia="Times New Roman" w:hAnsi="Arial" w:cs="Arial"/>
          <w:color w:val="000000" w:themeColor="text1"/>
          <w:kern w:val="0"/>
          <w:sz w:val="22"/>
          <w:szCs w:val="22"/>
          <w:lang w:eastAsia="en-GB"/>
          <w14:ligatures w14:val="none"/>
        </w:rPr>
        <w:t>will</w:t>
      </w:r>
      <w:r w:rsidRPr="0080512E">
        <w:rPr>
          <w:rFonts w:ascii="Arial" w:eastAsia="Times New Roman" w:hAnsi="Arial" w:cs="Arial"/>
          <w:color w:val="000000" w:themeColor="text1"/>
          <w:kern w:val="0"/>
          <w:sz w:val="22"/>
          <w:szCs w:val="22"/>
          <w:lang w:eastAsia="en-GB"/>
          <w14:ligatures w14:val="none"/>
        </w:rPr>
        <w:t xml:space="preserve"> also ask my mentor to role-play difficult conversations with me for example, how to politely but firmly challenge a decision to place someone in residential care when they want to stay at home. Role-playing feels awkward, but I know it works.</w:t>
      </w:r>
    </w:p>
    <w:p w14:paraId="555E229E" w14:textId="4A309139"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Fourth, I will apply ethical frameworks systematically. From now on, whenever I face a difficult decision, I will literally write down Beauchamp and Childress's four principles – autonomy, beneficence, non-maleficence, justice and work through each one before I act. I might keep a small notebook in my pocket for this purpose. Over time, I hope it becomes second nature rather than a conscious effort.</w:t>
      </w:r>
    </w:p>
    <w:p w14:paraId="1762DC38"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Fifth, I will seek out opportunities to participate in real partnership meetings. I have asked my placement coordinator if I can observe a multi-disciplinary team meeting or an Integrated Care System board meeting. Watching how experienced professionals negotiate and coordinate in real time will teach me more than any textbook or lecture.</w:t>
      </w:r>
    </w:p>
    <w:p w14:paraId="46A71B7F"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Finally, I will be kinder to myself. Reflecting on these examples made me realise that I am still learning. I will not get everything right immediately, and that is okay. But as long as I keep asking what matters to you? and who else needs to be involved? and is this ethical? – I will be moving in the right direction.</w:t>
      </w:r>
    </w:p>
    <w:p w14:paraId="13D6B819" w14:textId="493ABBC1" w:rsidR="000B7C71" w:rsidRPr="0080512E" w:rsidRDefault="000B7C71" w:rsidP="008C7F5E">
      <w:pPr>
        <w:spacing w:before="240" w:after="240" w:line="240" w:lineRule="auto"/>
        <w:rPr>
          <w:rFonts w:ascii="Arial" w:eastAsia="Times New Roman" w:hAnsi="Arial" w:cs="Arial"/>
          <w:color w:val="000000" w:themeColor="text1"/>
          <w:kern w:val="0"/>
          <w:sz w:val="22"/>
          <w:szCs w:val="22"/>
          <w:lang w:eastAsia="en-GB"/>
          <w14:ligatures w14:val="none"/>
        </w:rPr>
      </w:pPr>
    </w:p>
    <w:p w14:paraId="2F614C35"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Conclusion</w:t>
      </w:r>
    </w:p>
    <w:p w14:paraId="42B55EC7" w14:textId="5866694F"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lastRenderedPageBreak/>
        <w:t xml:space="preserve">To summarise, person-centred care, partnership working, and ethics are not optional extras in UK health and social care. They are the foundation upon which everything else must be built. The Care Act 2014 and the Health and Care Act 2022 provide the legal framework, and Maslow's Hierarchy of Needs provides the psychological rationale for why these approaches work so effectively. Through the examples shared drawn from both practice experience and published </w:t>
      </w:r>
      <w:r w:rsidR="008415E3" w:rsidRPr="0080512E">
        <w:rPr>
          <w:rFonts w:ascii="Arial" w:eastAsia="Times New Roman" w:hAnsi="Arial" w:cs="Arial"/>
          <w:color w:val="000000" w:themeColor="text1"/>
          <w:kern w:val="0"/>
          <w:sz w:val="22"/>
          <w:szCs w:val="22"/>
          <w:lang w:eastAsia="en-GB"/>
          <w14:ligatures w14:val="none"/>
        </w:rPr>
        <w:t>research listening</w:t>
      </w:r>
      <w:r w:rsidRPr="0080512E">
        <w:rPr>
          <w:rFonts w:ascii="Arial" w:eastAsia="Times New Roman" w:hAnsi="Arial" w:cs="Arial"/>
          <w:color w:val="000000" w:themeColor="text1"/>
          <w:kern w:val="0"/>
          <w:sz w:val="22"/>
          <w:szCs w:val="22"/>
          <w:lang w:eastAsia="en-GB"/>
          <w14:ligatures w14:val="none"/>
        </w:rPr>
        <w:t xml:space="preserve"> to individuals, bringing partners together around a shared goal, and acting ethically can transform lives. The evidence is compelling: person-centred care reduces falls and agitation (Chenoweth et al., 2019), co-created care plans improve medication adherence and cut hospital admissions (Coulter et al., 2015), and partnership working in discharge planning dramatically reduces readmissions (Manthorpe and Martineau, 2018). The personal reflection has identified areas for </w:t>
      </w:r>
      <w:r w:rsidR="00D01A92" w:rsidRPr="0080512E">
        <w:rPr>
          <w:rFonts w:ascii="Arial" w:eastAsia="Times New Roman" w:hAnsi="Arial" w:cs="Arial"/>
          <w:color w:val="000000" w:themeColor="text1"/>
          <w:kern w:val="0"/>
          <w:sz w:val="22"/>
          <w:szCs w:val="22"/>
          <w:lang w:eastAsia="en-GB"/>
          <w14:ligatures w14:val="none"/>
        </w:rPr>
        <w:t>growth in</w:t>
      </w:r>
      <w:r w:rsidRPr="0080512E">
        <w:rPr>
          <w:rFonts w:ascii="Arial" w:eastAsia="Times New Roman" w:hAnsi="Arial" w:cs="Arial"/>
          <w:color w:val="000000" w:themeColor="text1"/>
          <w:kern w:val="0"/>
          <w:sz w:val="22"/>
          <w:szCs w:val="22"/>
          <w:lang w:eastAsia="en-GB"/>
          <w14:ligatures w14:val="none"/>
        </w:rPr>
        <w:t xml:space="preserve"> listening, in knowing local resources, in advocacy, in using ethical checklists, and in participating actively in partnership meetings. There is a commitment to developing these skills so that the people cared for in the future always feel seen, heard, and empowered. The system is not perfect, but any professional can choose to be part of the solution rather than part of the problem.</w:t>
      </w:r>
    </w:p>
    <w:p w14:paraId="4301C3BF" w14:textId="77777777" w:rsidR="000B7C71" w:rsidRPr="0080512E" w:rsidRDefault="00192A9E" w:rsidP="008C7F5E">
      <w:pPr>
        <w:spacing w:before="240" w:after="240" w:line="24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pict w14:anchorId="46FB0612">
          <v:rect id="_x0000_i1026" style="width:0;height:.75pt" o:hralign="center" o:hrstd="t" o:hr="t" fillcolor="#a0a0a0" stroked="f"/>
        </w:pict>
      </w:r>
    </w:p>
    <w:p w14:paraId="35BF4CDB"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References</w:t>
      </w:r>
    </w:p>
    <w:p w14:paraId="06F43891"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Baxter, S., Johnson, M., Chambers, D., Sutton, A., Goyder, E. and Booth, A. (2018) 'The effects of integrated care: a systematic review of UK and international evidence', BMC Health Services Research, 18(1), p. 350.</w:t>
      </w:r>
    </w:p>
    <w:p w14:paraId="622ABF55"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Beauchamp, T.L. and Childress, J.F. (2019) Principles of Biomedical Ethics. 8th </w:t>
      </w:r>
      <w:proofErr w:type="spellStart"/>
      <w:r w:rsidRPr="0080512E">
        <w:rPr>
          <w:rFonts w:ascii="Arial" w:eastAsia="Times New Roman" w:hAnsi="Arial" w:cs="Arial"/>
          <w:color w:val="000000" w:themeColor="text1"/>
          <w:kern w:val="0"/>
          <w:sz w:val="22"/>
          <w:szCs w:val="22"/>
          <w:lang w:eastAsia="en-GB"/>
          <w14:ligatures w14:val="none"/>
        </w:rPr>
        <w:t>edn</w:t>
      </w:r>
      <w:proofErr w:type="spellEnd"/>
      <w:r w:rsidRPr="0080512E">
        <w:rPr>
          <w:rFonts w:ascii="Arial" w:eastAsia="Times New Roman" w:hAnsi="Arial" w:cs="Arial"/>
          <w:color w:val="000000" w:themeColor="text1"/>
          <w:kern w:val="0"/>
          <w:sz w:val="22"/>
          <w:szCs w:val="22"/>
          <w:lang w:eastAsia="en-GB"/>
          <w14:ligatures w14:val="none"/>
        </w:rPr>
        <w:t>. New York: Oxford University Press.</w:t>
      </w:r>
    </w:p>
    <w:p w14:paraId="1CFB039C"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Cameron, A., Lart, R., Bostock, L. and Coomber, C. (2014) 'Factors that promote and hinder joint and integrated working between health and social care services', Research Briefing, 41, pp. 1-12.</w:t>
      </w:r>
    </w:p>
    <w:p w14:paraId="64C64871"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Chenoweth, L., Stein-Parbury, J., Lapkin, S., Wang, A. and Liu, Z. (2019) 'Effects of person-centred care on agitation and falls in people with dementia', International Journal of Geriatric Psychiatry, 34(1), pp. 92-101.</w:t>
      </w:r>
    </w:p>
    <w:p w14:paraId="25D60FE9"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Coulter, A., Entwistle, V.A., Eccles, A., Ryan, S., Shepperd, S. and Perera, R. (2015) 'Personalised care planning for adults with chronic or long-term health conditions', Cochrane Database of Systematic Reviews, Issue 3. Art. No.: CD010523.</w:t>
      </w:r>
    </w:p>
    <w:p w14:paraId="202D36F6"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Department of Health and Social Care (2022) Health and Care Act 2022: integrated care systems. London: DHSC.</w:t>
      </w:r>
    </w:p>
    <w:p w14:paraId="01A242A1"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Gibbs, G. (1988) Learning by Doing: A Guide to Teaching and Learning Methods. Oxford: Further Education Unit, Oxford Polytechnic.</w:t>
      </w:r>
    </w:p>
    <w:p w14:paraId="48E2C400"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 xml:space="preserve">Glasby, J. and Dickinson, H. (2014) Partnership Working in Health and Social Care: What is Integrated Care and How Can We Deliver It? 2nd </w:t>
      </w:r>
      <w:proofErr w:type="spellStart"/>
      <w:r w:rsidRPr="0080512E">
        <w:rPr>
          <w:rFonts w:ascii="Arial" w:eastAsia="Times New Roman" w:hAnsi="Arial" w:cs="Arial"/>
          <w:color w:val="000000" w:themeColor="text1"/>
          <w:kern w:val="0"/>
          <w:sz w:val="22"/>
          <w:szCs w:val="22"/>
          <w:lang w:eastAsia="en-GB"/>
          <w14:ligatures w14:val="none"/>
        </w:rPr>
        <w:t>edn</w:t>
      </w:r>
      <w:proofErr w:type="spellEnd"/>
      <w:r w:rsidRPr="0080512E">
        <w:rPr>
          <w:rFonts w:ascii="Arial" w:eastAsia="Times New Roman" w:hAnsi="Arial" w:cs="Arial"/>
          <w:color w:val="000000" w:themeColor="text1"/>
          <w:kern w:val="0"/>
          <w:sz w:val="22"/>
          <w:szCs w:val="22"/>
          <w:lang w:eastAsia="en-GB"/>
          <w14:ligatures w14:val="none"/>
        </w:rPr>
        <w:t>. Bristol: Policy Press.</w:t>
      </w:r>
    </w:p>
    <w:p w14:paraId="3E85FF9B"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Glendinning, C. (2003) 'Partnership working between health and social care', British Medical Bulletin, 65(1), pp. 115-127.</w:t>
      </w:r>
    </w:p>
    <w:p w14:paraId="35ABA6D0"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Manthorpe, J. and Martineau, S. (2018) 'Discharge planning for people with learning disabilities: a systematic review', Journal of Intellectual Disabilities, 22(4), pp. 378-394.</w:t>
      </w:r>
    </w:p>
    <w:p w14:paraId="152B5AAC"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lastRenderedPageBreak/>
        <w:t>Maslow, A.H. (1943) 'A theory of human motivation', Psychological Review, 50(4), pp. 370-396.</w:t>
      </w:r>
    </w:p>
    <w:p w14:paraId="3B423B8C"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National Institute for Health and Care Excellence (2015) Transition between inpatient hospital settings and community or care home settings for adults with social care needs. NICE guideline NG27.</w:t>
      </w:r>
    </w:p>
    <w:p w14:paraId="76F33323"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Nursing and Midwifery Council (2018) The Code: Professional standards of practice and behaviour for nurses, midwives and nursing associates. London: NMC.</w:t>
      </w:r>
    </w:p>
    <w:p w14:paraId="6AFDB847"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RAND Europe (2013) National Evaluation of the Department of Health's Integrated Care Pilots. Cambridge: RAND Corporation.</w:t>
      </w:r>
    </w:p>
    <w:p w14:paraId="229371A8"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Roberts, S. and Green, C. (2017) 'Parkinson's disease and hospital discharge: an ethical analysis', British Journal of Community Nursing, 22(6), pp. 284-289.</w:t>
      </w:r>
    </w:p>
    <w:p w14:paraId="0D7C093C"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Social Care Wales (2017) Code of Professional Practice for Social Care. Cardiff: Social Care Wales.</w:t>
      </w:r>
    </w:p>
    <w:p w14:paraId="6A7AF60C"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Social Care Institute for Excellence (2019) Personalisation briefing: Implications for social workers. London: SCIE.</w:t>
      </w:r>
    </w:p>
    <w:p w14:paraId="0A3E0D7E"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The Care Act 2014 (c. 23). London: The Stationery Office.</w:t>
      </w:r>
    </w:p>
    <w:p w14:paraId="09985A2B"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The Health Foundation (2016) Person-centred care made simple. London: The Health Foundation.</w:t>
      </w:r>
    </w:p>
    <w:p w14:paraId="34C7CA5C" w14:textId="77777777" w:rsidR="000B7C71" w:rsidRPr="0080512E" w:rsidRDefault="000B7C71" w:rsidP="008C7F5E">
      <w:pPr>
        <w:shd w:val="clear" w:color="auto" w:fill="FFFFFF"/>
        <w:spacing w:before="240" w:after="240" w:line="240" w:lineRule="auto"/>
        <w:rPr>
          <w:rFonts w:ascii="Arial" w:eastAsia="Times New Roman" w:hAnsi="Arial" w:cs="Arial"/>
          <w:color w:val="000000" w:themeColor="text1"/>
          <w:kern w:val="0"/>
          <w:sz w:val="22"/>
          <w:szCs w:val="22"/>
          <w:lang w:eastAsia="en-GB"/>
          <w14:ligatures w14:val="none"/>
        </w:rPr>
      </w:pPr>
      <w:r w:rsidRPr="0080512E">
        <w:rPr>
          <w:rFonts w:ascii="Arial" w:eastAsia="Times New Roman" w:hAnsi="Arial" w:cs="Arial"/>
          <w:color w:val="000000" w:themeColor="text1"/>
          <w:kern w:val="0"/>
          <w:sz w:val="22"/>
          <w:szCs w:val="22"/>
          <w:lang w:eastAsia="en-GB"/>
          <w14:ligatures w14:val="none"/>
        </w:rPr>
        <w:t>The King's Fund (2017) Voluntary sector in integrated care. London: The King's Fund.</w:t>
      </w:r>
    </w:p>
    <w:p w14:paraId="3F2D13B6" w14:textId="77777777" w:rsidR="000B7C71" w:rsidRPr="0080512E" w:rsidRDefault="000B7C71" w:rsidP="008C7F5E">
      <w:pPr>
        <w:spacing w:before="240" w:after="240" w:line="240" w:lineRule="auto"/>
        <w:rPr>
          <w:rFonts w:ascii="Arial" w:hAnsi="Arial" w:cs="Arial"/>
          <w:color w:val="000000" w:themeColor="text1"/>
          <w:sz w:val="22"/>
          <w:szCs w:val="22"/>
        </w:rPr>
      </w:pPr>
    </w:p>
    <w:p w14:paraId="1FC60515" w14:textId="5191D86D" w:rsidR="008C7F5E" w:rsidRPr="0080512E" w:rsidRDefault="008C7F5E">
      <w:pPr>
        <w:rPr>
          <w:rFonts w:ascii="Arial" w:hAnsi="Arial" w:cs="Arial"/>
          <w:color w:val="000000" w:themeColor="text1"/>
          <w:sz w:val="22"/>
          <w:szCs w:val="22"/>
        </w:rPr>
      </w:pPr>
    </w:p>
    <w:sectPr w:rsidR="008C7F5E" w:rsidRPr="008051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C71"/>
    <w:rsid w:val="00026703"/>
    <w:rsid w:val="00066DA9"/>
    <w:rsid w:val="000B7C71"/>
    <w:rsid w:val="000D4ACE"/>
    <w:rsid w:val="0018232B"/>
    <w:rsid w:val="001A7B7F"/>
    <w:rsid w:val="001D55C4"/>
    <w:rsid w:val="002334D8"/>
    <w:rsid w:val="00237C18"/>
    <w:rsid w:val="00276508"/>
    <w:rsid w:val="00286DBD"/>
    <w:rsid w:val="002A6406"/>
    <w:rsid w:val="003078BA"/>
    <w:rsid w:val="00364912"/>
    <w:rsid w:val="00402001"/>
    <w:rsid w:val="004D39F0"/>
    <w:rsid w:val="00515BA6"/>
    <w:rsid w:val="00580F42"/>
    <w:rsid w:val="00630833"/>
    <w:rsid w:val="006D1CA4"/>
    <w:rsid w:val="00703AA8"/>
    <w:rsid w:val="00741A5E"/>
    <w:rsid w:val="00745F52"/>
    <w:rsid w:val="0076724C"/>
    <w:rsid w:val="00784292"/>
    <w:rsid w:val="007A74E1"/>
    <w:rsid w:val="0080512E"/>
    <w:rsid w:val="008415E3"/>
    <w:rsid w:val="008A1E74"/>
    <w:rsid w:val="008C7F5E"/>
    <w:rsid w:val="00931070"/>
    <w:rsid w:val="009720A9"/>
    <w:rsid w:val="009E0751"/>
    <w:rsid w:val="00B05648"/>
    <w:rsid w:val="00B15B4B"/>
    <w:rsid w:val="00B6231D"/>
    <w:rsid w:val="00B839E2"/>
    <w:rsid w:val="00B94A38"/>
    <w:rsid w:val="00BB5F72"/>
    <w:rsid w:val="00C13B91"/>
    <w:rsid w:val="00C2482B"/>
    <w:rsid w:val="00CD1C81"/>
    <w:rsid w:val="00D01A92"/>
    <w:rsid w:val="00D308C3"/>
    <w:rsid w:val="00D70AAC"/>
    <w:rsid w:val="00D909A6"/>
    <w:rsid w:val="00DA4B01"/>
    <w:rsid w:val="00DB4BF2"/>
    <w:rsid w:val="00DC5D5A"/>
    <w:rsid w:val="00DD3AF6"/>
    <w:rsid w:val="00DD7D2D"/>
    <w:rsid w:val="00DE7CC5"/>
    <w:rsid w:val="00E92AA7"/>
    <w:rsid w:val="00F66041"/>
    <w:rsid w:val="00F87130"/>
    <w:rsid w:val="00F977F5"/>
    <w:rsid w:val="00FB4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FFD8B"/>
  <w15:chartTrackingRefBased/>
  <w15:docId w15:val="{A6D0C5BB-66EA-4081-92D8-DDB7729A7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C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7C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7C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7C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7C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7C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C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C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C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C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7C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7C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7C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7C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7C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C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C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C71"/>
    <w:rPr>
      <w:rFonts w:eastAsiaTheme="majorEastAsia" w:cstheme="majorBidi"/>
      <w:color w:val="272727" w:themeColor="text1" w:themeTint="D8"/>
    </w:rPr>
  </w:style>
  <w:style w:type="paragraph" w:styleId="Title">
    <w:name w:val="Title"/>
    <w:basedOn w:val="Normal"/>
    <w:next w:val="Normal"/>
    <w:link w:val="TitleChar"/>
    <w:uiPriority w:val="10"/>
    <w:qFormat/>
    <w:rsid w:val="000B7C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C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C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C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C71"/>
    <w:pPr>
      <w:spacing w:before="160"/>
      <w:jc w:val="center"/>
    </w:pPr>
    <w:rPr>
      <w:i/>
      <w:iCs/>
      <w:color w:val="404040" w:themeColor="text1" w:themeTint="BF"/>
    </w:rPr>
  </w:style>
  <w:style w:type="character" w:customStyle="1" w:styleId="QuoteChar">
    <w:name w:val="Quote Char"/>
    <w:basedOn w:val="DefaultParagraphFont"/>
    <w:link w:val="Quote"/>
    <w:uiPriority w:val="29"/>
    <w:rsid w:val="000B7C71"/>
    <w:rPr>
      <w:i/>
      <w:iCs/>
      <w:color w:val="404040" w:themeColor="text1" w:themeTint="BF"/>
    </w:rPr>
  </w:style>
  <w:style w:type="paragraph" w:styleId="ListParagraph">
    <w:name w:val="List Paragraph"/>
    <w:basedOn w:val="Normal"/>
    <w:uiPriority w:val="34"/>
    <w:qFormat/>
    <w:rsid w:val="000B7C71"/>
    <w:pPr>
      <w:ind w:left="720"/>
      <w:contextualSpacing/>
    </w:pPr>
  </w:style>
  <w:style w:type="character" w:styleId="IntenseEmphasis">
    <w:name w:val="Intense Emphasis"/>
    <w:basedOn w:val="DefaultParagraphFont"/>
    <w:uiPriority w:val="21"/>
    <w:qFormat/>
    <w:rsid w:val="000B7C71"/>
    <w:rPr>
      <w:i/>
      <w:iCs/>
      <w:color w:val="0F4761" w:themeColor="accent1" w:themeShade="BF"/>
    </w:rPr>
  </w:style>
  <w:style w:type="paragraph" w:styleId="IntenseQuote">
    <w:name w:val="Intense Quote"/>
    <w:basedOn w:val="Normal"/>
    <w:next w:val="Normal"/>
    <w:link w:val="IntenseQuoteChar"/>
    <w:uiPriority w:val="30"/>
    <w:qFormat/>
    <w:rsid w:val="000B7C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7C71"/>
    <w:rPr>
      <w:i/>
      <w:iCs/>
      <w:color w:val="0F4761" w:themeColor="accent1" w:themeShade="BF"/>
    </w:rPr>
  </w:style>
  <w:style w:type="character" w:styleId="IntenseReference">
    <w:name w:val="Intense Reference"/>
    <w:basedOn w:val="DefaultParagraphFont"/>
    <w:uiPriority w:val="32"/>
    <w:qFormat/>
    <w:rsid w:val="000B7C7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10" ma:contentTypeDescription="Create a new document." ma:contentTypeScope="" ma:versionID="b58124d40a48966a0c7e829b2e141e07">
  <xsd:schema xmlns:xsd="http://www.w3.org/2001/XMLSchema" xmlns:xs="http://www.w3.org/2001/XMLSchema" xmlns:p="http://schemas.microsoft.com/office/2006/metadata/properties" xmlns:ns3="29f22b7a-c618-4079-bd50-06f987a7a4b0" targetNamespace="http://schemas.microsoft.com/office/2006/metadata/properties" ma:root="true" ma:fieldsID="147493b7bae670cfa1684ea0bfb54832"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Props1.xml><?xml version="1.0" encoding="utf-8"?>
<ds:datastoreItem xmlns:ds="http://schemas.openxmlformats.org/officeDocument/2006/customXml" ds:itemID="{BA9B3C2B-A774-4B3D-989B-2EEC097937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39F829-B9F8-4C91-BD49-45521F4E11AF}">
  <ds:schemaRefs>
    <ds:schemaRef ds:uri="http://schemas.microsoft.com/sharepoint/v3/contenttype/forms"/>
  </ds:schemaRefs>
</ds:datastoreItem>
</file>

<file path=customXml/itemProps3.xml><?xml version="1.0" encoding="utf-8"?>
<ds:datastoreItem xmlns:ds="http://schemas.openxmlformats.org/officeDocument/2006/customXml" ds:itemID="{FAAB83C1-D744-4B2A-B156-74696E6DCCDD}">
  <ds:schemaRefs>
    <ds:schemaRef ds:uri="http://schemas.microsoft.com/office/2006/metadata/properties"/>
    <ds:schemaRef ds:uri="http://schemas.microsoft.com/office/infopath/2007/PartnerControls"/>
    <ds:schemaRef ds:uri="29f22b7a-c618-4079-bd50-06f987a7a4b0"/>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9</Pages>
  <Words>3657</Words>
  <Characters>20851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 Yaw Attuah Ansah Philip</dc:creator>
  <cp:keywords/>
  <dc:description/>
  <cp:lastModifiedBy>Florence Chijioke Oguledo (2411483)</cp:lastModifiedBy>
  <cp:revision>49</cp:revision>
  <dcterms:created xsi:type="dcterms:W3CDTF">2026-04-13T15:34:00Z</dcterms:created>
  <dcterms:modified xsi:type="dcterms:W3CDTF">2026-04-14T18:29:00Z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