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0CC71" w14:textId="041AB79D" w:rsidR="009779AA" w:rsidRPr="0063200C" w:rsidRDefault="00527C37" w:rsidP="009779AA">
      <w:pPr>
        <w:rPr>
          <w:rFonts w:asciiTheme="majorHAnsi" w:hAnsiTheme="majorHAnsi" w:cstheme="majorHAnsi"/>
          <w:sz w:val="24"/>
          <w:szCs w:val="24"/>
          <w:u w:val="single"/>
        </w:rPr>
      </w:pPr>
      <w:r w:rsidRPr="0063200C">
        <w:rPr>
          <w:rFonts w:asciiTheme="majorHAnsi" w:hAnsiTheme="majorHAnsi" w:cstheme="majorHAnsi"/>
          <w:sz w:val="24"/>
          <w:szCs w:val="24"/>
          <w:u w:val="single"/>
        </w:rPr>
        <w:t xml:space="preserve">How does heteronormativity, specifically compulsive heterosexuality, </w:t>
      </w:r>
      <w:r w:rsidR="00F969ED" w:rsidRPr="0063200C">
        <w:rPr>
          <w:rFonts w:asciiTheme="majorHAnsi" w:hAnsiTheme="majorHAnsi" w:cstheme="majorHAnsi"/>
          <w:sz w:val="24"/>
          <w:szCs w:val="24"/>
          <w:u w:val="single"/>
        </w:rPr>
        <w:t>impact on lesbian experience?</w:t>
      </w:r>
      <w:r w:rsidR="00903A27">
        <w:rPr>
          <w:rFonts w:asciiTheme="majorHAnsi" w:hAnsiTheme="majorHAnsi" w:cstheme="majorHAnsi"/>
          <w:sz w:val="24"/>
          <w:szCs w:val="24"/>
          <w:u w:val="single"/>
        </w:rPr>
        <w:t xml:space="preserve"> </w:t>
      </w:r>
      <w:r w:rsidR="00FC6983">
        <w:rPr>
          <w:rFonts w:asciiTheme="majorHAnsi" w:hAnsiTheme="majorHAnsi" w:cstheme="majorHAnsi"/>
          <w:sz w:val="24"/>
          <w:szCs w:val="24"/>
          <w:u w:val="single"/>
        </w:rPr>
        <w:t xml:space="preserve"> </w:t>
      </w:r>
    </w:p>
    <w:p w14:paraId="5E7A9941" w14:textId="77777777" w:rsidR="002860AF" w:rsidRDefault="002860AF" w:rsidP="009779AA"/>
    <w:p w14:paraId="5A6B3699" w14:textId="77777777" w:rsidR="009C2F72" w:rsidRPr="0063200C" w:rsidRDefault="009C2F72" w:rsidP="008C303A">
      <w:pPr>
        <w:pStyle w:val="NormalWeb"/>
        <w:spacing w:before="240" w:beforeAutospacing="0" w:after="240" w:afterAutospacing="0"/>
        <w:rPr>
          <w:rFonts w:asciiTheme="minorHAnsi" w:hAnsiTheme="minorHAnsi" w:cstheme="minorHAnsi"/>
          <w:sz w:val="22"/>
          <w:szCs w:val="22"/>
        </w:rPr>
      </w:pPr>
      <w:r w:rsidRPr="0063200C">
        <w:rPr>
          <w:rFonts w:asciiTheme="minorHAnsi" w:hAnsiTheme="minorHAnsi" w:cstheme="minorHAnsi"/>
          <w:color w:val="000000"/>
          <w:sz w:val="22"/>
          <w:szCs w:val="22"/>
        </w:rPr>
        <w:t>The concept of heteronormativity was arguably popularised by theorist Gayle Rubin in her publication “The traffic of women” in 1975. Within this piece, she closely exposed the idea that gender was implicitly tied to compulsive heterosexuality. For her heterosexuality had to be analysed as the focal point for feminist analysis as it was both the cause and effect of the sex/gender system used to both structure and uphold the subordination of women. For much of the 70s, her views were that heterosexuality was inseparable from gender inequality, gender here both referring to identification with a sex and opposite-sex attraction. (Ward, Jane, and Schneider, 2009)</w:t>
      </w:r>
    </w:p>
    <w:p w14:paraId="5E1A6006" w14:textId="77777777" w:rsidR="009C2F72" w:rsidRPr="0063200C" w:rsidRDefault="009C2F72" w:rsidP="008C303A">
      <w:pPr>
        <w:pStyle w:val="NormalWeb"/>
        <w:spacing w:before="240" w:beforeAutospacing="0" w:after="240" w:afterAutospacing="0"/>
        <w:rPr>
          <w:rFonts w:asciiTheme="minorHAnsi" w:hAnsiTheme="minorHAnsi" w:cstheme="minorHAnsi"/>
          <w:sz w:val="22"/>
          <w:szCs w:val="22"/>
        </w:rPr>
      </w:pPr>
      <w:r w:rsidRPr="0063200C">
        <w:rPr>
          <w:rFonts w:asciiTheme="minorHAnsi" w:hAnsiTheme="minorHAnsi" w:cstheme="minorHAnsi"/>
          <w:color w:val="000000"/>
          <w:sz w:val="22"/>
          <w:szCs w:val="22"/>
        </w:rPr>
        <w:t>Within the publication of her work “Thinking Sex” (1984-1993) the tone of her views had shifted dramatically. Here she calls for a new body of theorizing on sexuality, one that isn’t counted under the study of gender and sex. Famously a point she argues is that sexual normalcy cuts through many systems of privilege and oppression and regulates all people, while also being at the heart of many issues, even globally. (Ward, Jane, and Schneider, 2009)</w:t>
      </w:r>
    </w:p>
    <w:p w14:paraId="34E2BB38" w14:textId="77777777" w:rsidR="009C2F72" w:rsidRPr="0063200C" w:rsidRDefault="009C2F72" w:rsidP="008C303A">
      <w:pPr>
        <w:pStyle w:val="NormalWeb"/>
        <w:spacing w:before="240" w:beforeAutospacing="0" w:after="240" w:afterAutospacing="0"/>
        <w:rPr>
          <w:rFonts w:asciiTheme="minorHAnsi" w:hAnsiTheme="minorHAnsi" w:cstheme="minorHAnsi"/>
          <w:sz w:val="22"/>
          <w:szCs w:val="22"/>
        </w:rPr>
      </w:pPr>
      <w:r w:rsidRPr="0063200C">
        <w:rPr>
          <w:rFonts w:asciiTheme="minorHAnsi" w:hAnsiTheme="minorHAnsi" w:cstheme="minorHAnsi"/>
          <w:color w:val="000000"/>
          <w:sz w:val="22"/>
          <w:szCs w:val="22"/>
        </w:rPr>
        <w:t>So, with heteronormativity being the assumption heterosexuality is the default norm socially and biologically, therefore constructing the idea that non-heterosexual forms are abnormal. Therefore, the excluded forms are open to overt violence or alienation. This idea was not only explored by Rubin but also Adrienne Rich, both women note that a heteronormative system is both oppressive and hierarchical, allowing the privileging of heterosexuals over non-heterosexuals.</w:t>
      </w:r>
    </w:p>
    <w:p w14:paraId="7935228A" w14:textId="77777777" w:rsidR="009C2F72" w:rsidRPr="0063200C" w:rsidRDefault="009C2F72" w:rsidP="008C303A">
      <w:pPr>
        <w:pStyle w:val="NormalWeb"/>
        <w:spacing w:before="240" w:beforeAutospacing="0" w:after="0" w:afterAutospacing="0"/>
        <w:rPr>
          <w:rFonts w:asciiTheme="minorHAnsi" w:hAnsiTheme="minorHAnsi" w:cstheme="minorHAnsi"/>
          <w:sz w:val="22"/>
          <w:szCs w:val="22"/>
        </w:rPr>
      </w:pPr>
      <w:r w:rsidRPr="0063200C">
        <w:rPr>
          <w:rFonts w:asciiTheme="minorHAnsi" w:hAnsiTheme="minorHAnsi" w:cstheme="minorHAnsi"/>
          <w:color w:val="000000"/>
          <w:sz w:val="22"/>
          <w:szCs w:val="22"/>
        </w:rPr>
        <w:t>Focusing more so on Adrienne Rich and the concept of compulsive heterosexuality, in her essay published in 1980 “Compulsory heterosexuality and lesbian existence” she delves into men’s power over women’s sexuality and how the expectation of heterosexuality furthermore oppresses lesbian women. (Rich, 1980)</w:t>
      </w:r>
    </w:p>
    <w:p w14:paraId="067B081D" w14:textId="77777777" w:rsidR="009C2F72" w:rsidRPr="0063200C" w:rsidRDefault="009C2F72" w:rsidP="008C303A">
      <w:pPr>
        <w:pStyle w:val="NormalWeb"/>
        <w:spacing w:before="240" w:beforeAutospacing="0" w:after="240" w:afterAutospacing="0"/>
        <w:rPr>
          <w:rFonts w:asciiTheme="minorHAnsi" w:hAnsiTheme="minorHAnsi" w:cstheme="minorHAnsi"/>
          <w:sz w:val="22"/>
          <w:szCs w:val="22"/>
        </w:rPr>
      </w:pPr>
      <w:r w:rsidRPr="0063200C">
        <w:rPr>
          <w:rFonts w:asciiTheme="minorHAnsi" w:hAnsiTheme="minorHAnsi" w:cstheme="minorHAnsi"/>
          <w:color w:val="000000"/>
          <w:sz w:val="22"/>
          <w:szCs w:val="22"/>
        </w:rPr>
        <w:t> </w:t>
      </w:r>
    </w:p>
    <w:p w14:paraId="38F2FD4E" w14:textId="77777777" w:rsidR="009C2F72" w:rsidRPr="0063200C" w:rsidRDefault="009C2F72" w:rsidP="008C303A">
      <w:pPr>
        <w:pStyle w:val="NormalWeb"/>
        <w:spacing w:before="240" w:beforeAutospacing="0" w:after="0" w:afterAutospacing="0"/>
        <w:rPr>
          <w:rFonts w:asciiTheme="minorHAnsi" w:hAnsiTheme="minorHAnsi" w:cstheme="minorHAnsi"/>
          <w:sz w:val="22"/>
          <w:szCs w:val="22"/>
        </w:rPr>
      </w:pPr>
      <w:r w:rsidRPr="0063200C">
        <w:rPr>
          <w:rFonts w:asciiTheme="minorHAnsi" w:hAnsiTheme="minorHAnsi" w:cstheme="minorHAnsi"/>
          <w:color w:val="000000"/>
          <w:sz w:val="22"/>
          <w:szCs w:val="22"/>
        </w:rPr>
        <w:t>Her definition of compulsory heterosexuality is a sexuality that is “both forcibly and subliminally imposed upon women”.  (Rich, 1980)</w:t>
      </w:r>
    </w:p>
    <w:p w14:paraId="5CEC58B9" w14:textId="77777777" w:rsidR="009C2F72" w:rsidRPr="0063200C" w:rsidRDefault="009C2F72" w:rsidP="008C303A">
      <w:pPr>
        <w:pStyle w:val="NormalWeb"/>
        <w:spacing w:before="240" w:beforeAutospacing="0" w:after="0" w:afterAutospacing="0"/>
        <w:rPr>
          <w:rFonts w:asciiTheme="minorHAnsi" w:hAnsiTheme="minorHAnsi" w:cstheme="minorHAnsi"/>
          <w:sz w:val="22"/>
          <w:szCs w:val="22"/>
        </w:rPr>
      </w:pPr>
      <w:r w:rsidRPr="0063200C">
        <w:rPr>
          <w:rFonts w:asciiTheme="minorHAnsi" w:hAnsiTheme="minorHAnsi" w:cstheme="minorHAnsi"/>
          <w:color w:val="000000"/>
          <w:sz w:val="22"/>
          <w:szCs w:val="22"/>
        </w:rPr>
        <w:t>Her defining arguments are notably how heterosexuality has been used as a tool against women to perpetuate inequality. Rich’s argument is based upon Kathleen Gough’s “Origin of Family”, and it’s Rich’s belief that the behaviours in Gough’s work that were described, these being about men’s oppressive power over women, are a direct result of institutionalised heterosexuality.</w:t>
      </w:r>
    </w:p>
    <w:p w14:paraId="1CFE30CE" w14:textId="3CA4C1DA" w:rsidR="009C2F72" w:rsidRDefault="009C2F72" w:rsidP="008C303A">
      <w:pPr>
        <w:pStyle w:val="NormalWeb"/>
        <w:spacing w:before="240" w:beforeAutospacing="0" w:after="0" w:afterAutospacing="0"/>
        <w:rPr>
          <w:rFonts w:asciiTheme="minorHAnsi" w:hAnsiTheme="minorHAnsi" w:cstheme="minorHAnsi"/>
          <w:sz w:val="22"/>
          <w:szCs w:val="22"/>
        </w:rPr>
      </w:pPr>
      <w:r w:rsidRPr="0063200C">
        <w:rPr>
          <w:rFonts w:asciiTheme="minorHAnsi" w:hAnsiTheme="minorHAnsi" w:cstheme="minorHAnsi"/>
          <w:color w:val="000000"/>
          <w:sz w:val="22"/>
          <w:szCs w:val="22"/>
        </w:rPr>
        <w:t>Rich also draws attention to the fact that lesbian women suffer more under this heteronormative structure, because of their sexuality and gender expression. This is because they had to fall under the typical expression of femininity and being “out” would put their personal safety and possibility of succeeding at a job at risk. (Chaisson, 2021)</w:t>
      </w:r>
    </w:p>
    <w:p w14:paraId="7CBAB317" w14:textId="77777777" w:rsidR="008C303A" w:rsidRPr="0063200C" w:rsidRDefault="008C303A" w:rsidP="008C303A">
      <w:pPr>
        <w:pStyle w:val="NormalWeb"/>
        <w:spacing w:before="240" w:beforeAutospacing="0" w:after="0" w:afterAutospacing="0"/>
        <w:rPr>
          <w:rFonts w:asciiTheme="minorHAnsi" w:hAnsiTheme="minorHAnsi" w:cstheme="minorHAnsi"/>
          <w:sz w:val="22"/>
          <w:szCs w:val="22"/>
        </w:rPr>
      </w:pPr>
    </w:p>
    <w:p w14:paraId="505221F5" w14:textId="26605D30" w:rsidR="0063200C" w:rsidRPr="007A7584" w:rsidRDefault="009C2F72" w:rsidP="008C303A">
      <w:pPr>
        <w:pStyle w:val="NormalWeb"/>
        <w:spacing w:before="240" w:beforeAutospacing="0" w:after="240" w:afterAutospacing="0"/>
        <w:rPr>
          <w:rFonts w:asciiTheme="minorHAnsi" w:hAnsiTheme="minorHAnsi" w:cstheme="minorHAnsi"/>
          <w:sz w:val="22"/>
          <w:szCs w:val="22"/>
        </w:rPr>
      </w:pPr>
      <w:r w:rsidRPr="0063200C">
        <w:rPr>
          <w:rFonts w:asciiTheme="minorHAnsi" w:hAnsiTheme="minorHAnsi" w:cstheme="minorHAnsi"/>
          <w:color w:val="000000"/>
          <w:sz w:val="22"/>
          <w:szCs w:val="22"/>
        </w:rPr>
        <w:t xml:space="preserve">From Rich’s work alone it’s clear that the system of compulsive heterosexuality negatively impacts lesbian experiences, as it can lead to women repressing their identity under a system that punishes non-heterosexual identities for falling out of the norm out of fear of repercussions especially as it’s a sexuality </w:t>
      </w:r>
      <w:r w:rsidR="00541DC5" w:rsidRPr="0063200C">
        <w:rPr>
          <w:rFonts w:asciiTheme="minorHAnsi" w:hAnsiTheme="minorHAnsi" w:cstheme="minorHAnsi"/>
          <w:color w:val="000000"/>
          <w:sz w:val="22"/>
          <w:szCs w:val="22"/>
        </w:rPr>
        <w:t xml:space="preserve">that </w:t>
      </w:r>
      <w:r w:rsidRPr="0063200C">
        <w:rPr>
          <w:rFonts w:asciiTheme="minorHAnsi" w:hAnsiTheme="minorHAnsi" w:cstheme="minorHAnsi"/>
          <w:color w:val="000000"/>
          <w:sz w:val="22"/>
          <w:szCs w:val="22"/>
        </w:rPr>
        <w:t>specifically exclud</w:t>
      </w:r>
      <w:r w:rsidR="00541DC5" w:rsidRPr="0063200C">
        <w:rPr>
          <w:rFonts w:asciiTheme="minorHAnsi" w:hAnsiTheme="minorHAnsi" w:cstheme="minorHAnsi"/>
          <w:color w:val="000000"/>
          <w:sz w:val="22"/>
          <w:szCs w:val="22"/>
        </w:rPr>
        <w:t>es</w:t>
      </w:r>
      <w:r w:rsidRPr="0063200C">
        <w:rPr>
          <w:rFonts w:asciiTheme="minorHAnsi" w:hAnsiTheme="minorHAnsi" w:cstheme="minorHAnsi"/>
          <w:color w:val="000000"/>
          <w:sz w:val="22"/>
          <w:szCs w:val="22"/>
        </w:rPr>
        <w:t xml:space="preserve"> men. It’s a defining factor of</w:t>
      </w:r>
      <w:r w:rsidR="009415A1" w:rsidRPr="0063200C">
        <w:rPr>
          <w:rFonts w:asciiTheme="minorHAnsi" w:hAnsiTheme="minorHAnsi" w:cstheme="minorHAnsi"/>
          <w:color w:val="000000"/>
          <w:sz w:val="22"/>
          <w:szCs w:val="22"/>
        </w:rPr>
        <w:t xml:space="preserve"> their</w:t>
      </w:r>
      <w:r w:rsidRPr="0063200C">
        <w:rPr>
          <w:rFonts w:asciiTheme="minorHAnsi" w:hAnsiTheme="minorHAnsi" w:cstheme="minorHAnsi"/>
          <w:color w:val="000000"/>
          <w:sz w:val="22"/>
          <w:szCs w:val="22"/>
        </w:rPr>
        <w:t xml:space="preserve"> experience, and by breaking down these theorists’ ideas and applying them contextually we can conclusively see the extent of this system on the lesbian community.</w:t>
      </w:r>
    </w:p>
    <w:p w14:paraId="18CCC420" w14:textId="77777777" w:rsidR="0063200C" w:rsidRPr="007A7584" w:rsidRDefault="0063200C" w:rsidP="006E0FC7">
      <w:pPr>
        <w:rPr>
          <w:rFonts w:asciiTheme="majorHAnsi" w:hAnsiTheme="majorHAnsi" w:cstheme="majorHAnsi"/>
        </w:rPr>
      </w:pPr>
    </w:p>
    <w:p w14:paraId="6AC85DBA" w14:textId="444258A0" w:rsidR="0063200C" w:rsidRPr="007A7584" w:rsidRDefault="0063200C" w:rsidP="006E0FC7">
      <w:pPr>
        <w:rPr>
          <w:rFonts w:asciiTheme="majorHAnsi" w:hAnsiTheme="majorHAnsi" w:cstheme="majorHAnsi"/>
          <w:u w:val="single"/>
        </w:rPr>
      </w:pPr>
      <w:r w:rsidRPr="007A7584">
        <w:rPr>
          <w:rFonts w:asciiTheme="majorHAnsi" w:hAnsiTheme="majorHAnsi" w:cstheme="majorHAnsi"/>
          <w:u w:val="single"/>
        </w:rPr>
        <w:t>Reference List</w:t>
      </w:r>
    </w:p>
    <w:p w14:paraId="2F2C12CC" w14:textId="77777777" w:rsidR="0063200C" w:rsidRDefault="006E0FC7" w:rsidP="006E0FC7">
      <w:r w:rsidRPr="006E0FC7">
        <w:t xml:space="preserve"> </w:t>
      </w:r>
    </w:p>
    <w:p w14:paraId="3CF01E4C" w14:textId="23C09BF7" w:rsidR="006E0FC7" w:rsidRPr="0063200C" w:rsidRDefault="006E0FC7" w:rsidP="006E0FC7">
      <w:pPr>
        <w:rPr>
          <w:rFonts w:eastAsia="Times New Roman" w:cstheme="minorHAnsi"/>
          <w:lang w:eastAsia="en-GB"/>
        </w:rPr>
      </w:pPr>
      <w:r w:rsidRPr="0063200C">
        <w:rPr>
          <w:rFonts w:eastAsia="Times New Roman" w:cstheme="minorHAnsi"/>
          <w:lang w:eastAsia="en-GB"/>
        </w:rPr>
        <w:t xml:space="preserve">WARD, JANE, and BETH SCHNEIDER. “THE REACHES OF HETERONORMATIVITY: An Introduction.” </w:t>
      </w:r>
      <w:r w:rsidRPr="0063200C">
        <w:rPr>
          <w:rFonts w:eastAsia="Times New Roman" w:cstheme="minorHAnsi"/>
          <w:i/>
          <w:iCs/>
          <w:lang w:eastAsia="en-GB"/>
        </w:rPr>
        <w:t>Gender and Society</w:t>
      </w:r>
      <w:r w:rsidRPr="0063200C">
        <w:rPr>
          <w:rFonts w:eastAsia="Times New Roman" w:cstheme="minorHAnsi"/>
          <w:lang w:eastAsia="en-GB"/>
        </w:rPr>
        <w:t>, vol. 23, no. 4, Sage Publications, Inc., 2009, pp. 433–39,</w:t>
      </w:r>
      <w:r w:rsidR="007B0A9A" w:rsidRPr="0063200C">
        <w:rPr>
          <w:rFonts w:eastAsia="Times New Roman" w:cstheme="minorHAnsi"/>
          <w:lang w:eastAsia="en-GB"/>
        </w:rPr>
        <w:t xml:space="preserve"> </w:t>
      </w:r>
      <w:r w:rsidR="007B0A9A" w:rsidRPr="0063200C">
        <w:rPr>
          <w:rFonts w:cstheme="minorHAnsi"/>
          <w:color w:val="000000"/>
        </w:rPr>
        <w:t>[online] Available at: https://www-jstor-org.ezproxy.uwtsd.ac.uk/stable/20676797?seq=1#metadata_info_tab_contents [Accessed 27 Feb. 2022].</w:t>
      </w:r>
    </w:p>
    <w:p w14:paraId="5B99BA77" w14:textId="4509C13B" w:rsidR="008A79E8" w:rsidRPr="0063200C" w:rsidRDefault="001B56D8" w:rsidP="008A79E8">
      <w:pPr>
        <w:rPr>
          <w:rFonts w:eastAsia="Times New Roman" w:cstheme="minorHAnsi"/>
          <w:lang w:eastAsia="en-GB"/>
        </w:rPr>
      </w:pPr>
      <w:r w:rsidRPr="001B56D8">
        <w:rPr>
          <w:rFonts w:eastAsia="Times New Roman" w:cstheme="minorHAnsi"/>
          <w:lang w:eastAsia="en-GB"/>
        </w:rPr>
        <w:t xml:space="preserve">Rich, Adrienne. “Compulsory Heterosexuality and Lesbian Existence.” </w:t>
      </w:r>
      <w:r w:rsidRPr="001B56D8">
        <w:rPr>
          <w:rFonts w:eastAsia="Times New Roman" w:cstheme="minorHAnsi"/>
          <w:i/>
          <w:iCs/>
          <w:lang w:eastAsia="en-GB"/>
        </w:rPr>
        <w:t>Signs</w:t>
      </w:r>
      <w:r w:rsidRPr="001B56D8">
        <w:rPr>
          <w:rFonts w:eastAsia="Times New Roman" w:cstheme="minorHAnsi"/>
          <w:lang w:eastAsia="en-GB"/>
        </w:rPr>
        <w:t>, vol. 5, no. 4, University of Chicago Press, 1980, pp. 631–60,</w:t>
      </w:r>
      <w:r w:rsidR="008A79E8" w:rsidRPr="0063200C">
        <w:rPr>
          <w:rFonts w:cstheme="minorHAnsi"/>
          <w:color w:val="000000"/>
        </w:rPr>
        <w:t xml:space="preserve"> [online] Available at: </w:t>
      </w:r>
      <w:r w:rsidRPr="001B56D8">
        <w:rPr>
          <w:rFonts w:eastAsia="Times New Roman" w:cstheme="minorHAnsi"/>
          <w:lang w:eastAsia="en-GB"/>
        </w:rPr>
        <w:t xml:space="preserve"> </w:t>
      </w:r>
      <w:hyperlink r:id="rId5" w:history="1">
        <w:r w:rsidR="008A79E8" w:rsidRPr="001B56D8">
          <w:rPr>
            <w:rStyle w:val="Hyperlink"/>
            <w:rFonts w:eastAsia="Times New Roman" w:cstheme="minorHAnsi"/>
            <w:lang w:eastAsia="en-GB"/>
          </w:rPr>
          <w:t>http://www.jstor.org/stable/3173834</w:t>
        </w:r>
      </w:hyperlink>
      <w:r w:rsidRPr="001B56D8">
        <w:rPr>
          <w:rFonts w:eastAsia="Times New Roman" w:cstheme="minorHAnsi"/>
          <w:lang w:eastAsia="en-GB"/>
        </w:rPr>
        <w:t>.</w:t>
      </w:r>
      <w:r w:rsidR="008A79E8" w:rsidRPr="0063200C">
        <w:rPr>
          <w:rFonts w:eastAsia="Times New Roman" w:cstheme="minorHAnsi"/>
          <w:lang w:eastAsia="en-GB"/>
        </w:rPr>
        <w:t xml:space="preserve"> </w:t>
      </w:r>
      <w:r w:rsidR="008A79E8" w:rsidRPr="0063200C">
        <w:rPr>
          <w:rFonts w:cstheme="minorHAnsi"/>
          <w:color w:val="000000"/>
        </w:rPr>
        <w:t>[Accessed 27 Feb. 2022].</w:t>
      </w:r>
    </w:p>
    <w:p w14:paraId="1EABA24D" w14:textId="69CA6F2C" w:rsidR="00FE31BC" w:rsidRPr="0063200C" w:rsidRDefault="001C0789" w:rsidP="00FE31BC">
      <w:pPr>
        <w:pStyle w:val="NormalWeb"/>
        <w:spacing w:before="0" w:beforeAutospacing="0" w:after="240" w:afterAutospacing="0" w:line="360" w:lineRule="atLeast"/>
        <w:rPr>
          <w:rFonts w:asciiTheme="minorHAnsi" w:hAnsiTheme="minorHAnsi" w:cstheme="minorHAnsi"/>
          <w:color w:val="000000"/>
          <w:sz w:val="22"/>
          <w:szCs w:val="22"/>
        </w:rPr>
      </w:pPr>
      <w:r w:rsidRPr="0063200C">
        <w:rPr>
          <w:rFonts w:asciiTheme="minorHAnsi" w:hAnsiTheme="minorHAnsi" w:cstheme="minorHAnsi"/>
          <w:sz w:val="22"/>
          <w:szCs w:val="22"/>
          <w:shd w:val="clear" w:color="auto" w:fill="FFFFFF"/>
        </w:rPr>
        <w:t>Angel Chaisson</w:t>
      </w:r>
      <w:r w:rsidR="00FE31BC" w:rsidRPr="0063200C">
        <w:rPr>
          <w:rFonts w:asciiTheme="minorHAnsi" w:hAnsiTheme="minorHAnsi" w:cstheme="minorHAnsi"/>
          <w:color w:val="000000"/>
          <w:sz w:val="22"/>
          <w:szCs w:val="22"/>
        </w:rPr>
        <w:t>. (2021). </w:t>
      </w:r>
      <w:r w:rsidR="00FE31BC" w:rsidRPr="0063200C">
        <w:rPr>
          <w:rFonts w:asciiTheme="minorHAnsi" w:hAnsiTheme="minorHAnsi" w:cstheme="minorHAnsi"/>
          <w:i/>
          <w:iCs/>
          <w:color w:val="000000"/>
          <w:sz w:val="22"/>
          <w:szCs w:val="22"/>
        </w:rPr>
        <w:t xml:space="preserve">Unlearning “Compulsory Heterosexuality”: The Evolution of Adrienne Rich’s Poetry - </w:t>
      </w:r>
      <w:proofErr w:type="spellStart"/>
      <w:r w:rsidR="00FE31BC" w:rsidRPr="0063200C">
        <w:rPr>
          <w:rFonts w:asciiTheme="minorHAnsi" w:hAnsiTheme="minorHAnsi" w:cstheme="minorHAnsi"/>
          <w:i/>
          <w:iCs/>
          <w:color w:val="000000"/>
          <w:sz w:val="22"/>
          <w:szCs w:val="22"/>
        </w:rPr>
        <w:t>Chênière</w:t>
      </w:r>
      <w:proofErr w:type="spellEnd"/>
      <w:r w:rsidR="00FE31BC" w:rsidRPr="0063200C">
        <w:rPr>
          <w:rFonts w:asciiTheme="minorHAnsi" w:hAnsiTheme="minorHAnsi" w:cstheme="minorHAnsi"/>
          <w:i/>
          <w:iCs/>
          <w:color w:val="000000"/>
          <w:sz w:val="22"/>
          <w:szCs w:val="22"/>
        </w:rPr>
        <w:t>: The Nicholls Undergraduate Humanities Review</w:t>
      </w:r>
      <w:r w:rsidR="00FE31BC" w:rsidRPr="0063200C">
        <w:rPr>
          <w:rFonts w:asciiTheme="minorHAnsi" w:hAnsiTheme="minorHAnsi" w:cstheme="minorHAnsi"/>
          <w:color w:val="000000"/>
          <w:sz w:val="22"/>
          <w:szCs w:val="22"/>
        </w:rPr>
        <w:t>. [online] Available at: https://www.nicholls.edu/cheniere/2021/05/20/unlearning-compulsory-heterosexuality-the-evolution-of-adrienne-richs-poetry/ [Accessed 27 Feb. 2022].</w:t>
      </w:r>
    </w:p>
    <w:p w14:paraId="397E387E" w14:textId="77777777" w:rsidR="00FE31BC" w:rsidRDefault="00FE31BC" w:rsidP="00FE31BC">
      <w:pPr>
        <w:pStyle w:val="NormalWeb"/>
        <w:rPr>
          <w:color w:val="000000"/>
        </w:rPr>
      </w:pPr>
      <w:r>
        <w:rPr>
          <w:color w:val="000000"/>
        </w:rPr>
        <w:t>‌</w:t>
      </w:r>
    </w:p>
    <w:p w14:paraId="209BCE41" w14:textId="79ED8ED0" w:rsidR="009779AA" w:rsidRDefault="009779AA" w:rsidP="009779AA"/>
    <w:sectPr w:rsidR="00977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27BE6"/>
    <w:multiLevelType w:val="hybridMultilevel"/>
    <w:tmpl w:val="E66A1AB2"/>
    <w:lvl w:ilvl="0" w:tplc="7FF8C29E">
      <w:start w:val="1"/>
      <w:numFmt w:val="bullet"/>
      <w:lvlText w:val=" "/>
      <w:lvlJc w:val="left"/>
      <w:pPr>
        <w:tabs>
          <w:tab w:val="num" w:pos="720"/>
        </w:tabs>
        <w:ind w:left="720" w:hanging="360"/>
      </w:pPr>
      <w:rPr>
        <w:rFonts w:ascii="Tw Cen MT" w:hAnsi="Tw Cen MT" w:hint="default"/>
      </w:rPr>
    </w:lvl>
    <w:lvl w:ilvl="1" w:tplc="DE8886C8" w:tentative="1">
      <w:start w:val="1"/>
      <w:numFmt w:val="bullet"/>
      <w:lvlText w:val=" "/>
      <w:lvlJc w:val="left"/>
      <w:pPr>
        <w:tabs>
          <w:tab w:val="num" w:pos="1440"/>
        </w:tabs>
        <w:ind w:left="1440" w:hanging="360"/>
      </w:pPr>
      <w:rPr>
        <w:rFonts w:ascii="Tw Cen MT" w:hAnsi="Tw Cen MT" w:hint="default"/>
      </w:rPr>
    </w:lvl>
    <w:lvl w:ilvl="2" w:tplc="4A24B066" w:tentative="1">
      <w:start w:val="1"/>
      <w:numFmt w:val="bullet"/>
      <w:lvlText w:val=" "/>
      <w:lvlJc w:val="left"/>
      <w:pPr>
        <w:tabs>
          <w:tab w:val="num" w:pos="2160"/>
        </w:tabs>
        <w:ind w:left="2160" w:hanging="360"/>
      </w:pPr>
      <w:rPr>
        <w:rFonts w:ascii="Tw Cen MT" w:hAnsi="Tw Cen MT" w:hint="default"/>
      </w:rPr>
    </w:lvl>
    <w:lvl w:ilvl="3" w:tplc="D2E63A4E" w:tentative="1">
      <w:start w:val="1"/>
      <w:numFmt w:val="bullet"/>
      <w:lvlText w:val=" "/>
      <w:lvlJc w:val="left"/>
      <w:pPr>
        <w:tabs>
          <w:tab w:val="num" w:pos="2880"/>
        </w:tabs>
        <w:ind w:left="2880" w:hanging="360"/>
      </w:pPr>
      <w:rPr>
        <w:rFonts w:ascii="Tw Cen MT" w:hAnsi="Tw Cen MT" w:hint="default"/>
      </w:rPr>
    </w:lvl>
    <w:lvl w:ilvl="4" w:tplc="25082826" w:tentative="1">
      <w:start w:val="1"/>
      <w:numFmt w:val="bullet"/>
      <w:lvlText w:val=" "/>
      <w:lvlJc w:val="left"/>
      <w:pPr>
        <w:tabs>
          <w:tab w:val="num" w:pos="3600"/>
        </w:tabs>
        <w:ind w:left="3600" w:hanging="360"/>
      </w:pPr>
      <w:rPr>
        <w:rFonts w:ascii="Tw Cen MT" w:hAnsi="Tw Cen MT" w:hint="default"/>
      </w:rPr>
    </w:lvl>
    <w:lvl w:ilvl="5" w:tplc="B2EEF032" w:tentative="1">
      <w:start w:val="1"/>
      <w:numFmt w:val="bullet"/>
      <w:lvlText w:val=" "/>
      <w:lvlJc w:val="left"/>
      <w:pPr>
        <w:tabs>
          <w:tab w:val="num" w:pos="4320"/>
        </w:tabs>
        <w:ind w:left="4320" w:hanging="360"/>
      </w:pPr>
      <w:rPr>
        <w:rFonts w:ascii="Tw Cen MT" w:hAnsi="Tw Cen MT" w:hint="default"/>
      </w:rPr>
    </w:lvl>
    <w:lvl w:ilvl="6" w:tplc="6B7E1B24" w:tentative="1">
      <w:start w:val="1"/>
      <w:numFmt w:val="bullet"/>
      <w:lvlText w:val=" "/>
      <w:lvlJc w:val="left"/>
      <w:pPr>
        <w:tabs>
          <w:tab w:val="num" w:pos="5040"/>
        </w:tabs>
        <w:ind w:left="5040" w:hanging="360"/>
      </w:pPr>
      <w:rPr>
        <w:rFonts w:ascii="Tw Cen MT" w:hAnsi="Tw Cen MT" w:hint="default"/>
      </w:rPr>
    </w:lvl>
    <w:lvl w:ilvl="7" w:tplc="BA4C6480" w:tentative="1">
      <w:start w:val="1"/>
      <w:numFmt w:val="bullet"/>
      <w:lvlText w:val=" "/>
      <w:lvlJc w:val="left"/>
      <w:pPr>
        <w:tabs>
          <w:tab w:val="num" w:pos="5760"/>
        </w:tabs>
        <w:ind w:left="5760" w:hanging="360"/>
      </w:pPr>
      <w:rPr>
        <w:rFonts w:ascii="Tw Cen MT" w:hAnsi="Tw Cen MT" w:hint="default"/>
      </w:rPr>
    </w:lvl>
    <w:lvl w:ilvl="8" w:tplc="FBFA55AE"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162839D5"/>
    <w:multiLevelType w:val="hybridMultilevel"/>
    <w:tmpl w:val="C5BC6B30"/>
    <w:lvl w:ilvl="0" w:tplc="9E547BA2">
      <w:start w:val="1"/>
      <w:numFmt w:val="bullet"/>
      <w:lvlText w:val=""/>
      <w:lvlJc w:val="left"/>
      <w:pPr>
        <w:tabs>
          <w:tab w:val="num" w:pos="720"/>
        </w:tabs>
        <w:ind w:left="720" w:hanging="360"/>
      </w:pPr>
      <w:rPr>
        <w:rFonts w:ascii="Wingdings" w:hAnsi="Wingdings" w:hint="default"/>
      </w:rPr>
    </w:lvl>
    <w:lvl w:ilvl="1" w:tplc="58E601AE" w:tentative="1">
      <w:start w:val="1"/>
      <w:numFmt w:val="bullet"/>
      <w:lvlText w:val=""/>
      <w:lvlJc w:val="left"/>
      <w:pPr>
        <w:tabs>
          <w:tab w:val="num" w:pos="1440"/>
        </w:tabs>
        <w:ind w:left="1440" w:hanging="360"/>
      </w:pPr>
      <w:rPr>
        <w:rFonts w:ascii="Wingdings" w:hAnsi="Wingdings" w:hint="default"/>
      </w:rPr>
    </w:lvl>
    <w:lvl w:ilvl="2" w:tplc="BAC47FD2" w:tentative="1">
      <w:start w:val="1"/>
      <w:numFmt w:val="bullet"/>
      <w:lvlText w:val=""/>
      <w:lvlJc w:val="left"/>
      <w:pPr>
        <w:tabs>
          <w:tab w:val="num" w:pos="2160"/>
        </w:tabs>
        <w:ind w:left="2160" w:hanging="360"/>
      </w:pPr>
      <w:rPr>
        <w:rFonts w:ascii="Wingdings" w:hAnsi="Wingdings" w:hint="default"/>
      </w:rPr>
    </w:lvl>
    <w:lvl w:ilvl="3" w:tplc="2514CC92" w:tentative="1">
      <w:start w:val="1"/>
      <w:numFmt w:val="bullet"/>
      <w:lvlText w:val=""/>
      <w:lvlJc w:val="left"/>
      <w:pPr>
        <w:tabs>
          <w:tab w:val="num" w:pos="2880"/>
        </w:tabs>
        <w:ind w:left="2880" w:hanging="360"/>
      </w:pPr>
      <w:rPr>
        <w:rFonts w:ascii="Wingdings" w:hAnsi="Wingdings" w:hint="default"/>
      </w:rPr>
    </w:lvl>
    <w:lvl w:ilvl="4" w:tplc="B1128542" w:tentative="1">
      <w:start w:val="1"/>
      <w:numFmt w:val="bullet"/>
      <w:lvlText w:val=""/>
      <w:lvlJc w:val="left"/>
      <w:pPr>
        <w:tabs>
          <w:tab w:val="num" w:pos="3600"/>
        </w:tabs>
        <w:ind w:left="3600" w:hanging="360"/>
      </w:pPr>
      <w:rPr>
        <w:rFonts w:ascii="Wingdings" w:hAnsi="Wingdings" w:hint="default"/>
      </w:rPr>
    </w:lvl>
    <w:lvl w:ilvl="5" w:tplc="B80AF83A" w:tentative="1">
      <w:start w:val="1"/>
      <w:numFmt w:val="bullet"/>
      <w:lvlText w:val=""/>
      <w:lvlJc w:val="left"/>
      <w:pPr>
        <w:tabs>
          <w:tab w:val="num" w:pos="4320"/>
        </w:tabs>
        <w:ind w:left="4320" w:hanging="360"/>
      </w:pPr>
      <w:rPr>
        <w:rFonts w:ascii="Wingdings" w:hAnsi="Wingdings" w:hint="default"/>
      </w:rPr>
    </w:lvl>
    <w:lvl w:ilvl="6" w:tplc="809E8C72" w:tentative="1">
      <w:start w:val="1"/>
      <w:numFmt w:val="bullet"/>
      <w:lvlText w:val=""/>
      <w:lvlJc w:val="left"/>
      <w:pPr>
        <w:tabs>
          <w:tab w:val="num" w:pos="5040"/>
        </w:tabs>
        <w:ind w:left="5040" w:hanging="360"/>
      </w:pPr>
      <w:rPr>
        <w:rFonts w:ascii="Wingdings" w:hAnsi="Wingdings" w:hint="default"/>
      </w:rPr>
    </w:lvl>
    <w:lvl w:ilvl="7" w:tplc="5B58C232" w:tentative="1">
      <w:start w:val="1"/>
      <w:numFmt w:val="bullet"/>
      <w:lvlText w:val=""/>
      <w:lvlJc w:val="left"/>
      <w:pPr>
        <w:tabs>
          <w:tab w:val="num" w:pos="5760"/>
        </w:tabs>
        <w:ind w:left="5760" w:hanging="360"/>
      </w:pPr>
      <w:rPr>
        <w:rFonts w:ascii="Wingdings" w:hAnsi="Wingdings" w:hint="default"/>
      </w:rPr>
    </w:lvl>
    <w:lvl w:ilvl="8" w:tplc="B482540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EF1504"/>
    <w:multiLevelType w:val="hybridMultilevel"/>
    <w:tmpl w:val="C3F088C6"/>
    <w:lvl w:ilvl="0" w:tplc="89F27C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C02"/>
    <w:rsid w:val="000642A7"/>
    <w:rsid w:val="00110472"/>
    <w:rsid w:val="001200C9"/>
    <w:rsid w:val="00143E49"/>
    <w:rsid w:val="00184006"/>
    <w:rsid w:val="001B56D8"/>
    <w:rsid w:val="001C0789"/>
    <w:rsid w:val="001D4773"/>
    <w:rsid w:val="001E2C6B"/>
    <w:rsid w:val="001F040A"/>
    <w:rsid w:val="001F1AE3"/>
    <w:rsid w:val="002216FE"/>
    <w:rsid w:val="00227177"/>
    <w:rsid w:val="0023264D"/>
    <w:rsid w:val="0023463B"/>
    <w:rsid w:val="002860AF"/>
    <w:rsid w:val="00287C67"/>
    <w:rsid w:val="002B25DF"/>
    <w:rsid w:val="00300EEA"/>
    <w:rsid w:val="003034BE"/>
    <w:rsid w:val="00304D14"/>
    <w:rsid w:val="003138BC"/>
    <w:rsid w:val="00345DD8"/>
    <w:rsid w:val="003A16DE"/>
    <w:rsid w:val="003B46E7"/>
    <w:rsid w:val="003C4AD7"/>
    <w:rsid w:val="003F24E0"/>
    <w:rsid w:val="00402B2E"/>
    <w:rsid w:val="00455042"/>
    <w:rsid w:val="00462B29"/>
    <w:rsid w:val="0046387C"/>
    <w:rsid w:val="00473777"/>
    <w:rsid w:val="00480421"/>
    <w:rsid w:val="004A08E5"/>
    <w:rsid w:val="004B1A16"/>
    <w:rsid w:val="004B47B5"/>
    <w:rsid w:val="004C54BF"/>
    <w:rsid w:val="004F6431"/>
    <w:rsid w:val="00517EBB"/>
    <w:rsid w:val="00527C37"/>
    <w:rsid w:val="005339E9"/>
    <w:rsid w:val="00541DC5"/>
    <w:rsid w:val="00582E89"/>
    <w:rsid w:val="005A55DA"/>
    <w:rsid w:val="005E556F"/>
    <w:rsid w:val="0063200C"/>
    <w:rsid w:val="00654D2A"/>
    <w:rsid w:val="006A10C0"/>
    <w:rsid w:val="006A2764"/>
    <w:rsid w:val="006C2ABE"/>
    <w:rsid w:val="006C7AA4"/>
    <w:rsid w:val="006E0FC7"/>
    <w:rsid w:val="006F7304"/>
    <w:rsid w:val="0070252E"/>
    <w:rsid w:val="00716CB5"/>
    <w:rsid w:val="007249A5"/>
    <w:rsid w:val="00746505"/>
    <w:rsid w:val="00757A16"/>
    <w:rsid w:val="00772E8E"/>
    <w:rsid w:val="00795C02"/>
    <w:rsid w:val="007A7584"/>
    <w:rsid w:val="007B0A9A"/>
    <w:rsid w:val="007E04A3"/>
    <w:rsid w:val="007E1191"/>
    <w:rsid w:val="008079C0"/>
    <w:rsid w:val="0081012B"/>
    <w:rsid w:val="008102DE"/>
    <w:rsid w:val="00813B9E"/>
    <w:rsid w:val="0081419B"/>
    <w:rsid w:val="008320AF"/>
    <w:rsid w:val="00833C35"/>
    <w:rsid w:val="00881CF1"/>
    <w:rsid w:val="00884311"/>
    <w:rsid w:val="008A3143"/>
    <w:rsid w:val="008A5E41"/>
    <w:rsid w:val="008A79E8"/>
    <w:rsid w:val="008C00C4"/>
    <w:rsid w:val="008C303A"/>
    <w:rsid w:val="008C3F25"/>
    <w:rsid w:val="008E23A3"/>
    <w:rsid w:val="00903A27"/>
    <w:rsid w:val="009216F8"/>
    <w:rsid w:val="0092368E"/>
    <w:rsid w:val="009415A1"/>
    <w:rsid w:val="009424EA"/>
    <w:rsid w:val="00943541"/>
    <w:rsid w:val="00972604"/>
    <w:rsid w:val="009774E8"/>
    <w:rsid w:val="009779AA"/>
    <w:rsid w:val="009812AA"/>
    <w:rsid w:val="009A79F1"/>
    <w:rsid w:val="009C2F72"/>
    <w:rsid w:val="009D7C8C"/>
    <w:rsid w:val="009E362E"/>
    <w:rsid w:val="00A31CE4"/>
    <w:rsid w:val="00A323FD"/>
    <w:rsid w:val="00A47F02"/>
    <w:rsid w:val="00AA27CF"/>
    <w:rsid w:val="00AF3880"/>
    <w:rsid w:val="00B015D0"/>
    <w:rsid w:val="00B136CA"/>
    <w:rsid w:val="00B137E9"/>
    <w:rsid w:val="00B33090"/>
    <w:rsid w:val="00B33AE1"/>
    <w:rsid w:val="00B46FD8"/>
    <w:rsid w:val="00B50746"/>
    <w:rsid w:val="00B54F24"/>
    <w:rsid w:val="00B70323"/>
    <w:rsid w:val="00B704FF"/>
    <w:rsid w:val="00B8597A"/>
    <w:rsid w:val="00B93EEB"/>
    <w:rsid w:val="00BB546A"/>
    <w:rsid w:val="00BE199B"/>
    <w:rsid w:val="00BE4BDE"/>
    <w:rsid w:val="00C63EDE"/>
    <w:rsid w:val="00CF1A23"/>
    <w:rsid w:val="00D02A18"/>
    <w:rsid w:val="00D1243B"/>
    <w:rsid w:val="00D139D6"/>
    <w:rsid w:val="00D166C7"/>
    <w:rsid w:val="00D5340F"/>
    <w:rsid w:val="00D7776D"/>
    <w:rsid w:val="00D82112"/>
    <w:rsid w:val="00E15980"/>
    <w:rsid w:val="00E302FB"/>
    <w:rsid w:val="00E42A93"/>
    <w:rsid w:val="00E52071"/>
    <w:rsid w:val="00E8414B"/>
    <w:rsid w:val="00E85B59"/>
    <w:rsid w:val="00EF1F2F"/>
    <w:rsid w:val="00EF5743"/>
    <w:rsid w:val="00F22F15"/>
    <w:rsid w:val="00F3395E"/>
    <w:rsid w:val="00F603B8"/>
    <w:rsid w:val="00F845C6"/>
    <w:rsid w:val="00F95AAF"/>
    <w:rsid w:val="00F969ED"/>
    <w:rsid w:val="00FC0227"/>
    <w:rsid w:val="00FC6983"/>
    <w:rsid w:val="00FC6BE0"/>
    <w:rsid w:val="00FE31BC"/>
    <w:rsid w:val="00FF0063"/>
    <w:rsid w:val="00FF7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08E0"/>
  <w15:chartTrackingRefBased/>
  <w15:docId w15:val="{ED023E94-9248-438D-BD1E-B42FDEA3B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C02"/>
    <w:pPr>
      <w:ind w:left="720"/>
      <w:contextualSpacing/>
    </w:pPr>
  </w:style>
  <w:style w:type="paragraph" w:styleId="NormalWeb">
    <w:name w:val="Normal (Web)"/>
    <w:basedOn w:val="Normal"/>
    <w:uiPriority w:val="99"/>
    <w:unhideWhenUsed/>
    <w:rsid w:val="006C2A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0A9A"/>
    <w:rPr>
      <w:color w:val="0563C1" w:themeColor="hyperlink"/>
      <w:u w:val="single"/>
    </w:rPr>
  </w:style>
  <w:style w:type="character" w:styleId="UnresolvedMention">
    <w:name w:val="Unresolved Mention"/>
    <w:basedOn w:val="DefaultParagraphFont"/>
    <w:uiPriority w:val="99"/>
    <w:semiHidden/>
    <w:unhideWhenUsed/>
    <w:rsid w:val="007B0A9A"/>
    <w:rPr>
      <w:color w:val="605E5C"/>
      <w:shd w:val="clear" w:color="auto" w:fill="E1DFDD"/>
    </w:rPr>
  </w:style>
  <w:style w:type="character" w:styleId="CommentReference">
    <w:name w:val="annotation reference"/>
    <w:basedOn w:val="DefaultParagraphFont"/>
    <w:uiPriority w:val="99"/>
    <w:semiHidden/>
    <w:unhideWhenUsed/>
    <w:rsid w:val="00746505"/>
    <w:rPr>
      <w:sz w:val="16"/>
      <w:szCs w:val="16"/>
    </w:rPr>
  </w:style>
  <w:style w:type="paragraph" w:styleId="CommentText">
    <w:name w:val="annotation text"/>
    <w:basedOn w:val="Normal"/>
    <w:link w:val="CommentTextChar"/>
    <w:uiPriority w:val="99"/>
    <w:semiHidden/>
    <w:unhideWhenUsed/>
    <w:rsid w:val="00746505"/>
    <w:pPr>
      <w:spacing w:line="240" w:lineRule="auto"/>
    </w:pPr>
    <w:rPr>
      <w:sz w:val="20"/>
      <w:szCs w:val="20"/>
    </w:rPr>
  </w:style>
  <w:style w:type="character" w:customStyle="1" w:styleId="CommentTextChar">
    <w:name w:val="Comment Text Char"/>
    <w:basedOn w:val="DefaultParagraphFont"/>
    <w:link w:val="CommentText"/>
    <w:uiPriority w:val="99"/>
    <w:semiHidden/>
    <w:rsid w:val="00746505"/>
    <w:rPr>
      <w:sz w:val="20"/>
      <w:szCs w:val="20"/>
    </w:rPr>
  </w:style>
  <w:style w:type="paragraph" w:styleId="CommentSubject">
    <w:name w:val="annotation subject"/>
    <w:basedOn w:val="CommentText"/>
    <w:next w:val="CommentText"/>
    <w:link w:val="CommentSubjectChar"/>
    <w:uiPriority w:val="99"/>
    <w:semiHidden/>
    <w:unhideWhenUsed/>
    <w:rsid w:val="00746505"/>
    <w:rPr>
      <w:b/>
      <w:bCs/>
    </w:rPr>
  </w:style>
  <w:style w:type="character" w:customStyle="1" w:styleId="CommentSubjectChar">
    <w:name w:val="Comment Subject Char"/>
    <w:basedOn w:val="CommentTextChar"/>
    <w:link w:val="CommentSubject"/>
    <w:uiPriority w:val="99"/>
    <w:semiHidden/>
    <w:rsid w:val="007465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559944">
      <w:bodyDiv w:val="1"/>
      <w:marLeft w:val="0"/>
      <w:marRight w:val="0"/>
      <w:marTop w:val="0"/>
      <w:marBottom w:val="0"/>
      <w:divBdr>
        <w:top w:val="none" w:sz="0" w:space="0" w:color="auto"/>
        <w:left w:val="none" w:sz="0" w:space="0" w:color="auto"/>
        <w:bottom w:val="none" w:sz="0" w:space="0" w:color="auto"/>
        <w:right w:val="none" w:sz="0" w:space="0" w:color="auto"/>
      </w:divBdr>
    </w:div>
    <w:div w:id="523908321">
      <w:bodyDiv w:val="1"/>
      <w:marLeft w:val="0"/>
      <w:marRight w:val="0"/>
      <w:marTop w:val="0"/>
      <w:marBottom w:val="0"/>
      <w:divBdr>
        <w:top w:val="none" w:sz="0" w:space="0" w:color="auto"/>
        <w:left w:val="none" w:sz="0" w:space="0" w:color="auto"/>
        <w:bottom w:val="none" w:sz="0" w:space="0" w:color="auto"/>
        <w:right w:val="none" w:sz="0" w:space="0" w:color="auto"/>
      </w:divBdr>
    </w:div>
    <w:div w:id="638219602">
      <w:bodyDiv w:val="1"/>
      <w:marLeft w:val="0"/>
      <w:marRight w:val="0"/>
      <w:marTop w:val="0"/>
      <w:marBottom w:val="0"/>
      <w:divBdr>
        <w:top w:val="none" w:sz="0" w:space="0" w:color="auto"/>
        <w:left w:val="none" w:sz="0" w:space="0" w:color="auto"/>
        <w:bottom w:val="none" w:sz="0" w:space="0" w:color="auto"/>
        <w:right w:val="none" w:sz="0" w:space="0" w:color="auto"/>
      </w:divBdr>
    </w:div>
    <w:div w:id="730883305">
      <w:bodyDiv w:val="1"/>
      <w:marLeft w:val="0"/>
      <w:marRight w:val="0"/>
      <w:marTop w:val="0"/>
      <w:marBottom w:val="0"/>
      <w:divBdr>
        <w:top w:val="none" w:sz="0" w:space="0" w:color="auto"/>
        <w:left w:val="none" w:sz="0" w:space="0" w:color="auto"/>
        <w:bottom w:val="none" w:sz="0" w:space="0" w:color="auto"/>
        <w:right w:val="none" w:sz="0" w:space="0" w:color="auto"/>
      </w:divBdr>
      <w:divsChild>
        <w:div w:id="1806241837">
          <w:marLeft w:val="0"/>
          <w:marRight w:val="0"/>
          <w:marTop w:val="0"/>
          <w:marBottom w:val="0"/>
          <w:divBdr>
            <w:top w:val="none" w:sz="0" w:space="0" w:color="auto"/>
            <w:left w:val="none" w:sz="0" w:space="0" w:color="auto"/>
            <w:bottom w:val="none" w:sz="0" w:space="0" w:color="auto"/>
            <w:right w:val="none" w:sz="0" w:space="0" w:color="auto"/>
          </w:divBdr>
          <w:divsChild>
            <w:div w:id="123778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315865">
      <w:bodyDiv w:val="1"/>
      <w:marLeft w:val="0"/>
      <w:marRight w:val="0"/>
      <w:marTop w:val="0"/>
      <w:marBottom w:val="0"/>
      <w:divBdr>
        <w:top w:val="none" w:sz="0" w:space="0" w:color="auto"/>
        <w:left w:val="none" w:sz="0" w:space="0" w:color="auto"/>
        <w:bottom w:val="none" w:sz="0" w:space="0" w:color="auto"/>
        <w:right w:val="none" w:sz="0" w:space="0" w:color="auto"/>
      </w:divBdr>
    </w:div>
    <w:div w:id="1222668079">
      <w:bodyDiv w:val="1"/>
      <w:marLeft w:val="0"/>
      <w:marRight w:val="0"/>
      <w:marTop w:val="0"/>
      <w:marBottom w:val="0"/>
      <w:divBdr>
        <w:top w:val="none" w:sz="0" w:space="0" w:color="auto"/>
        <w:left w:val="none" w:sz="0" w:space="0" w:color="auto"/>
        <w:bottom w:val="none" w:sz="0" w:space="0" w:color="auto"/>
        <w:right w:val="none" w:sz="0" w:space="0" w:color="auto"/>
      </w:divBdr>
    </w:div>
    <w:div w:id="1456176115">
      <w:bodyDiv w:val="1"/>
      <w:marLeft w:val="0"/>
      <w:marRight w:val="0"/>
      <w:marTop w:val="0"/>
      <w:marBottom w:val="0"/>
      <w:divBdr>
        <w:top w:val="none" w:sz="0" w:space="0" w:color="auto"/>
        <w:left w:val="none" w:sz="0" w:space="0" w:color="auto"/>
        <w:bottom w:val="none" w:sz="0" w:space="0" w:color="auto"/>
        <w:right w:val="none" w:sz="0" w:space="0" w:color="auto"/>
      </w:divBdr>
      <w:divsChild>
        <w:div w:id="751007384">
          <w:marLeft w:val="0"/>
          <w:marRight w:val="0"/>
          <w:marTop w:val="0"/>
          <w:marBottom w:val="0"/>
          <w:divBdr>
            <w:top w:val="none" w:sz="0" w:space="0" w:color="auto"/>
            <w:left w:val="none" w:sz="0" w:space="0" w:color="auto"/>
            <w:bottom w:val="none" w:sz="0" w:space="0" w:color="auto"/>
            <w:right w:val="none" w:sz="0" w:space="0" w:color="auto"/>
          </w:divBdr>
          <w:divsChild>
            <w:div w:id="7864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893950">
      <w:bodyDiv w:val="1"/>
      <w:marLeft w:val="0"/>
      <w:marRight w:val="0"/>
      <w:marTop w:val="0"/>
      <w:marBottom w:val="0"/>
      <w:divBdr>
        <w:top w:val="none" w:sz="0" w:space="0" w:color="auto"/>
        <w:left w:val="none" w:sz="0" w:space="0" w:color="auto"/>
        <w:bottom w:val="none" w:sz="0" w:space="0" w:color="auto"/>
        <w:right w:val="none" w:sz="0" w:space="0" w:color="auto"/>
      </w:divBdr>
    </w:div>
    <w:div w:id="1730568391">
      <w:bodyDiv w:val="1"/>
      <w:marLeft w:val="0"/>
      <w:marRight w:val="0"/>
      <w:marTop w:val="0"/>
      <w:marBottom w:val="0"/>
      <w:divBdr>
        <w:top w:val="none" w:sz="0" w:space="0" w:color="auto"/>
        <w:left w:val="none" w:sz="0" w:space="0" w:color="auto"/>
        <w:bottom w:val="none" w:sz="0" w:space="0" w:color="auto"/>
        <w:right w:val="none" w:sz="0" w:space="0" w:color="auto"/>
      </w:divBdr>
      <w:divsChild>
        <w:div w:id="1864201707">
          <w:marLeft w:val="144"/>
          <w:marRight w:val="0"/>
          <w:marTop w:val="240"/>
          <w:marBottom w:val="40"/>
          <w:divBdr>
            <w:top w:val="none" w:sz="0" w:space="0" w:color="auto"/>
            <w:left w:val="none" w:sz="0" w:space="0" w:color="auto"/>
            <w:bottom w:val="none" w:sz="0" w:space="0" w:color="auto"/>
            <w:right w:val="none" w:sz="0" w:space="0" w:color="auto"/>
          </w:divBdr>
        </w:div>
        <w:div w:id="68313775">
          <w:marLeft w:val="144"/>
          <w:marRight w:val="0"/>
          <w:marTop w:val="240"/>
          <w:marBottom w:val="40"/>
          <w:divBdr>
            <w:top w:val="none" w:sz="0" w:space="0" w:color="auto"/>
            <w:left w:val="none" w:sz="0" w:space="0" w:color="auto"/>
            <w:bottom w:val="none" w:sz="0" w:space="0" w:color="auto"/>
            <w:right w:val="none" w:sz="0" w:space="0" w:color="auto"/>
          </w:divBdr>
        </w:div>
      </w:divsChild>
    </w:div>
    <w:div w:id="1855462878">
      <w:bodyDiv w:val="1"/>
      <w:marLeft w:val="0"/>
      <w:marRight w:val="0"/>
      <w:marTop w:val="0"/>
      <w:marBottom w:val="0"/>
      <w:divBdr>
        <w:top w:val="none" w:sz="0" w:space="0" w:color="auto"/>
        <w:left w:val="none" w:sz="0" w:space="0" w:color="auto"/>
        <w:bottom w:val="none" w:sz="0" w:space="0" w:color="auto"/>
        <w:right w:val="none" w:sz="0" w:space="0" w:color="auto"/>
      </w:divBdr>
      <w:divsChild>
        <w:div w:id="666516041">
          <w:marLeft w:val="360"/>
          <w:marRight w:val="0"/>
          <w:marTop w:val="200"/>
          <w:marBottom w:val="0"/>
          <w:divBdr>
            <w:top w:val="none" w:sz="0" w:space="0" w:color="auto"/>
            <w:left w:val="none" w:sz="0" w:space="0" w:color="auto"/>
            <w:bottom w:val="none" w:sz="0" w:space="0" w:color="auto"/>
            <w:right w:val="none" w:sz="0" w:space="0" w:color="auto"/>
          </w:divBdr>
        </w:div>
        <w:div w:id="728110933">
          <w:marLeft w:val="360"/>
          <w:marRight w:val="0"/>
          <w:marTop w:val="200"/>
          <w:marBottom w:val="0"/>
          <w:divBdr>
            <w:top w:val="none" w:sz="0" w:space="0" w:color="auto"/>
            <w:left w:val="none" w:sz="0" w:space="0" w:color="auto"/>
            <w:bottom w:val="none" w:sz="0" w:space="0" w:color="auto"/>
            <w:right w:val="none" w:sz="0" w:space="0" w:color="auto"/>
          </w:divBdr>
        </w:div>
        <w:div w:id="685060095">
          <w:marLeft w:val="360"/>
          <w:marRight w:val="0"/>
          <w:marTop w:val="200"/>
          <w:marBottom w:val="0"/>
          <w:divBdr>
            <w:top w:val="none" w:sz="0" w:space="0" w:color="auto"/>
            <w:left w:val="none" w:sz="0" w:space="0" w:color="auto"/>
            <w:bottom w:val="none" w:sz="0" w:space="0" w:color="auto"/>
            <w:right w:val="none" w:sz="0" w:space="0" w:color="auto"/>
          </w:divBdr>
        </w:div>
      </w:divsChild>
    </w:div>
    <w:div w:id="1876773153">
      <w:bodyDiv w:val="1"/>
      <w:marLeft w:val="0"/>
      <w:marRight w:val="0"/>
      <w:marTop w:val="0"/>
      <w:marBottom w:val="0"/>
      <w:divBdr>
        <w:top w:val="none" w:sz="0" w:space="0" w:color="auto"/>
        <w:left w:val="none" w:sz="0" w:space="0" w:color="auto"/>
        <w:bottom w:val="none" w:sz="0" w:space="0" w:color="auto"/>
        <w:right w:val="none" w:sz="0" w:space="0" w:color="auto"/>
      </w:divBdr>
    </w:div>
    <w:div w:id="201210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jstor.org/stable/317383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765</TotalTime>
  <Pages>2</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jenkins</dc:creator>
  <cp:keywords/>
  <dc:description/>
  <cp:lastModifiedBy>megan jenkins</cp:lastModifiedBy>
  <cp:revision>144</cp:revision>
  <dcterms:created xsi:type="dcterms:W3CDTF">2022-02-26T16:43:00Z</dcterms:created>
  <dcterms:modified xsi:type="dcterms:W3CDTF">2022-02-27T16:24:00Z</dcterms:modified>
</cp:coreProperties>
</file>