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28A91A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40151F">
              <w:rPr>
                <w:rFonts w:ascii="Times New Roman" w:hAnsi="Times New Roman" w:cs="Times New Roman"/>
                <w:b/>
                <w:color w:val="auto"/>
                <w:sz w:val="48"/>
              </w:rPr>
              <w:t>Katie Owens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DAF801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40151F">
              <w:rPr>
                <w:rFonts w:ascii="Times New Roman" w:hAnsi="Times New Roman" w:cs="Times New Roman"/>
                <w:b/>
                <w:color w:val="auto"/>
                <w:sz w:val="48"/>
              </w:rPr>
              <w:t xml:space="preserve"> </w:t>
            </w:r>
            <w:r w:rsidR="0040151F">
              <w:rPr>
                <w:rFonts w:ascii="Times New Roman" w:hAnsi="Times New Roman" w:cs="Times New Roman"/>
                <w:b/>
                <w:sz w:val="48"/>
              </w:rPr>
              <w:t>2524456@student.uwtsd.ac.uk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FFE060B" w14:textId="77777777" w:rsidR="0040151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40151F">
              <w:rPr>
                <w:rFonts w:ascii="Times New Roman" w:hAnsi="Times New Roman" w:cs="Times New Roman"/>
                <w:b/>
                <w:color w:val="auto"/>
                <w:sz w:val="48"/>
              </w:rPr>
              <w:t xml:space="preserve"> </w:t>
            </w:r>
          </w:p>
          <w:p w14:paraId="0DE696B2" w14:textId="185E2D56" w:rsidR="00F927A1" w:rsidRPr="005D3F07" w:rsidRDefault="0040151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sz w:val="48"/>
              </w:rPr>
              <w:t>2524456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2105413" w14:textId="77777777" w:rsidR="0040151F" w:rsidRDefault="0040151F" w:rsidP="0040151F">
            <w:pPr>
              <w:jc w:val="both"/>
              <w:rPr>
                <w:sz w:val="24"/>
                <w:szCs w:val="24"/>
                <w:lang w:val="en-US"/>
              </w:rPr>
            </w:pPr>
            <w:r w:rsidRPr="0040151F">
              <w:rPr>
                <w:sz w:val="24"/>
                <w:szCs w:val="24"/>
                <w:lang w:val="en-US"/>
              </w:rPr>
              <w:t>Although my main area of social work practice is adults, safeguarding children is an important area of knowledge for all social workers. Adult social workers may identify concerns about children through assessments, home visits, family discussions or multi-agency work. I therefore need to understand the legislation, guidance and procedures that apply when a child may be at risk of abuse or neglect.</w:t>
            </w:r>
          </w:p>
          <w:p w14:paraId="388CD680" w14:textId="77777777" w:rsidR="002530F1" w:rsidRPr="0040151F" w:rsidRDefault="002530F1" w:rsidP="0040151F">
            <w:pPr>
              <w:jc w:val="both"/>
              <w:rPr>
                <w:sz w:val="24"/>
                <w:szCs w:val="24"/>
                <w:lang w:val="en-US"/>
              </w:rPr>
            </w:pPr>
          </w:p>
          <w:p w14:paraId="4775FC26" w14:textId="5B31D9CE" w:rsidR="0040151F" w:rsidRDefault="0040151F" w:rsidP="0040151F">
            <w:pPr>
              <w:jc w:val="both"/>
              <w:rPr>
                <w:sz w:val="24"/>
                <w:szCs w:val="24"/>
                <w:lang w:val="en-US"/>
              </w:rPr>
            </w:pPr>
            <w:r w:rsidRPr="0040151F">
              <w:rPr>
                <w:sz w:val="24"/>
                <w:szCs w:val="24"/>
                <w:lang w:val="en-US"/>
              </w:rPr>
              <w:t xml:space="preserve">The Social Services and Well-being (Wales) Act 2014 provides the main statutory framework for social services and safeguarding in Wales. Part 7 establishes safeguarding arrangements and duties for relevant </w:t>
            </w:r>
            <w:r w:rsidR="002530F1" w:rsidRPr="0040151F">
              <w:rPr>
                <w:sz w:val="24"/>
                <w:szCs w:val="24"/>
                <w:lang w:val="en-US"/>
              </w:rPr>
              <w:t>organizations</w:t>
            </w:r>
            <w:r w:rsidRPr="0040151F">
              <w:rPr>
                <w:sz w:val="24"/>
                <w:szCs w:val="24"/>
                <w:lang w:val="en-US"/>
              </w:rPr>
              <w:t xml:space="preserve"> to work together to protect people from abuse, neglect or other harm. The Act promotes well-being, voice and control, prevention, early intervention and partnership working. These principles are important when safeguarding children because children should be listened to and their welfare should remain central to professional decision-making.</w:t>
            </w:r>
          </w:p>
          <w:p w14:paraId="42BDDAEC" w14:textId="77777777" w:rsidR="002530F1" w:rsidRPr="0040151F" w:rsidRDefault="002530F1" w:rsidP="0040151F">
            <w:pPr>
              <w:jc w:val="both"/>
              <w:rPr>
                <w:sz w:val="24"/>
                <w:szCs w:val="24"/>
                <w:lang w:val="en-US"/>
              </w:rPr>
            </w:pPr>
          </w:p>
          <w:p w14:paraId="14570DD5" w14:textId="77777777" w:rsidR="0040151F" w:rsidRDefault="0040151F" w:rsidP="0040151F">
            <w:pPr>
              <w:jc w:val="both"/>
              <w:rPr>
                <w:sz w:val="24"/>
                <w:szCs w:val="24"/>
              </w:rPr>
            </w:pPr>
            <w:r w:rsidRPr="002530F1">
              <w:rPr>
                <w:sz w:val="24"/>
                <w:szCs w:val="24"/>
              </w:rPr>
              <w:t>The Children Act 1989 and Children Act 2004 are also relevant. The Children Act 1989 provides the framework for promoting children's welfare, supporting children in need and responding where there may be significant harm. Section 47 places a duty on the local authority to make enquiries where there is reasonable cause to suspect significant harm. The Children Act 2004 strengthened cooperation between agencies and duties relating to safeguarding and promoting children's welfare. These Acts support the principle that safeguarding is a shared responsibility.</w:t>
            </w:r>
          </w:p>
          <w:p w14:paraId="4C895734" w14:textId="77777777" w:rsidR="002530F1" w:rsidRPr="002530F1" w:rsidRDefault="002530F1" w:rsidP="0040151F">
            <w:pPr>
              <w:jc w:val="both"/>
              <w:rPr>
                <w:sz w:val="24"/>
                <w:szCs w:val="24"/>
                <w:lang w:val="en-US"/>
              </w:rPr>
            </w:pPr>
          </w:p>
          <w:p w14:paraId="6ABA6E8E" w14:textId="77777777" w:rsidR="0040151F" w:rsidRPr="002530F1" w:rsidRDefault="0040151F" w:rsidP="0040151F">
            <w:pPr>
              <w:jc w:val="both"/>
              <w:rPr>
                <w:sz w:val="24"/>
                <w:szCs w:val="24"/>
                <w:lang w:val="en-US"/>
              </w:rPr>
            </w:pPr>
            <w:r w:rsidRPr="002530F1">
              <w:rPr>
                <w:sz w:val="24"/>
                <w:szCs w:val="24"/>
              </w:rPr>
              <w:t>Welsh safeguarding practice is supported by Working Together to Safeguard People and the Wales Safeguarding Procedures (2019). Volume 5, Handling Individual Cases to Protect Children at Risk, provides guidance about responding to individual concerns. It emphasises appropriate information sharing, accurate recording, professional curiosity and effective multi-agency working. No single professional is necessarily able to see the complete picture of a child's circumstances.</w:t>
            </w:r>
          </w:p>
          <w:p w14:paraId="0D30370C" w14:textId="77777777" w:rsidR="0040151F" w:rsidRDefault="0040151F" w:rsidP="0040151F">
            <w:pPr>
              <w:jc w:val="both"/>
              <w:rPr>
                <w:sz w:val="24"/>
                <w:szCs w:val="24"/>
                <w:lang w:val="en-US"/>
              </w:rPr>
            </w:pPr>
            <w:r w:rsidRPr="0040151F">
              <w:rPr>
                <w:sz w:val="24"/>
                <w:szCs w:val="24"/>
                <w:lang w:val="en-US"/>
              </w:rPr>
              <w:lastRenderedPageBreak/>
              <w:t>The Human Rights Act 1998 and Equality Act 2010 are also relevant. Safeguarding interventions must be lawful and proportionate, while practitioners should consider equality, diversity, disability, culture, religion and communication needs.</w:t>
            </w:r>
          </w:p>
          <w:p w14:paraId="67E87C6A" w14:textId="77777777" w:rsidR="002530F1" w:rsidRPr="0040151F" w:rsidRDefault="002530F1" w:rsidP="0040151F">
            <w:pPr>
              <w:jc w:val="both"/>
              <w:rPr>
                <w:sz w:val="24"/>
                <w:szCs w:val="24"/>
                <w:lang w:val="en-US"/>
              </w:rPr>
            </w:pPr>
          </w:p>
          <w:p w14:paraId="0DBC8BB3" w14:textId="0393CC34" w:rsidR="0040151F" w:rsidRDefault="0040151F" w:rsidP="0040151F">
            <w:pPr>
              <w:jc w:val="both"/>
              <w:rPr>
                <w:sz w:val="24"/>
                <w:szCs w:val="24"/>
                <w:lang w:val="en-US"/>
              </w:rPr>
            </w:pPr>
            <w:r w:rsidRPr="0040151F">
              <w:rPr>
                <w:sz w:val="24"/>
                <w:szCs w:val="24"/>
                <w:lang w:val="en-US"/>
              </w:rPr>
              <w:t xml:space="preserve">The Social Care Wales Code of Professional Practice also informs my practice. It requires social care workers to respect people's rights and views, promote safety and well-being, maintain appropriate confidentiality, work effectively with colleagues and </w:t>
            </w:r>
            <w:proofErr w:type="gramStart"/>
            <w:r w:rsidRPr="0040151F">
              <w:rPr>
                <w:sz w:val="24"/>
                <w:szCs w:val="24"/>
                <w:lang w:val="en-US"/>
              </w:rPr>
              <w:t>take action</w:t>
            </w:r>
            <w:proofErr w:type="gramEnd"/>
            <w:r w:rsidRPr="0040151F">
              <w:rPr>
                <w:sz w:val="24"/>
                <w:szCs w:val="24"/>
                <w:lang w:val="en-US"/>
              </w:rPr>
              <w:t xml:space="preserve"> where people may be at risk.</w:t>
            </w:r>
          </w:p>
          <w:p w14:paraId="785C2F69" w14:textId="77777777" w:rsidR="002530F1" w:rsidRPr="0040151F" w:rsidRDefault="002530F1" w:rsidP="0040151F">
            <w:pPr>
              <w:jc w:val="both"/>
              <w:rPr>
                <w:sz w:val="24"/>
                <w:szCs w:val="24"/>
                <w:lang w:val="en-US"/>
              </w:rPr>
            </w:pPr>
          </w:p>
          <w:p w14:paraId="1547F852" w14:textId="0DB63CD1" w:rsidR="0040151F" w:rsidRDefault="0040151F" w:rsidP="0040151F">
            <w:pPr>
              <w:jc w:val="both"/>
              <w:rPr>
                <w:sz w:val="24"/>
                <w:szCs w:val="24"/>
                <w:lang w:val="en-US"/>
              </w:rPr>
            </w:pPr>
            <w:r w:rsidRPr="0040151F">
              <w:rPr>
                <w:sz w:val="24"/>
                <w:szCs w:val="24"/>
                <w:lang w:val="en-US"/>
              </w:rPr>
              <w:t xml:space="preserve">Locally, safeguarding arrangements are coordinated through the North Wales Safeguarding Board, which includes Denbighshire and partner agencies. I would follow the relevant North Wales safeguarding procedures and my employer's </w:t>
            </w:r>
            <w:r w:rsidR="002530F1" w:rsidRPr="0040151F">
              <w:rPr>
                <w:sz w:val="24"/>
                <w:szCs w:val="24"/>
                <w:lang w:val="en-US"/>
              </w:rPr>
              <w:t>Organisational</w:t>
            </w:r>
            <w:r w:rsidRPr="0040151F">
              <w:rPr>
                <w:sz w:val="24"/>
                <w:szCs w:val="24"/>
                <w:lang w:val="en-US"/>
              </w:rPr>
              <w:t xml:space="preserve"> safeguarding policy. If I became concerned about a child, I would record the information </w:t>
            </w:r>
            <w:r w:rsidR="002530F1" w:rsidRPr="0040151F">
              <w:rPr>
                <w:sz w:val="24"/>
                <w:szCs w:val="24"/>
                <w:lang w:val="en-US"/>
              </w:rPr>
              <w:t>precisely</w:t>
            </w:r>
            <w:r w:rsidRPr="0040151F">
              <w:rPr>
                <w:sz w:val="24"/>
                <w:szCs w:val="24"/>
                <w:lang w:val="en-US"/>
              </w:rPr>
              <w:t xml:space="preserve">, consider immediate risk, seek appropriate management or safeguarding advice and make a referral to children's social services </w:t>
            </w:r>
            <w:r w:rsidR="002530F1">
              <w:rPr>
                <w:sz w:val="24"/>
                <w:szCs w:val="24"/>
                <w:lang w:val="en-US"/>
              </w:rPr>
              <w:t>and/</w:t>
            </w:r>
            <w:r w:rsidRPr="0040151F">
              <w:rPr>
                <w:sz w:val="24"/>
                <w:szCs w:val="24"/>
                <w:lang w:val="en-US"/>
              </w:rPr>
              <w:t>or the police where required. I would not investigate the concern myself or promise confidentiality where information needed to be shared to protect the child.</w:t>
            </w:r>
          </w:p>
          <w:p w14:paraId="135C0390" w14:textId="77777777" w:rsidR="002530F1" w:rsidRPr="0040151F" w:rsidRDefault="002530F1" w:rsidP="0040151F">
            <w:pPr>
              <w:jc w:val="both"/>
              <w:rPr>
                <w:sz w:val="24"/>
                <w:szCs w:val="24"/>
                <w:lang w:val="en-US"/>
              </w:rPr>
            </w:pPr>
          </w:p>
          <w:p w14:paraId="050E0E4D" w14:textId="77777777" w:rsidR="0040151F" w:rsidRDefault="0040151F" w:rsidP="0040151F">
            <w:pPr>
              <w:jc w:val="both"/>
              <w:rPr>
                <w:sz w:val="24"/>
                <w:szCs w:val="24"/>
                <w:lang w:val="en-US"/>
              </w:rPr>
            </w:pPr>
            <w:r w:rsidRPr="0040151F">
              <w:rPr>
                <w:sz w:val="24"/>
                <w:szCs w:val="24"/>
                <w:lang w:val="en-US"/>
              </w:rPr>
              <w:t>As an adult social worker, I also need to consider the impact of an adult's circumstances on children in their family. Mental ill health, substance misuse or domestic abuse may affect a child's safety and well-being. I therefore have a responsibility to remain professionally curious and consider the whole family, even when the adult is my primary service user.</w:t>
            </w:r>
          </w:p>
          <w:p w14:paraId="35419C78" w14:textId="77777777" w:rsidR="0040151F" w:rsidRPr="0040151F" w:rsidRDefault="0040151F" w:rsidP="0040151F">
            <w:pPr>
              <w:jc w:val="both"/>
              <w:rPr>
                <w:sz w:val="24"/>
                <w:szCs w:val="24"/>
                <w:lang w:val="en-US"/>
              </w:rPr>
            </w:pPr>
          </w:p>
          <w:p w14:paraId="07474F68" w14:textId="4D5312E4" w:rsidR="0040151F" w:rsidRPr="0040151F" w:rsidRDefault="0040151F" w:rsidP="0040151F">
            <w:pPr>
              <w:jc w:val="both"/>
              <w:rPr>
                <w:bCs/>
                <w:sz w:val="24"/>
                <w:szCs w:val="24"/>
                <w:lang w:val="en-US"/>
              </w:rPr>
            </w:pPr>
            <w:r>
              <w:t>Word count 5</w:t>
            </w:r>
            <w:r w:rsidR="002530F1">
              <w:t>04</w:t>
            </w: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Pr="002530F1" w:rsidRDefault="00FC0334" w:rsidP="00FC0334">
            <w:pPr>
              <w:jc w:val="both"/>
              <w:rPr>
                <w:sz w:val="24"/>
                <w:szCs w:val="24"/>
              </w:rPr>
            </w:pPr>
          </w:p>
          <w:p w14:paraId="6C0243F7" w14:textId="7DB250B1" w:rsidR="0040151F" w:rsidRPr="002530F1" w:rsidRDefault="0040151F" w:rsidP="0040151F">
            <w:pPr>
              <w:jc w:val="both"/>
              <w:rPr>
                <w:sz w:val="24"/>
                <w:szCs w:val="24"/>
                <w:lang w:val="en-US"/>
              </w:rPr>
            </w:pPr>
            <w:r w:rsidRPr="002530F1">
              <w:rPr>
                <w:sz w:val="24"/>
                <w:szCs w:val="24"/>
                <w:lang w:val="en-US"/>
              </w:rPr>
              <w:t xml:space="preserve">There are important similarities between safeguarding adults and safeguarding children. Both require practitioners to </w:t>
            </w:r>
            <w:r w:rsidR="000770B9" w:rsidRPr="002530F1">
              <w:rPr>
                <w:sz w:val="24"/>
                <w:szCs w:val="24"/>
                <w:lang w:val="en-US"/>
              </w:rPr>
              <w:t>recognize</w:t>
            </w:r>
            <w:r w:rsidRPr="002530F1">
              <w:rPr>
                <w:sz w:val="24"/>
                <w:szCs w:val="24"/>
                <w:lang w:val="en-US"/>
              </w:rPr>
              <w:t xml:space="preserve"> abuse and neglect, assess risk, record concerns, share information appropriately and work with other agencies. However, my reflection is that the emphasis and decision-making processes can be different.</w:t>
            </w:r>
          </w:p>
          <w:p w14:paraId="6EC9029E" w14:textId="77777777" w:rsidR="002530F1" w:rsidRPr="002530F1" w:rsidRDefault="002530F1" w:rsidP="0040151F">
            <w:pPr>
              <w:jc w:val="both"/>
              <w:rPr>
                <w:sz w:val="24"/>
                <w:szCs w:val="24"/>
                <w:lang w:val="en-US"/>
              </w:rPr>
            </w:pPr>
          </w:p>
          <w:p w14:paraId="2DF63B2A" w14:textId="77777777" w:rsidR="0040151F" w:rsidRPr="002530F1" w:rsidRDefault="0040151F" w:rsidP="0040151F">
            <w:pPr>
              <w:jc w:val="both"/>
              <w:rPr>
                <w:sz w:val="24"/>
                <w:szCs w:val="24"/>
                <w:lang w:val="en-US"/>
              </w:rPr>
            </w:pPr>
            <w:r w:rsidRPr="002530F1">
              <w:rPr>
                <w:sz w:val="24"/>
                <w:szCs w:val="24"/>
                <w:lang w:val="en-US"/>
              </w:rPr>
              <w:t>In adult safeguarding, voice, choice, control, empowerment and proportionality are particularly important. Adults should be supported to make their own decisions wherever possible, including decisions that professionals may consider risky. The Mental Capacity Act 2005 may also be relevant when considering whether an adult can make a particular decision. Safeguarding adults therefore involves balancing protection from harm with the person's autonomy, wishes and rights.</w:t>
            </w:r>
          </w:p>
          <w:p w14:paraId="47AB2520" w14:textId="77777777" w:rsidR="002530F1" w:rsidRPr="002530F1" w:rsidRDefault="002530F1" w:rsidP="0040151F">
            <w:pPr>
              <w:jc w:val="both"/>
              <w:rPr>
                <w:sz w:val="24"/>
                <w:szCs w:val="24"/>
                <w:lang w:val="en-US"/>
              </w:rPr>
            </w:pPr>
          </w:p>
          <w:p w14:paraId="5A488B67" w14:textId="5BA63F40" w:rsidR="0040151F" w:rsidRDefault="0040151F" w:rsidP="0040151F">
            <w:pPr>
              <w:jc w:val="both"/>
              <w:rPr>
                <w:sz w:val="24"/>
                <w:szCs w:val="24"/>
              </w:rPr>
            </w:pPr>
            <w:r w:rsidRPr="002530F1">
              <w:rPr>
                <w:sz w:val="24"/>
                <w:szCs w:val="24"/>
              </w:rPr>
              <w:t xml:space="preserve">Safeguarding children places a strong emphasis on the child's </w:t>
            </w:r>
            <w:r w:rsidR="002530F1" w:rsidRPr="002530F1">
              <w:rPr>
                <w:sz w:val="24"/>
                <w:szCs w:val="24"/>
              </w:rPr>
              <w:t>safety</w:t>
            </w:r>
            <w:r w:rsidRPr="002530F1">
              <w:rPr>
                <w:sz w:val="24"/>
                <w:szCs w:val="24"/>
              </w:rPr>
              <w:t xml:space="preserve"> and protection from harm. Children have different levels of understanding depending on age and development, but </w:t>
            </w:r>
            <w:r w:rsidRPr="002530F1">
              <w:rPr>
                <w:sz w:val="24"/>
                <w:szCs w:val="24"/>
              </w:rPr>
              <w:lastRenderedPageBreak/>
              <w:t>their wishes and feelings should still be sought. I also need to consider Gillick competence when assessing whether a child under 16 can understand and consent to advice or treatment, with the Fraser guidelines relevant specifically to contraception and sexual health advice. This differs from adult safeguarding, where capacity is assessed under the Mental Capacity Act 2005.</w:t>
            </w:r>
          </w:p>
          <w:p w14:paraId="7CDC3E70" w14:textId="77777777" w:rsidR="002530F1" w:rsidRPr="002530F1" w:rsidRDefault="002530F1" w:rsidP="0040151F">
            <w:pPr>
              <w:jc w:val="both"/>
              <w:rPr>
                <w:sz w:val="24"/>
                <w:szCs w:val="24"/>
                <w:lang w:val="en-US"/>
              </w:rPr>
            </w:pPr>
          </w:p>
          <w:p w14:paraId="2C18E3C2" w14:textId="77777777" w:rsidR="0040151F" w:rsidRDefault="0040151F" w:rsidP="0040151F">
            <w:pPr>
              <w:jc w:val="both"/>
              <w:rPr>
                <w:sz w:val="24"/>
                <w:szCs w:val="24"/>
                <w:lang w:val="en-US"/>
              </w:rPr>
            </w:pPr>
            <w:r w:rsidRPr="002530F1">
              <w:rPr>
                <w:sz w:val="24"/>
                <w:szCs w:val="24"/>
                <w:lang w:val="en-US"/>
              </w:rPr>
              <w:t>A significant difference is the role of parents and carers. In adult social work, family involvement is generally considered alongside the wishes and consent of the adult, unless there is a lawful reason to share information without consent. In children's safeguarding, parents and carers are important partners, but their wishes cannot override the need to protect a child where there are concerns about significant harm.</w:t>
            </w:r>
          </w:p>
          <w:p w14:paraId="438EC795" w14:textId="77777777" w:rsidR="002530F1" w:rsidRPr="002530F1" w:rsidRDefault="002530F1" w:rsidP="0040151F">
            <w:pPr>
              <w:jc w:val="both"/>
              <w:rPr>
                <w:sz w:val="24"/>
                <w:szCs w:val="24"/>
                <w:lang w:val="en-US"/>
              </w:rPr>
            </w:pPr>
          </w:p>
          <w:p w14:paraId="51E64E2F" w14:textId="32232BFF" w:rsidR="0040151F" w:rsidRDefault="0040151F" w:rsidP="0040151F">
            <w:pPr>
              <w:jc w:val="both"/>
              <w:rPr>
                <w:sz w:val="24"/>
                <w:szCs w:val="24"/>
              </w:rPr>
            </w:pPr>
            <w:r w:rsidRPr="002530F1">
              <w:rPr>
                <w:sz w:val="24"/>
                <w:szCs w:val="24"/>
              </w:rPr>
              <w:t>Children may also be affected by circumstances involving adults. In my adult social work practice, I may work with a parent experiencing mental ill health, substance misuse or domestic abuse. Although my primary involvement may be with the adult, I need to consider whether their circumstances are affecting children in the famil</w:t>
            </w:r>
            <w:r w:rsidR="002530F1">
              <w:rPr>
                <w:sz w:val="24"/>
                <w:szCs w:val="24"/>
              </w:rPr>
              <w:t xml:space="preserve">y and take the appropriate action to safeguard them. </w:t>
            </w:r>
          </w:p>
          <w:p w14:paraId="19C9D501" w14:textId="77777777" w:rsidR="002530F1" w:rsidRPr="002530F1" w:rsidRDefault="002530F1" w:rsidP="0040151F">
            <w:pPr>
              <w:jc w:val="both"/>
              <w:rPr>
                <w:sz w:val="24"/>
                <w:szCs w:val="24"/>
                <w:lang w:val="en-US"/>
              </w:rPr>
            </w:pPr>
          </w:p>
          <w:p w14:paraId="0B525092" w14:textId="77777777" w:rsidR="0040151F" w:rsidRDefault="0040151F" w:rsidP="0040151F">
            <w:pPr>
              <w:jc w:val="both"/>
              <w:rPr>
                <w:sz w:val="24"/>
                <w:szCs w:val="24"/>
              </w:rPr>
            </w:pPr>
            <w:r w:rsidRPr="002530F1">
              <w:rPr>
                <w:sz w:val="24"/>
                <w:szCs w:val="24"/>
              </w:rPr>
              <w:t>Children's safeguarding relies heavily on multi-agency working. Education, health, police and social services may each hold different information about a child, so effective safeguarding requires professionals to communicate and build a shared understanding of risk.</w:t>
            </w:r>
          </w:p>
          <w:p w14:paraId="0733D456" w14:textId="77777777" w:rsidR="002530F1" w:rsidRPr="002530F1" w:rsidRDefault="002530F1" w:rsidP="0040151F">
            <w:pPr>
              <w:jc w:val="both"/>
              <w:rPr>
                <w:sz w:val="24"/>
                <w:szCs w:val="24"/>
                <w:lang w:val="en-US"/>
              </w:rPr>
            </w:pPr>
          </w:p>
          <w:p w14:paraId="6FE9AF4D" w14:textId="366C1D5A" w:rsidR="0040151F" w:rsidRDefault="0040151F" w:rsidP="0040151F">
            <w:pPr>
              <w:jc w:val="both"/>
              <w:rPr>
                <w:sz w:val="24"/>
                <w:szCs w:val="24"/>
              </w:rPr>
            </w:pPr>
            <w:r w:rsidRPr="002530F1">
              <w:rPr>
                <w:sz w:val="24"/>
                <w:szCs w:val="24"/>
              </w:rPr>
              <w:t>Reflecting on my practice, I recognise that my adult safeguarding experience provides transferable</w:t>
            </w:r>
            <w:r w:rsidR="002530F1">
              <w:rPr>
                <w:sz w:val="24"/>
                <w:szCs w:val="24"/>
              </w:rPr>
              <w:t xml:space="preserve"> </w:t>
            </w:r>
            <w:r w:rsidRPr="002530F1">
              <w:rPr>
                <w:sz w:val="24"/>
                <w:szCs w:val="24"/>
              </w:rPr>
              <w:t>skills, including professional curiosity, risk assessment, recording, communication, information sharing and multi-agency working. However, I should not simply apply adult safeguarding processes to children. I need to understand the specific child protection framework, local thresholds and procedures and seek advice from children's safeguarding colleagues when required.</w:t>
            </w:r>
          </w:p>
          <w:p w14:paraId="76377D3A" w14:textId="77777777" w:rsidR="002530F1" w:rsidRPr="002530F1" w:rsidRDefault="002530F1" w:rsidP="0040151F">
            <w:pPr>
              <w:jc w:val="both"/>
              <w:rPr>
                <w:sz w:val="24"/>
                <w:szCs w:val="24"/>
                <w:lang w:val="en-US"/>
              </w:rPr>
            </w:pPr>
          </w:p>
          <w:p w14:paraId="72F71B00" w14:textId="0B0784DA" w:rsidR="0040151F" w:rsidRPr="002530F1" w:rsidRDefault="0040151F" w:rsidP="0040151F">
            <w:pPr>
              <w:jc w:val="both"/>
              <w:rPr>
                <w:sz w:val="24"/>
                <w:szCs w:val="24"/>
                <w:lang w:val="en-US"/>
              </w:rPr>
            </w:pPr>
            <w:r w:rsidRPr="002530F1">
              <w:rPr>
                <w:sz w:val="24"/>
                <w:szCs w:val="24"/>
              </w:rPr>
              <w:t xml:space="preserve">This reflection has reinforced that safeguarding principles are shared across social work, but the context differs. Maintaining knowledge enables me to recognise concerns early and </w:t>
            </w:r>
            <w:r w:rsidR="002530F1" w:rsidRPr="002530F1">
              <w:rPr>
                <w:sz w:val="24"/>
                <w:szCs w:val="24"/>
              </w:rPr>
              <w:t>act</w:t>
            </w:r>
            <w:r w:rsidRPr="002530F1">
              <w:rPr>
                <w:sz w:val="24"/>
                <w:szCs w:val="24"/>
              </w:rPr>
              <w:t>.</w:t>
            </w:r>
          </w:p>
          <w:p w14:paraId="1BBF4765" w14:textId="77777777" w:rsidR="0040151F" w:rsidRDefault="0040151F" w:rsidP="0040151F">
            <w:pPr>
              <w:jc w:val="both"/>
              <w:rPr>
                <w:sz w:val="24"/>
                <w:szCs w:val="24"/>
                <w:lang w:val="en-US"/>
              </w:rPr>
            </w:pPr>
          </w:p>
          <w:p w14:paraId="4847C39E" w14:textId="67C823F7" w:rsidR="00FC0334" w:rsidRPr="0040151F" w:rsidRDefault="0040151F" w:rsidP="00FC0334">
            <w:pPr>
              <w:jc w:val="both"/>
              <w:rPr>
                <w:sz w:val="24"/>
                <w:szCs w:val="24"/>
                <w:lang w:val="en-US"/>
              </w:rPr>
            </w:pPr>
            <w:r>
              <w:t>Word count 43</w:t>
            </w:r>
            <w:r w:rsidR="002530F1">
              <w:t>5</w:t>
            </w: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p w14:paraId="5A4D8567" w14:textId="77777777" w:rsidR="0040151F" w:rsidRDefault="0040151F" w:rsidP="00FC0334">
      <w:pPr>
        <w:rPr>
          <w:sz w:val="24"/>
          <w:szCs w:val="24"/>
        </w:rPr>
      </w:pPr>
    </w:p>
    <w:p w14:paraId="074404FE" w14:textId="77777777" w:rsidR="0040151F" w:rsidRDefault="0040151F" w:rsidP="00FC0334">
      <w:pPr>
        <w:rPr>
          <w:sz w:val="24"/>
          <w:szCs w:val="24"/>
        </w:rPr>
      </w:pPr>
    </w:p>
    <w:p w14:paraId="6E1284F8" w14:textId="77777777" w:rsidR="0040151F" w:rsidRDefault="0040151F" w:rsidP="00FC0334">
      <w:pPr>
        <w:rPr>
          <w:sz w:val="24"/>
          <w:szCs w:val="24"/>
        </w:rPr>
      </w:pPr>
    </w:p>
    <w:p w14:paraId="017CE784" w14:textId="77777777" w:rsidR="0040151F" w:rsidRDefault="0040151F" w:rsidP="00FC0334">
      <w:pPr>
        <w:rPr>
          <w:sz w:val="24"/>
          <w:szCs w:val="24"/>
        </w:rPr>
      </w:pPr>
    </w:p>
    <w:p w14:paraId="045229EC" w14:textId="77777777" w:rsidR="0040151F" w:rsidRDefault="0040151F" w:rsidP="00FC0334">
      <w:pPr>
        <w:rPr>
          <w:sz w:val="24"/>
          <w:szCs w:val="24"/>
        </w:rPr>
      </w:pPr>
    </w:p>
    <w:p w14:paraId="3F6153AD" w14:textId="77777777" w:rsidR="0040151F" w:rsidRDefault="0040151F" w:rsidP="00FC0334">
      <w:pPr>
        <w:rPr>
          <w:sz w:val="24"/>
          <w:szCs w:val="24"/>
        </w:rPr>
      </w:pPr>
    </w:p>
    <w:p w14:paraId="44B6E615" w14:textId="77777777" w:rsidR="0040151F" w:rsidRDefault="0040151F" w:rsidP="00FC0334">
      <w:pPr>
        <w:rPr>
          <w:sz w:val="24"/>
          <w:szCs w:val="24"/>
        </w:rPr>
      </w:pPr>
    </w:p>
    <w:p w14:paraId="66815722" w14:textId="77777777" w:rsidR="0040151F" w:rsidRDefault="0040151F" w:rsidP="00FC0334">
      <w:pPr>
        <w:rPr>
          <w:sz w:val="24"/>
          <w:szCs w:val="24"/>
        </w:rPr>
      </w:pPr>
    </w:p>
    <w:p w14:paraId="7EB766AA" w14:textId="77777777" w:rsidR="0040151F" w:rsidRDefault="0040151F" w:rsidP="00FC0334">
      <w:pPr>
        <w:rPr>
          <w:sz w:val="24"/>
          <w:szCs w:val="24"/>
        </w:rPr>
      </w:pPr>
    </w:p>
    <w:p w14:paraId="2BD0A127" w14:textId="77777777" w:rsidR="0040151F" w:rsidRDefault="0040151F" w:rsidP="00FC0334">
      <w:pPr>
        <w:rPr>
          <w:sz w:val="24"/>
          <w:szCs w:val="24"/>
        </w:rPr>
      </w:pPr>
    </w:p>
    <w:p w14:paraId="4356D841" w14:textId="77777777" w:rsidR="0040151F" w:rsidRDefault="0040151F" w:rsidP="00FC0334">
      <w:pPr>
        <w:rPr>
          <w:sz w:val="24"/>
          <w:szCs w:val="24"/>
        </w:rPr>
      </w:pPr>
    </w:p>
    <w:p w14:paraId="6F92FBC3" w14:textId="77777777" w:rsidR="0040151F" w:rsidRDefault="0040151F" w:rsidP="00FC0334">
      <w:pPr>
        <w:rPr>
          <w:sz w:val="24"/>
          <w:szCs w:val="24"/>
        </w:rPr>
      </w:pPr>
    </w:p>
    <w:p w14:paraId="1D106818" w14:textId="77777777" w:rsidR="0040151F" w:rsidRDefault="0040151F" w:rsidP="00FC0334">
      <w:pPr>
        <w:rPr>
          <w:sz w:val="24"/>
          <w:szCs w:val="24"/>
        </w:rPr>
      </w:pPr>
    </w:p>
    <w:p w14:paraId="65E56650" w14:textId="77777777" w:rsidR="0040151F" w:rsidRDefault="0040151F" w:rsidP="00FC0334">
      <w:pPr>
        <w:rPr>
          <w:sz w:val="24"/>
          <w:szCs w:val="24"/>
        </w:rPr>
      </w:pPr>
    </w:p>
    <w:p w14:paraId="1B66F7F4" w14:textId="77777777" w:rsidR="0040151F" w:rsidRDefault="0040151F" w:rsidP="00FC0334">
      <w:pPr>
        <w:rPr>
          <w:sz w:val="24"/>
          <w:szCs w:val="24"/>
        </w:rPr>
      </w:pPr>
    </w:p>
    <w:p w14:paraId="1F195E5D" w14:textId="77777777" w:rsidR="0040151F" w:rsidRDefault="0040151F" w:rsidP="00FC0334">
      <w:pPr>
        <w:rPr>
          <w:sz w:val="24"/>
          <w:szCs w:val="24"/>
        </w:rPr>
      </w:pPr>
    </w:p>
    <w:p w14:paraId="31690871" w14:textId="77777777" w:rsidR="0040151F" w:rsidRDefault="0040151F" w:rsidP="00FC0334">
      <w:pPr>
        <w:rPr>
          <w:sz w:val="24"/>
          <w:szCs w:val="24"/>
        </w:rPr>
      </w:pPr>
    </w:p>
    <w:p w14:paraId="2CA30870" w14:textId="77777777" w:rsidR="0040151F" w:rsidRDefault="0040151F" w:rsidP="00FC0334">
      <w:pPr>
        <w:rPr>
          <w:sz w:val="24"/>
          <w:szCs w:val="24"/>
        </w:rPr>
      </w:pPr>
    </w:p>
    <w:p w14:paraId="37342442" w14:textId="77777777" w:rsidR="0040151F" w:rsidRDefault="0040151F" w:rsidP="00FC0334">
      <w:pPr>
        <w:rPr>
          <w:sz w:val="24"/>
          <w:szCs w:val="24"/>
        </w:rPr>
      </w:pPr>
    </w:p>
    <w:p w14:paraId="01E7B44C" w14:textId="77777777" w:rsidR="0040151F" w:rsidRDefault="0040151F" w:rsidP="00FC0334">
      <w:pPr>
        <w:rPr>
          <w:sz w:val="24"/>
          <w:szCs w:val="24"/>
        </w:rPr>
      </w:pPr>
    </w:p>
    <w:p w14:paraId="5EF424B8" w14:textId="77777777" w:rsidR="0040151F" w:rsidRDefault="0040151F" w:rsidP="00FC0334">
      <w:pPr>
        <w:rPr>
          <w:sz w:val="24"/>
          <w:szCs w:val="24"/>
        </w:rPr>
      </w:pPr>
    </w:p>
    <w:p w14:paraId="71968080" w14:textId="6D42C092" w:rsidR="0040151F" w:rsidRDefault="0040151F" w:rsidP="00FC0334">
      <w:pPr>
        <w:rPr>
          <w:sz w:val="24"/>
          <w:szCs w:val="24"/>
        </w:rPr>
      </w:pPr>
    </w:p>
    <w:p w14:paraId="79074D62" w14:textId="77777777" w:rsidR="0040151F" w:rsidRDefault="0040151F" w:rsidP="00FC0334">
      <w:pPr>
        <w:rPr>
          <w:sz w:val="24"/>
          <w:szCs w:val="24"/>
        </w:rPr>
      </w:pPr>
    </w:p>
    <w:sectPr w:rsidR="0040151F"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CBD9BE" w14:textId="77777777" w:rsidR="00982EAB" w:rsidRDefault="00982EAB">
      <w:r>
        <w:separator/>
      </w:r>
    </w:p>
  </w:endnote>
  <w:endnote w:type="continuationSeparator" w:id="0">
    <w:p w14:paraId="273F65C0" w14:textId="77777777" w:rsidR="00982EAB" w:rsidRDefault="00982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53FDD3" w14:textId="77777777" w:rsidR="00982EAB" w:rsidRDefault="00982EAB">
      <w:r>
        <w:separator/>
      </w:r>
    </w:p>
  </w:footnote>
  <w:footnote w:type="continuationSeparator" w:id="0">
    <w:p w14:paraId="027C8DE1" w14:textId="77777777" w:rsidR="00982EAB" w:rsidRDefault="00982E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770B9"/>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30F1"/>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51F"/>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2EAB"/>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4E41"/>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93F52"/>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A5A47"/>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1157</Words>
  <Characters>6862</Characters>
  <Application>Microsoft Office Word</Application>
  <DocSecurity>0</DocSecurity>
  <Lines>163</Lines>
  <Paragraphs>44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katie Owens</cp:lastModifiedBy>
  <cp:revision>2</cp:revision>
  <cp:lastPrinted>2020-02-11T19:20:00Z</cp:lastPrinted>
  <dcterms:created xsi:type="dcterms:W3CDTF">2026-10-05T16:44:00Z</dcterms:created>
  <dcterms:modified xsi:type="dcterms:W3CDTF">2026-10-05T16:44:00Z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