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header1.xml" ContentType="application/vnd.openxmlformats-officedocument.wordprocessingml.header+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tbl>
      <w:tblPr>
        <w:tblW w:w="11369"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57"/>
        <w:gridCol w:w="3293"/>
        <w:gridCol w:w="2297"/>
        <w:gridCol w:w="2722"/>
      </w:tblGrid>
      <w:tr>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Programme:</w:t>
            </w:r>
          </w:p>
        </w:tc>
        <w:tc>
          <w:tcPr>
            <w:tcW w:w="8312" w:type="dxa"/>
            <w:gridSpan w:val="3"/>
            <w:tcBorders/>
          </w:tcPr>
          <w:p>
            <w:pPr>
              <w:pStyle w:val="style0"/>
              <w:spacing w:before="120" w:after="120"/>
              <w:rPr>
                <w:rFonts w:ascii="Arial" w:cs="Arial" w:hAnsi="Arial"/>
                <w:b/>
                <w:sz w:val="22"/>
                <w:szCs w:val="22"/>
              </w:rPr>
            </w:pPr>
            <w:r>
              <w:rPr>
                <w:rFonts w:ascii="Arial" w:cs="Arial" w:hAnsi="Arial"/>
                <w:bCs/>
                <w:sz w:val="22"/>
                <w:szCs w:val="22"/>
              </w:rPr>
              <w:t>BA</w:t>
            </w:r>
            <w:r>
              <w:rPr>
                <w:rFonts w:ascii="Arial" w:cs="Arial" w:hAnsi="Arial"/>
                <w:bCs/>
                <w:sz w:val="22"/>
                <w:szCs w:val="22"/>
              </w:rPr>
              <w:t xml:space="preserve"> (Hons)</w:t>
            </w:r>
            <w:r>
              <w:rPr>
                <w:rFonts w:ascii="Arial" w:cs="Arial" w:hAnsi="Arial"/>
                <w:bCs/>
                <w:sz w:val="22"/>
                <w:szCs w:val="22"/>
              </w:rPr>
              <w:t xml:space="preserve"> Business Management</w:t>
            </w:r>
          </w:p>
        </w:tc>
      </w:tr>
      <w:tr>
        <w:tblPrEx/>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Module:</w:t>
            </w:r>
          </w:p>
        </w:tc>
        <w:tc>
          <w:tcPr>
            <w:tcW w:w="8312" w:type="dxa"/>
            <w:gridSpan w:val="3"/>
            <w:tcBorders/>
          </w:tcPr>
          <w:p>
            <w:pPr>
              <w:pStyle w:val="style0"/>
              <w:spacing w:before="120" w:after="120"/>
              <w:rPr>
                <w:rFonts w:ascii="Arial" w:cs="Arial" w:hAnsi="Arial"/>
                <w:b/>
                <w:sz w:val="22"/>
                <w:szCs w:val="22"/>
              </w:rPr>
            </w:pPr>
            <w:r>
              <w:rPr>
                <w:rFonts w:ascii="Arial" w:cs="Arial" w:hAnsi="Arial"/>
                <w:bCs/>
                <w:sz w:val="22"/>
                <w:szCs w:val="22"/>
              </w:rPr>
              <w:t>Understanding Organisational Structure and Culture</w:t>
            </w:r>
          </w:p>
        </w:tc>
      </w:tr>
      <w:tr>
        <w:tblPrEx/>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Module code:</w:t>
            </w:r>
          </w:p>
        </w:tc>
        <w:tc>
          <w:tcPr>
            <w:tcW w:w="3293" w:type="dxa"/>
            <w:tcBorders/>
          </w:tcPr>
          <w:p>
            <w:pPr>
              <w:pStyle w:val="style0"/>
              <w:spacing w:before="120" w:after="120"/>
              <w:rPr>
                <w:rFonts w:ascii="Arial" w:cs="Arial" w:hAnsi="Arial"/>
                <w:b/>
                <w:sz w:val="22"/>
                <w:szCs w:val="22"/>
              </w:rPr>
            </w:pPr>
            <w:r>
              <w:rPr>
                <w:rFonts w:ascii="Arial" w:cs="Arial" w:hAnsi="Arial"/>
                <w:b/>
                <w:sz w:val="22"/>
                <w:szCs w:val="22"/>
              </w:rPr>
              <w:t>LCBB4009</w:t>
            </w:r>
          </w:p>
        </w:tc>
        <w:tc>
          <w:tcPr>
            <w:tcW w:w="2297" w:type="dxa"/>
            <w:tcBorders/>
            <w:shd w:val="clear" w:color="auto" w:fill="d9d9d9"/>
          </w:tcPr>
          <w:p>
            <w:pPr>
              <w:pStyle w:val="style0"/>
              <w:rPr/>
            </w:pPr>
            <w:r>
              <w:t>Contribution to Overall Module Assessment (%):</w:t>
            </w:r>
          </w:p>
        </w:tc>
        <w:tc>
          <w:tcPr>
            <w:tcW w:w="2722" w:type="dxa"/>
            <w:tcBorders/>
          </w:tcPr>
          <w:p>
            <w:pPr>
              <w:pStyle w:val="style0"/>
              <w:spacing w:before="120" w:after="120"/>
              <w:rPr>
                <w:rFonts w:ascii="Arial" w:cs="Arial" w:hAnsi="Arial"/>
                <w:b/>
                <w:sz w:val="22"/>
                <w:szCs w:val="22"/>
              </w:rPr>
            </w:pPr>
            <w:r>
              <w:rPr>
                <w:rFonts w:ascii="Arial" w:cs="Arial" w:hAnsi="Arial"/>
                <w:b/>
                <w:sz w:val="22"/>
                <w:szCs w:val="22"/>
              </w:rPr>
              <w:t>50%</w:t>
            </w:r>
          </w:p>
        </w:tc>
      </w:tr>
      <w:tr>
        <w:tblPrEx/>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 xml:space="preserve">Module Leader/ </w:t>
            </w:r>
            <w:r>
              <w:rPr>
                <w:rFonts w:ascii="Arial" w:cs="Arial" w:hAnsi="Arial"/>
                <w:b/>
                <w:sz w:val="22"/>
                <w:szCs w:val="22"/>
              </w:rPr>
              <w:t>Lecturer:</w:t>
            </w:r>
          </w:p>
        </w:tc>
        <w:tc>
          <w:tcPr>
            <w:tcW w:w="3293" w:type="dxa"/>
            <w:tcBorders/>
          </w:tcPr>
          <w:p>
            <w:pPr>
              <w:pStyle w:val="style0"/>
              <w:spacing w:before="120" w:after="120"/>
              <w:rPr>
                <w:rFonts w:ascii="Arial" w:cs="Arial" w:hAnsi="Arial"/>
                <w:b/>
                <w:bCs/>
                <w:sz w:val="22"/>
                <w:szCs w:val="22"/>
              </w:rPr>
            </w:pPr>
            <w:r>
              <w:rPr>
                <w:rFonts w:ascii="Arial" w:cs="Arial" w:hAnsi="Arial"/>
                <w:b/>
                <w:bCs/>
                <w:sz w:val="22"/>
                <w:szCs w:val="22"/>
              </w:rPr>
              <w:t>Dr Said Usman</w:t>
            </w:r>
          </w:p>
          <w:p>
            <w:pPr>
              <w:pStyle w:val="style0"/>
              <w:spacing w:before="120" w:after="120"/>
              <w:rPr>
                <w:rFonts w:ascii="Arial" w:cs="Arial" w:hAnsi="Arial"/>
                <w:b/>
                <w:sz w:val="22"/>
                <w:szCs w:val="22"/>
              </w:rPr>
            </w:pPr>
          </w:p>
        </w:tc>
        <w:tc>
          <w:tcPr>
            <w:tcW w:w="2297" w:type="dxa"/>
            <w:tcBorders/>
            <w:shd w:val="clear" w:color="auto" w:fill="d9d9d9"/>
          </w:tcPr>
          <w:p>
            <w:pPr>
              <w:pStyle w:val="style0"/>
              <w:spacing w:before="120" w:after="120"/>
              <w:rPr>
                <w:rFonts w:ascii="Arial" w:cs="Arial" w:hAnsi="Arial"/>
                <w:b/>
                <w:sz w:val="22"/>
                <w:szCs w:val="22"/>
              </w:rPr>
            </w:pPr>
            <w:r>
              <w:rPr>
                <w:rFonts w:ascii="Arial" w:cs="Arial" w:hAnsi="Arial"/>
                <w:b/>
                <w:sz w:val="22"/>
                <w:szCs w:val="22"/>
              </w:rPr>
              <w:t>Internal Verifier:</w:t>
            </w:r>
          </w:p>
        </w:tc>
        <w:tc>
          <w:tcPr>
            <w:tcW w:w="2722" w:type="dxa"/>
            <w:tcBorders/>
          </w:tcPr>
          <w:p>
            <w:pPr>
              <w:pStyle w:val="style0"/>
              <w:spacing w:before="120" w:after="120"/>
              <w:rPr>
                <w:rFonts w:ascii="Arial" w:cs="Arial" w:hAnsi="Arial"/>
                <w:b/>
                <w:sz w:val="22"/>
                <w:szCs w:val="22"/>
              </w:rPr>
            </w:pPr>
            <w:r>
              <w:rPr>
                <w:rFonts w:ascii="Arial" w:cs="Arial" w:hAnsi="Arial"/>
                <w:b/>
                <w:bCs/>
                <w:sz w:val="22"/>
                <w:szCs w:val="22"/>
              </w:rPr>
              <w:t>Dr Anupam Mazumdar</w:t>
            </w:r>
          </w:p>
        </w:tc>
      </w:tr>
      <w:tr>
        <w:tblPrEx/>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Assignment Title:</w:t>
            </w:r>
          </w:p>
        </w:tc>
        <w:tc>
          <w:tcPr>
            <w:tcW w:w="3293" w:type="dxa"/>
            <w:tcBorders/>
          </w:tcPr>
          <w:p>
            <w:pPr>
              <w:pStyle w:val="style0"/>
              <w:spacing w:before="120" w:after="120"/>
              <w:rPr>
                <w:rFonts w:ascii="Arial" w:cs="Arial" w:hAnsi="Arial"/>
                <w:b/>
                <w:bCs/>
                <w:sz w:val="22"/>
                <w:szCs w:val="22"/>
              </w:rPr>
            </w:pPr>
            <w:r>
              <w:rPr>
                <w:rFonts w:ascii="Arial" w:cs="Arial" w:hAnsi="Arial"/>
                <w:b/>
                <w:bCs/>
                <w:sz w:val="22"/>
                <w:szCs w:val="22"/>
              </w:rPr>
              <w:t xml:space="preserve">Component 1: Practical: </w:t>
            </w:r>
          </w:p>
          <w:p>
            <w:pPr>
              <w:pStyle w:val="style0"/>
              <w:spacing w:before="120" w:after="120"/>
              <w:rPr>
                <w:rFonts w:ascii="Arial" w:cs="Arial" w:hAnsi="Arial"/>
                <w:b/>
                <w:sz w:val="22"/>
                <w:szCs w:val="22"/>
              </w:rPr>
            </w:pPr>
            <w:r>
              <w:rPr>
                <w:rFonts w:ascii="Arial" w:cs="Arial" w:hAnsi="Arial"/>
                <w:b/>
                <w:sz w:val="22"/>
                <w:szCs w:val="22"/>
              </w:rPr>
              <w:t>Individual presentation</w:t>
            </w:r>
          </w:p>
        </w:tc>
        <w:tc>
          <w:tcPr>
            <w:tcW w:w="229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Word count (or equivalent):</w:t>
            </w:r>
          </w:p>
        </w:tc>
        <w:tc>
          <w:tcPr>
            <w:tcW w:w="2722" w:type="dxa"/>
            <w:tcBorders/>
          </w:tcPr>
          <w:p>
            <w:pPr>
              <w:pStyle w:val="style0"/>
              <w:spacing w:before="120" w:after="120"/>
              <w:rPr>
                <w:rFonts w:ascii="Arial" w:cs="Arial" w:hAnsi="Arial"/>
                <w:b/>
                <w:sz w:val="22"/>
                <w:szCs w:val="22"/>
              </w:rPr>
            </w:pPr>
            <w:r>
              <w:rPr>
                <w:rFonts w:ascii="Arial" w:cs="Arial" w:hAnsi="Arial"/>
                <w:b/>
                <w:bCs/>
                <w:sz w:val="22"/>
                <w:szCs w:val="22"/>
              </w:rPr>
              <w:t>5-7 minutes per person</w:t>
            </w:r>
          </w:p>
        </w:tc>
      </w:tr>
      <w:tr>
        <w:tblPrEx/>
        <w:trPr/>
        <w:tc>
          <w:tcPr>
            <w:tcW w:w="305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Submission deadline:</w:t>
            </w:r>
          </w:p>
        </w:tc>
        <w:tc>
          <w:tcPr>
            <w:tcW w:w="3293" w:type="dxa"/>
            <w:tcBorders/>
          </w:tcPr>
          <w:p>
            <w:pPr>
              <w:pStyle w:val="style0"/>
              <w:spacing w:before="120" w:after="120"/>
              <w:ind w:left="-20" w:right="-20"/>
              <w:rPr>
                <w:rFonts w:ascii="Arial" w:cs="Arial" w:eastAsia="Arial" w:hAnsi="Arial"/>
                <w:b/>
                <w:bCs/>
              </w:rPr>
            </w:pPr>
            <w:r>
              <w:rPr>
                <w:rFonts w:ascii="Arial" w:cs="Arial" w:eastAsia="Arial" w:hAnsi="Arial"/>
                <w:b/>
                <w:bCs/>
              </w:rPr>
              <w:t>Slide Submission:</w:t>
            </w:r>
            <w:r>
              <w:rPr>
                <w:rFonts w:ascii="Arial" w:cs="Arial" w:eastAsia="Arial" w:hAnsi="Arial"/>
                <w:b/>
                <w:bCs/>
              </w:rPr>
              <w:t xml:space="preserve"> 19</w:t>
            </w:r>
            <w:r>
              <w:rPr>
                <w:rFonts w:ascii="Arial" w:cs="Arial" w:eastAsia="Arial" w:hAnsi="Arial"/>
                <w:b/>
                <w:bCs/>
                <w:vertAlign w:val="superscript"/>
              </w:rPr>
              <w:t>th</w:t>
            </w:r>
            <w:r>
              <w:rPr>
                <w:rFonts w:ascii="Arial" w:cs="Arial" w:eastAsia="Arial" w:hAnsi="Arial"/>
                <w:b/>
                <w:bCs/>
              </w:rPr>
              <w:t xml:space="preserve"> October 2025, 14:00 (2PM)</w:t>
            </w:r>
          </w:p>
          <w:p>
            <w:pPr>
              <w:pStyle w:val="style0"/>
              <w:spacing w:before="120" w:after="120"/>
              <w:ind w:left="-20" w:right="-20"/>
              <w:rPr>
                <w:rFonts w:ascii="Arial" w:cs="Arial" w:eastAsia="Arial" w:hAnsi="Arial"/>
                <w:b/>
                <w:bCs/>
              </w:rPr>
            </w:pPr>
            <w:r>
              <w:rPr>
                <w:rFonts w:ascii="Arial" w:cs="Arial" w:eastAsia="Arial" w:hAnsi="Arial"/>
                <w:b/>
                <w:bCs/>
              </w:rPr>
              <w:t>Presentations:</w:t>
            </w:r>
            <w:r>
              <w:rPr>
                <w:rFonts w:ascii="Arial" w:cs="Arial" w:eastAsia="Arial" w:hAnsi="Arial"/>
                <w:b/>
                <w:bCs/>
              </w:rPr>
              <w:t xml:space="preserve"> 20</w:t>
            </w:r>
            <w:r>
              <w:rPr>
                <w:rFonts w:ascii="Arial" w:cs="Arial" w:eastAsia="Arial" w:hAnsi="Arial"/>
                <w:b/>
                <w:bCs/>
                <w:vertAlign w:val="superscript"/>
              </w:rPr>
              <w:t>th</w:t>
            </w:r>
            <w:r>
              <w:rPr>
                <w:rFonts w:ascii="Arial" w:cs="Arial" w:eastAsia="Arial" w:hAnsi="Arial"/>
                <w:b/>
                <w:bCs/>
              </w:rPr>
              <w:t xml:space="preserve"> October 2025 (Week 7)</w:t>
            </w:r>
          </w:p>
        </w:tc>
        <w:tc>
          <w:tcPr>
            <w:tcW w:w="2297" w:type="dxa"/>
            <w:tcBorders/>
            <w:shd w:val="pct15" w:color="auto" w:fill="auto"/>
          </w:tcPr>
          <w:p>
            <w:pPr>
              <w:pStyle w:val="style0"/>
              <w:spacing w:before="120" w:after="120"/>
              <w:rPr>
                <w:rFonts w:ascii="Arial" w:cs="Arial" w:hAnsi="Arial"/>
                <w:b/>
                <w:sz w:val="22"/>
                <w:szCs w:val="22"/>
              </w:rPr>
            </w:pPr>
            <w:r>
              <w:rPr>
                <w:rFonts w:ascii="Arial" w:cs="Arial" w:hAnsi="Arial"/>
                <w:b/>
                <w:sz w:val="22"/>
                <w:szCs w:val="22"/>
              </w:rPr>
              <w:t>Return date of provisional marks &amp; written feedback:</w:t>
            </w:r>
          </w:p>
        </w:tc>
        <w:tc>
          <w:tcPr>
            <w:tcW w:w="2722" w:type="dxa"/>
            <w:tcBorders/>
          </w:tcPr>
          <w:p>
            <w:pPr>
              <w:pStyle w:val="style0"/>
              <w:spacing w:before="120" w:after="120"/>
              <w:ind w:left="-20" w:right="-20"/>
              <w:rPr>
                <w:rFonts w:ascii="Arial" w:cs="Arial" w:eastAsia="Arial" w:hAnsi="Arial"/>
                <w:b/>
                <w:bCs/>
                <w:sz w:val="22"/>
                <w:szCs w:val="22"/>
              </w:rPr>
            </w:pPr>
            <w:r>
              <w:rPr>
                <w:rFonts w:ascii="Arial" w:cs="Arial" w:eastAsia="Arial" w:hAnsi="Arial"/>
                <w:b/>
                <w:bCs/>
                <w:sz w:val="22"/>
                <w:szCs w:val="22"/>
              </w:rPr>
              <w:t>17</w:t>
            </w:r>
            <w:r>
              <w:rPr>
                <w:rFonts w:ascii="Arial" w:cs="Arial" w:eastAsia="Arial" w:hAnsi="Arial"/>
                <w:b/>
                <w:bCs/>
                <w:sz w:val="22"/>
                <w:szCs w:val="22"/>
                <w:vertAlign w:val="superscript"/>
              </w:rPr>
              <w:t>th</w:t>
            </w:r>
            <w:r>
              <w:rPr>
                <w:rFonts w:ascii="Arial" w:cs="Arial" w:eastAsia="Arial" w:hAnsi="Arial"/>
                <w:b/>
                <w:bCs/>
                <w:sz w:val="22"/>
                <w:szCs w:val="22"/>
              </w:rPr>
              <w:t xml:space="preserve"> November 2025</w:t>
            </w:r>
          </w:p>
          <w:p>
            <w:pPr>
              <w:pStyle w:val="style0"/>
              <w:spacing w:before="120" w:after="120"/>
              <w:rPr>
                <w:rFonts w:ascii="Arial" w:cs="Arial" w:hAnsi="Arial"/>
                <w:b/>
                <w:sz w:val="22"/>
                <w:szCs w:val="22"/>
              </w:rPr>
            </w:pPr>
          </w:p>
        </w:tc>
      </w:tr>
    </w:tbl>
    <w:p>
      <w:pPr>
        <w:pStyle w:val="style0"/>
        <w:spacing w:lineRule="auto" w:line="278"/>
        <w:jc w:val="left"/>
        <w:rPr>
          <w:rFonts w:cs="宋体" w:eastAsia="宋体"/>
          <w:b/>
          <w:color w:val="000000"/>
          <w:szCs w:val="40"/>
        </w:rPr>
      </w:pPr>
      <w:r>
        <w:br w:type="page"/>
      </w:r>
    </w:p>
    <w:p>
      <w:pPr>
        <w:pStyle w:val="style0"/>
        <w:spacing w:lineRule="auto" w:line="278"/>
        <w:jc w:val="center"/>
        <w:rPr>
          <w:b/>
          <w:bCs/>
          <w:sz w:val="32"/>
          <w:szCs w:val="32"/>
        </w:rPr>
      </w:pPr>
    </w:p>
    <w:p>
      <w:pPr>
        <w:pStyle w:val="style0"/>
        <w:spacing w:lineRule="auto" w:line="278"/>
        <w:jc w:val="center"/>
        <w:rPr>
          <w:b/>
          <w:bCs/>
          <w:sz w:val="32"/>
          <w:szCs w:val="32"/>
        </w:rPr>
      </w:pPr>
    </w:p>
    <w:p>
      <w:pPr>
        <w:pStyle w:val="style0"/>
        <w:spacing w:lineRule="auto" w:line="278"/>
        <w:jc w:val="center"/>
        <w:rPr>
          <w:b/>
          <w:bCs/>
          <w:sz w:val="32"/>
          <w:szCs w:val="32"/>
        </w:rPr>
      </w:pPr>
    </w:p>
    <w:p>
      <w:pPr>
        <w:pStyle w:val="style0"/>
        <w:spacing w:lineRule="auto" w:line="278"/>
        <w:jc w:val="center"/>
        <w:rPr>
          <w:b/>
          <w:bCs/>
          <w:sz w:val="32"/>
          <w:szCs w:val="32"/>
        </w:rPr>
      </w:pPr>
    </w:p>
    <w:p>
      <w:pPr>
        <w:pStyle w:val="style0"/>
        <w:spacing w:lineRule="auto" w:line="278"/>
        <w:jc w:val="center"/>
        <w:rPr>
          <w:b/>
          <w:bCs/>
          <w:sz w:val="32"/>
          <w:szCs w:val="32"/>
        </w:rPr>
      </w:pPr>
    </w:p>
    <w:p>
      <w:pPr>
        <w:pStyle w:val="style0"/>
        <w:spacing w:lineRule="auto" w:line="278"/>
        <w:jc w:val="center"/>
        <w:rPr>
          <w:rFonts w:cs="宋体" w:eastAsia="宋体"/>
          <w:b/>
          <w:bCs/>
          <w:color w:val="000000"/>
          <w:sz w:val="32"/>
          <w:szCs w:val="32"/>
        </w:rPr>
      </w:pPr>
      <w:r>
        <w:rPr>
          <w:b/>
          <w:bCs/>
          <w:sz w:val="32"/>
          <w:szCs w:val="32"/>
        </w:rPr>
        <w:t>M&amp;S ORGANISATIONAL STRUCTURE: FUNCTIONAL, DIVISIONAL &amp; MATRIX</w:t>
      </w:r>
    </w:p>
    <w:p>
      <w:pPr>
        <w:pStyle w:val="style0"/>
        <w:spacing w:lineRule="auto" w:line="278"/>
        <w:jc w:val="center"/>
        <w:rPr>
          <w:rFonts w:cs="宋体" w:eastAsia="宋体"/>
          <w:b/>
          <w:bCs/>
          <w:color w:val="000000"/>
          <w:sz w:val="32"/>
          <w:szCs w:val="32"/>
        </w:rPr>
      </w:pPr>
      <w:r>
        <w:rPr>
          <w:rFonts w:cs="宋体" w:eastAsia="宋体"/>
          <w:b/>
          <w:bCs/>
          <w:color w:val="000000"/>
          <w:sz w:val="32"/>
          <w:szCs w:val="32"/>
          <w:lang w:val="en-US"/>
        </w:rPr>
        <w:t>Student Name : Elena Raican</w:t>
      </w:r>
    </w:p>
    <w:p>
      <w:pPr>
        <w:pStyle w:val="style0"/>
        <w:spacing w:lineRule="auto" w:line="278"/>
        <w:jc w:val="center"/>
        <w:rPr>
          <w:rFonts w:cs="宋体" w:eastAsia="宋体"/>
          <w:b/>
          <w:bCs/>
          <w:color w:val="000000"/>
          <w:sz w:val="32"/>
          <w:szCs w:val="32"/>
        </w:rPr>
      </w:pPr>
      <w:r>
        <w:rPr>
          <w:rFonts w:cs="宋体" w:eastAsia="宋体"/>
          <w:b/>
          <w:bCs/>
          <w:color w:val="000000"/>
          <w:sz w:val="32"/>
          <w:szCs w:val="32"/>
          <w:lang w:val="en-US"/>
        </w:rPr>
        <w:t>Student ID : 2440481</w:t>
      </w:r>
    </w:p>
    <w:p>
      <w:pPr>
        <w:pStyle w:val="style0"/>
        <w:spacing w:lineRule="auto" w:line="278"/>
        <w:jc w:val="left"/>
        <w:rPr>
          <w:rFonts w:cs="宋体" w:eastAsia="宋体"/>
          <w:b/>
          <w:color w:val="000000"/>
          <w:szCs w:val="40"/>
        </w:rPr>
      </w:pPr>
      <w:r>
        <w:br w:type="page"/>
      </w:r>
    </w:p>
    <w:p>
      <w:pPr>
        <w:pStyle w:val="style266"/>
        <w:rPr/>
      </w:pPr>
      <w:r>
        <w:t>Table of Contents</w:t>
      </w:r>
    </w:p>
    <w:p>
      <w:pPr>
        <w:pStyle w:val="style19"/>
        <w:tabs>
          <w:tab w:val="right" w:leader="dot" w:pos="9350"/>
        </w:tabs>
        <w:ind w:left="720"/>
        <w:rPr>
          <w:rFonts w:ascii="Calibri" w:eastAsia="宋体" w:hAnsi="Calibri"/>
          <w:noProof/>
          <w:lang w:val="en-US"/>
        </w:rPr>
      </w:pPr>
      <w:r>
        <w:rPr/>
        <w:fldChar w:fldCharType="begin"/>
      </w:r>
      <w:r>
        <w:instrText xml:space="preserve"> TOC \o "1-3" \h \z \u </w:instrText>
      </w:r>
      <w:r>
        <w:rPr/>
        <w:fldChar w:fldCharType="separate"/>
      </w:r>
      <w:r>
        <w:rPr/>
        <w:fldChar w:fldCharType="begin"/>
      </w:r>
      <w:r>
        <w:instrText xml:space="preserve"> HYPERLINK \l "_Toc209783089" </w:instrText>
      </w:r>
      <w:r>
        <w:rPr/>
        <w:fldChar w:fldCharType="separate"/>
      </w:r>
      <w:r>
        <w:rPr>
          <w:rStyle w:val="style85"/>
          <w:noProof/>
        </w:rPr>
        <w:t>Slide 1 – Introduction</w:t>
      </w:r>
      <w:r>
        <w:rPr>
          <w:noProof/>
          <w:webHidden/>
        </w:rPr>
        <w:tab/>
      </w:r>
      <w:r>
        <w:rPr>
          <w:noProof/>
          <w:webHidden/>
        </w:rPr>
        <w:fldChar w:fldCharType="begin"/>
      </w:r>
      <w:r>
        <w:rPr>
          <w:noProof/>
          <w:webHidden/>
        </w:rPr>
        <w:instrText xml:space="preserve"> PAGEREF _Toc209783089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"_Toc209783090" </w:instrText>
      </w:r>
      <w:r>
        <w:rPr/>
        <w:fldChar w:fldCharType="separate"/>
      </w:r>
      <w:r>
        <w:rPr>
          <w:rStyle w:val="style85"/>
          <w:noProof/>
        </w:rPr>
        <w:t>Slide 2 – Presentation Outline</w:t>
      </w:r>
      <w:r>
        <w:rPr>
          <w:noProof/>
          <w:webHidden/>
        </w:rPr>
        <w:tab/>
      </w:r>
      <w:r>
        <w:rPr>
          <w:noProof/>
          <w:webHidden/>
        </w:rPr>
        <w:fldChar w:fldCharType="begin"/>
      </w:r>
      <w:r>
        <w:rPr>
          <w:noProof/>
          <w:webHidden/>
        </w:rPr>
        <w:instrText xml:space="preserve"> PAGEREF _Toc209783090 \h </w:instrText>
      </w:r>
      <w:r>
        <w:rPr>
          <w:noProof/>
          <w:webHidden/>
        </w:rPr>
        <w:fldChar w:fldCharType="separate"/>
      </w:r>
      <w:r>
        <w:rPr>
          <w:noProof/>
          <w:webHidden/>
        </w:rPr>
        <w:t>4</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"_Toc209783091" </w:instrText>
      </w:r>
      <w:r>
        <w:rPr/>
        <w:fldChar w:fldCharType="separate"/>
      </w:r>
      <w:r>
        <w:rPr>
          <w:rStyle w:val="style85"/>
          <w:noProof/>
        </w:rPr>
        <w:t>Slide 3 – Concept and Importance of Organisational Structure</w:t>
      </w:r>
      <w:r>
        <w:rPr>
          <w:noProof/>
          <w:webHidden/>
        </w:rPr>
        <w:tab/>
      </w:r>
      <w:r>
        <w:rPr>
          <w:noProof/>
          <w:webHidden/>
        </w:rPr>
        <w:fldChar w:fldCharType="begin"/>
      </w:r>
      <w:r>
        <w:rPr>
          <w:noProof/>
          <w:webHidden/>
        </w:rPr>
        <w:instrText xml:space="preserve"> PAGEREF _Toc209783091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"_Toc209783092" </w:instrText>
      </w:r>
      <w:r>
        <w:rPr/>
        <w:fldChar w:fldCharType="separate"/>
      </w:r>
      <w:r>
        <w:rPr>
          <w:rStyle w:val="style85"/>
          <w:noProof/>
        </w:rPr>
        <w:t>Slide 4 – Functional Structure</w:t>
      </w:r>
      <w:r>
        <w:rPr>
          <w:noProof/>
          <w:webHidden/>
        </w:rPr>
        <w:tab/>
      </w:r>
      <w:r>
        <w:rPr>
          <w:noProof/>
          <w:webHidden/>
        </w:rPr>
        <w:fldChar w:fldCharType="begin"/>
      </w:r>
      <w:r>
        <w:rPr>
          <w:noProof/>
          <w:webHidden/>
        </w:rPr>
        <w:instrText xml:space="preserve"> PAGEREF _Toc209783092 \h </w:instrText>
      </w:r>
      <w:r>
        <w:rPr>
          <w:noProof/>
          <w:webHidden/>
        </w:rPr>
        <w:fldChar w:fldCharType="separate"/>
      </w:r>
      <w:r>
        <w:rPr>
          <w:noProof/>
          <w:webHidden/>
        </w:rPr>
        <w:t>5</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"_Toc209783093" </w:instrText>
      </w:r>
      <w:r>
        <w:rPr/>
        <w:fldChar w:fldCharType="separate"/>
      </w:r>
      <w:r>
        <w:rPr>
          <w:rStyle w:val="style85"/>
          <w:noProof/>
        </w:rPr>
        <w:t>Slide 5 – Divisional Structure</w:t>
      </w:r>
      <w:r>
        <w:rPr>
          <w:noProof/>
          <w:webHidden/>
        </w:rPr>
        <w:tab/>
      </w:r>
      <w:r>
        <w:rPr>
          <w:noProof/>
          <w:webHidden/>
        </w:rPr>
        <w:fldChar w:fldCharType="begin"/>
      </w:r>
      <w:r>
        <w:rPr>
          <w:noProof/>
          <w:webHidden/>
        </w:rPr>
        <w:instrText xml:space="preserve"> PAGEREF _Toc209783093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"_Toc209783094" </w:instrText>
      </w:r>
      <w:r>
        <w:rPr/>
        <w:fldChar w:fldCharType="separate"/>
      </w:r>
      <w:r>
        <w:rPr>
          <w:rStyle w:val="style85"/>
          <w:noProof/>
        </w:rPr>
        <w:t>Slide 6 – Matrix Structure</w:t>
      </w:r>
      <w:r>
        <w:rPr>
          <w:noProof/>
          <w:webHidden/>
        </w:rPr>
        <w:tab/>
      </w:r>
      <w:r>
        <w:rPr>
          <w:noProof/>
          <w:webHidden/>
        </w:rPr>
        <w:fldChar w:fldCharType="begin"/>
      </w:r>
      <w:r>
        <w:rPr>
          <w:noProof/>
          <w:webHidden/>
        </w:rPr>
        <w:instrText xml:space="preserve"> PAGEREF _Toc209783094 \h </w:instrText>
      </w:r>
      <w:r>
        <w:rPr>
          <w:noProof/>
          <w:webHidden/>
        </w:rPr>
        <w:fldChar w:fldCharType="separate"/>
      </w:r>
      <w:r>
        <w:rPr>
          <w:noProof/>
          <w:webHidden/>
        </w:rPr>
        <w:t>6</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"_Toc209783095" </w:instrText>
      </w:r>
      <w:r>
        <w:rPr/>
        <w:fldChar w:fldCharType="separate"/>
      </w:r>
      <w:r>
        <w:rPr>
          <w:rStyle w:val="style85"/>
          <w:noProof/>
        </w:rPr>
        <w:t>Slide 7 – Conclusion</w:t>
      </w:r>
      <w:r>
        <w:rPr>
          <w:noProof/>
          <w:webHidden/>
        </w:rPr>
        <w:tab/>
      </w:r>
      <w:r>
        <w:rPr>
          <w:noProof/>
          <w:webHidden/>
        </w:rPr>
        <w:fldChar w:fldCharType="begin"/>
      </w:r>
      <w:r>
        <w:rPr>
          <w:noProof/>
          <w:webHidden/>
        </w:rPr>
        <w:instrText xml:space="preserve"> PAGEREF _Toc209783095 \h </w:instrText>
      </w:r>
      <w:r>
        <w:rPr>
          <w:noProof/>
          <w:webHidden/>
        </w:rPr>
        <w:fldChar w:fldCharType="separate"/>
      </w:r>
      <w:r>
        <w:rPr>
          <w:noProof/>
          <w:webHidden/>
        </w:rPr>
        <w:t>7</w:t>
      </w:r>
      <w:r>
        <w:rPr>
          <w:noProof/>
          <w:webHidden/>
        </w:rPr>
        <w:fldChar w:fldCharType="end"/>
      </w:r>
      <w:r>
        <w:rPr/>
        <w:fldChar w:fldCharType="end"/>
      </w:r>
    </w:p>
    <w:p>
      <w:pPr>
        <w:pStyle w:val="style19"/>
        <w:tabs>
          <w:tab w:val="right" w:leader="dot" w:pos="9350"/>
        </w:tabs>
        <w:ind w:left="720"/>
        <w:rPr>
          <w:rFonts w:ascii="Calibri" w:eastAsia="宋体" w:hAnsi="Calibri"/>
          <w:noProof/>
          <w:lang w:val="en-US"/>
        </w:rPr>
      </w:pPr>
      <w:r>
        <w:rPr/>
        <w:fldChar w:fldCharType="begin"/>
      </w:r>
      <w:r>
        <w:instrText xml:space="preserve"> HYPERLINK \l "_Toc209783096" </w:instrText>
      </w:r>
      <w:r>
        <w:rPr/>
        <w:fldChar w:fldCharType="separate"/>
      </w:r>
      <w:r>
        <w:rPr>
          <w:rStyle w:val="style85"/>
          <w:noProof/>
        </w:rPr>
        <w:t>Reference list</w:t>
      </w:r>
      <w:r>
        <w:rPr>
          <w:noProof/>
          <w:webHidden/>
        </w:rPr>
        <w:tab/>
      </w:r>
      <w:r>
        <w:rPr>
          <w:noProof/>
          <w:webHidden/>
        </w:rPr>
        <w:fldChar w:fldCharType="begin"/>
      </w:r>
      <w:r>
        <w:rPr>
          <w:noProof/>
          <w:webHidden/>
        </w:rPr>
        <w:instrText xml:space="preserve"> PAGEREF _Toc209783096 \h </w:instrText>
      </w:r>
      <w:r>
        <w:rPr>
          <w:noProof/>
          <w:webHidden/>
        </w:rPr>
        <w:fldChar w:fldCharType="separate"/>
      </w:r>
      <w:r>
        <w:rPr>
          <w:noProof/>
          <w:webHidden/>
        </w:rPr>
        <w:t>8</w:t>
      </w:r>
      <w:r>
        <w:rPr>
          <w:noProof/>
          <w:webHidden/>
        </w:rPr>
        <w:fldChar w:fldCharType="end"/>
      </w:r>
      <w:r>
        <w:rPr/>
        <w:fldChar w:fldCharType="end"/>
      </w:r>
    </w:p>
    <w:p>
      <w:pPr>
        <w:pStyle w:val="style0"/>
        <w:ind w:left="720"/>
        <w:rPr/>
      </w:pPr>
      <w:r>
        <w:rPr>
          <w:b/>
          <w:bCs/>
          <w:noProof/>
        </w:rPr>
        <w:fldChar w:fldCharType="end"/>
      </w:r>
    </w:p>
    <w:p>
      <w:pPr>
        <w:pStyle w:val="style0"/>
        <w:spacing w:lineRule="auto" w:line="278"/>
        <w:jc w:val="left"/>
        <w:rPr>
          <w:rFonts w:cs="宋体" w:eastAsia="宋体"/>
          <w:b/>
          <w:color w:val="000000"/>
          <w:szCs w:val="40"/>
        </w:rPr>
      </w:pPr>
      <w:r>
        <w:br w:type="page"/>
      </w:r>
    </w:p>
    <w:bookmarkStart w:id="0" w:name="_Toc209783089"/>
    <w:p>
      <w:pPr>
        <w:pStyle w:val="style1"/>
        <w:rPr/>
      </w:pPr>
      <w:r>
        <w:t>Slide 1 – Introduction</w:t>
      </w:r>
      <w:bookmarkEnd w:id="0"/>
    </w:p>
    <w:p>
      <w:pPr>
        <w:pStyle w:val="style0"/>
        <w:numPr>
          <w:ilvl w:val="0"/>
          <w:numId w:val="1"/>
        </w:numPr>
        <w:rPr/>
      </w:pPr>
      <w:r>
        <w:t xml:space="preserve">This presentation is a discussion of Marks and Spencer organisational structure and design. </w:t>
      </w:r>
    </w:p>
    <w:p>
      <w:pPr>
        <w:pStyle w:val="style0"/>
        <w:numPr>
          <w:ilvl w:val="0"/>
          <w:numId w:val="1"/>
        </w:numPr>
        <w:rPr/>
      </w:pPr>
      <w:r>
        <w:t xml:space="preserve">It also defines three broad alternatives on how organisations can devise viable structures. </w:t>
      </w:r>
    </w:p>
    <w:p>
      <w:pPr>
        <w:pStyle w:val="style0"/>
        <w:numPr>
          <w:ilvl w:val="0"/>
          <w:numId w:val="1"/>
        </w:numPr>
        <w:rPr/>
      </w:pPr>
      <w:r>
        <w:t>The area of structure in task assign and communication is discussed</w:t>
      </w:r>
      <w:r>
        <w:t>.</w:t>
      </w:r>
    </w:p>
    <w:p>
      <w:pPr>
        <w:pStyle w:val="style0"/>
        <w:rPr>
          <w:i/>
          <w:iCs/>
        </w:rPr>
      </w:pPr>
      <w:r>
        <w:rPr>
          <w:b/>
          <w:bCs/>
          <w:i/>
          <w:iCs/>
        </w:rPr>
        <w:t>Speaker Notes:</w:t>
      </w:r>
    </w:p>
    <w:p>
      <w:pPr>
        <w:pStyle w:val="style0"/>
        <w:rPr/>
      </w:pPr>
      <w:r>
        <w:t>During this session, I will explain how Marks and Spencer has structured itself to make it achieve efficiency in its operations and efficient communication. There are three organisational design strategies namely the functional, divisional and the matrix structure which I will describe. The two approaches will involve a graphical representation to depict the reporting lines, the departmental roles and hierarchy within the company. I will also elaborate how the selection of the most suitable structure is shaping the employee jobs, responsibility, teamwork and decision making process</w:t>
      </w:r>
      <w:r>
        <w:t>. The knowledge of these designs assists companies such as M&amp;S to be responsive to the needs of the market, greater coordination among teams and better performance in general</w:t>
      </w:r>
      <w:r>
        <w:t xml:space="preserve">. </w:t>
      </w:r>
    </w:p>
    <w:bookmarkStart w:id="1" w:name="_Toc209783090"/>
    <w:p>
      <w:pPr>
        <w:pStyle w:val="style1"/>
        <w:rPr/>
      </w:pPr>
      <w:r>
        <w:t>Slide 2 – Presentation Outline</w:t>
      </w:r>
      <w:bookmarkEnd w:id="1"/>
    </w:p>
    <w:p>
      <w:pPr>
        <w:pStyle w:val="style0"/>
        <w:numPr>
          <w:ilvl w:val="0"/>
          <w:numId w:val="2"/>
        </w:numPr>
        <w:rPr/>
      </w:pPr>
      <w:r>
        <w:t>First, we define organisational structure and charts and their importance.</w:t>
      </w:r>
    </w:p>
    <w:p>
      <w:pPr>
        <w:pStyle w:val="style0"/>
        <w:numPr>
          <w:ilvl w:val="0"/>
          <w:numId w:val="2"/>
        </w:numPr>
        <w:rPr/>
      </w:pPr>
      <w:r>
        <w:t>Second, we explore three design methods with charts for visualisation</w:t>
      </w:r>
      <w:r>
        <w:t xml:space="preserve"> (</w:t>
      </w:r>
      <w:r>
        <w:t>Eriksson, T., Robertson</w:t>
      </w:r>
      <w:r>
        <w:t xml:space="preserve"> </w:t>
      </w:r>
      <w:r>
        <w:t>and Näppä</w:t>
      </w:r>
      <w:r>
        <w:t xml:space="preserve">, </w:t>
      </w:r>
      <w:r>
        <w:t>2025</w:t>
      </w:r>
      <w:r>
        <w:t>)</w:t>
      </w:r>
      <w:r>
        <w:t>.</w:t>
      </w:r>
    </w:p>
    <w:p>
      <w:pPr>
        <w:pStyle w:val="style0"/>
        <w:numPr>
          <w:ilvl w:val="0"/>
          <w:numId w:val="2"/>
        </w:numPr>
        <w:rPr/>
      </w:pPr>
      <w:r>
        <w:t>Lastly, we end with the uses and advantages of such designs</w:t>
      </w:r>
      <w:r>
        <w:t>.</w:t>
      </w:r>
    </w:p>
    <w:p>
      <w:pPr>
        <w:pStyle w:val="style0"/>
        <w:rPr>
          <w:b/>
          <w:bCs/>
          <w:i/>
          <w:iCs/>
        </w:rPr>
      </w:pPr>
      <w:r>
        <w:rPr>
          <w:b/>
          <w:bCs/>
          <w:i/>
          <w:iCs/>
        </w:rPr>
        <w:t>Speaker Notes:</w:t>
      </w:r>
    </w:p>
    <w:p>
      <w:pPr>
        <w:pStyle w:val="style0"/>
        <w:rPr/>
      </w:pPr>
      <w:r>
        <w:t>This presentation starts with a clear definition of what organisational structure is and its importance to such businesses as Marks and Spencer. The organisational structure is a method by which functions, roles, and reporting arrangements are set up, and this factors affect communication, efficiency and performance at large. Three structural organisational designs will then be discussed, which include functional, divisional, and matrix structure. Each of these methods will be presented with examples and the diagrams in order to get a clear picture on the working of the designs in the field. Lastly the presentation will end by making a conclusion about the main benefits of such structures and how they would apply to the operations and strategy of M&amp;S</w:t>
      </w:r>
      <w:r>
        <w:t>.</w:t>
      </w:r>
    </w:p>
    <w:bookmarkStart w:id="2" w:name="_Toc209783091"/>
    <w:p>
      <w:pPr>
        <w:pStyle w:val="style1"/>
        <w:rPr/>
      </w:pPr>
      <w:r>
        <w:t>Slide 3 – Concept and Importance of Organisational Structure</w:t>
      </w:r>
      <w:bookmarkEnd w:id="2"/>
    </w:p>
    <w:p>
      <w:pPr>
        <w:pStyle w:val="style0"/>
        <w:jc w:val="center"/>
        <w:rPr/>
      </w:pPr>
      <w:r>
        <w:rPr>
          <w:noProof/>
        </w:rPr>
        <w:drawing>
          <wp:inline distL="0" distT="0" distB="0" distR="0">
            <wp:extent cx="5943600" cy="3343275"/>
            <wp:effectExtent l="0" t="0" r="0" b="9525"/>
            <wp:docPr id="1026" name="Picture 2" descr="Organizational Structure-its importance and types – Tutor's Tip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 cstate="print"/>
                    <a:srcRect l="0" t="0" r="0" b="0"/>
                    <a:stretch/>
                  </pic:blipFill>
                  <pic:spPr>
                    <a:xfrm rot="0">
                      <a:off x="0" y="0"/>
                      <a:ext cx="5943600" cy="3343275"/>
                    </a:xfrm>
                    <a:prstGeom prst="rect"/>
                    <a:ln>
                      <a:noFill/>
                    </a:ln>
                  </pic:spPr>
                </pic:pic>
              </a:graphicData>
            </a:graphic>
          </wp:inline>
        </w:drawing>
      </w:r>
    </w:p>
    <w:p>
      <w:pPr>
        <w:pStyle w:val="style0"/>
        <w:numPr>
          <w:ilvl w:val="0"/>
          <w:numId w:val="3"/>
        </w:numPr>
        <w:rPr/>
      </w:pPr>
      <w:r>
        <w:t>Organisational structure is defined as the role and responsibility structure.</w:t>
      </w:r>
    </w:p>
    <w:p>
      <w:pPr>
        <w:pStyle w:val="style0"/>
        <w:numPr>
          <w:ilvl w:val="0"/>
          <w:numId w:val="3"/>
        </w:numPr>
        <w:rPr/>
      </w:pPr>
      <w:r>
        <w:t>Organisation charts are graphic descriptions of hierarchy and employee relationships (Araujo et al., 2025).</w:t>
      </w:r>
    </w:p>
    <w:p>
      <w:pPr>
        <w:pStyle w:val="style0"/>
        <w:numPr>
          <w:ilvl w:val="0"/>
          <w:numId w:val="3"/>
        </w:numPr>
        <w:rPr/>
      </w:pPr>
      <w:r>
        <w:t>Well defined structure enhances efficiency, coordination and communication and decision-making</w:t>
      </w:r>
      <w:r>
        <w:t>.</w:t>
      </w:r>
    </w:p>
    <w:p>
      <w:pPr>
        <w:pStyle w:val="style0"/>
        <w:rPr>
          <w:i/>
          <w:iCs/>
        </w:rPr>
      </w:pPr>
      <w:r>
        <w:rPr>
          <w:b/>
          <w:bCs/>
          <w:i/>
          <w:iCs/>
        </w:rPr>
        <w:t>Speaker Notes:</w:t>
      </w:r>
    </w:p>
    <w:p>
      <w:pPr>
        <w:pStyle w:val="style0"/>
        <w:rPr>
          <w:lang w:val="en-US"/>
        </w:rPr>
      </w:pPr>
      <w:r>
        <w:rPr>
          <w:lang w:val="en-US"/>
        </w:rPr>
        <w:t>Organisational structure is a key part in defining the role, the work, and the chain of command among the employees in Marks and Spencer. It minimizes redundancy and misunderstanding of roles since each person is well aware of who is supposed to do certain work. Organisational charts are visual aids that facilitate easy interpretation of subordination and team formations and the exchanges among employees and managers. The efficient organization of work helps to organize the workflow, facilitate the effective interaction of departments and to take the decisions quickly and properly. It also helps in coordination in various functions, improves accountability</w:t>
      </w:r>
      <w:r>
        <w:rPr>
          <w:lang w:val="en-US"/>
        </w:rPr>
        <w:t>.</w:t>
      </w:r>
    </w:p>
    <w:p>
      <w:pPr>
        <w:pStyle w:val="style0"/>
        <w:rPr/>
      </w:pPr>
    </w:p>
    <w:bookmarkStart w:id="3" w:name="_Toc209783092"/>
    <w:p>
      <w:pPr>
        <w:pStyle w:val="style1"/>
        <w:rPr/>
      </w:pPr>
      <w:r>
        <w:t>Slide 4 – Functional Structure</w:t>
      </w:r>
      <w:bookmarkEnd w:id="3"/>
    </w:p>
    <w:p>
      <w:pPr>
        <w:pStyle w:val="style0"/>
        <w:jc w:val="center"/>
        <w:rPr/>
      </w:pPr>
      <w:r>
        <w:rPr>
          <w:noProof/>
        </w:rPr>
        <w:drawing>
          <wp:inline distL="0" distT="0" distB="0" distR="0">
            <wp:extent cx="5943600" cy="3343275"/>
            <wp:effectExtent l="0" t="0" r="0" b="9525"/>
            <wp:docPr id="1027" name="Picture 3" descr="Functional Organizational Structure PPT and Google Slide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1" name="Picture 3"/>
                    <pic:cNvPicPr/>
                  </pic:nvPicPr>
                  <pic:blipFill>
                    <a:blip r:embed="rId3" cstate="print"/>
                    <a:srcRect l="0" t="0" r="0" b="0"/>
                    <a:stretch/>
                  </pic:blipFill>
                  <pic:spPr>
                    <a:xfrm rot="0">
                      <a:off x="0" y="0"/>
                      <a:ext cx="5943600" cy="3343275"/>
                    </a:xfrm>
                    <a:prstGeom prst="rect"/>
                    <a:ln>
                      <a:noFill/>
                    </a:ln>
                  </pic:spPr>
                </pic:pic>
              </a:graphicData>
            </a:graphic>
          </wp:inline>
        </w:drawing>
      </w:r>
    </w:p>
    <w:p>
      <w:pPr>
        <w:pStyle w:val="style0"/>
        <w:numPr>
          <w:ilvl w:val="0"/>
          <w:numId w:val="4"/>
        </w:numPr>
        <w:rPr/>
      </w:pPr>
      <w:r>
        <w:t>Functional structure groups employees based on specialised roles or job functions.</w:t>
      </w:r>
    </w:p>
    <w:p>
      <w:pPr>
        <w:pStyle w:val="style0"/>
        <w:numPr>
          <w:ilvl w:val="0"/>
          <w:numId w:val="4"/>
        </w:numPr>
        <w:rPr/>
      </w:pPr>
      <w:r>
        <w:t>Departments such as sales, marketing, and finance operate independently but collaborate.</w:t>
      </w:r>
    </w:p>
    <w:p>
      <w:pPr>
        <w:pStyle w:val="style0"/>
        <w:numPr>
          <w:ilvl w:val="0"/>
          <w:numId w:val="4"/>
        </w:numPr>
        <w:rPr/>
      </w:pPr>
      <w:r>
        <w:t>This structure enhances efficiency and expertise within specific functional areas</w:t>
      </w:r>
      <w:r>
        <w:t xml:space="preserve"> (</w:t>
      </w:r>
      <w:r>
        <w:t>Schmuntzsch</w:t>
      </w:r>
      <w:r>
        <w:t xml:space="preserve"> </w:t>
      </w:r>
      <w:r>
        <w:t>and Hartmann, 2025</w:t>
      </w:r>
      <w:r>
        <w:t>)</w:t>
      </w:r>
      <w:r>
        <w:t>.</w:t>
      </w:r>
    </w:p>
    <w:p>
      <w:pPr>
        <w:pStyle w:val="style0"/>
        <w:rPr>
          <w:i/>
          <w:iCs/>
        </w:rPr>
      </w:pPr>
      <w:r>
        <w:rPr>
          <w:b/>
          <w:bCs/>
          <w:i/>
          <w:iCs/>
        </w:rPr>
        <w:t>Speaker Notes:</w:t>
      </w:r>
    </w:p>
    <w:p>
      <w:pPr>
        <w:pStyle w:val="style0"/>
        <w:rPr>
          <w:lang w:val="en-US"/>
        </w:rPr>
      </w:pPr>
      <w:r>
        <w:rPr>
          <w:lang w:val="en-US"/>
        </w:rPr>
        <w:t>Marks and Spencer can use functional structure where employees are separated based on their respective work regions, including marketing, operations, finance, human resource, and customer services. Such a structure enables employees to get specialised skills in their departments and this adds knowledge and efficiency</w:t>
      </w:r>
      <w:r>
        <w:rPr>
          <w:lang w:val="en-US"/>
        </w:rPr>
        <w:t>. Clear reporting lines enhance accountability, as employees know their responsibilities and managers can monitor performance effectively. Additionally, grouping roles functionally supports streamlined task management and operational focus. While each department focuses on its objectives, interdepartmental communication remains essential, ensuring collaboration across teams and contributing to overall organisational efficiency, productivity, and successful achievement of M&amp;S goals.</w:t>
      </w:r>
    </w:p>
    <w:p>
      <w:pPr>
        <w:pStyle w:val="style0"/>
        <w:rPr/>
      </w:pPr>
    </w:p>
    <w:bookmarkStart w:id="4" w:name="_Toc209783093"/>
    <w:p>
      <w:pPr>
        <w:pStyle w:val="style1"/>
        <w:rPr/>
      </w:pPr>
      <w:r>
        <w:t>Slide 5 – Divisional Structure</w:t>
      </w:r>
      <w:bookmarkEnd w:id="4"/>
    </w:p>
    <w:p>
      <w:pPr>
        <w:pStyle w:val="style0"/>
        <w:jc w:val="center"/>
        <w:rPr>
          <w:noProof/>
        </w:rPr>
      </w:pPr>
    </w:p>
    <w:p>
      <w:pPr>
        <w:pStyle w:val="style0"/>
        <w:jc w:val="center"/>
        <w:rPr/>
      </w:pPr>
      <w:r>
        <w:rPr>
          <w:noProof/>
        </w:rPr>
        <w:drawing>
          <wp:inline distL="0" distT="0" distB="0" distR="0">
            <wp:extent cx="5943600" cy="3924299"/>
            <wp:effectExtent l="0" t="0" r="0" b="0"/>
            <wp:docPr id="1028" name="Picture 6" descr="Divisional Organizational structure - FourWeekMBA"/>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2" name="Picture 6"/>
                    <pic:cNvPicPr/>
                  </pic:nvPicPr>
                  <pic:blipFill>
                    <a:blip r:embed="rId4" cstate="print"/>
                    <a:srcRect l="0" t="0" r="0" b="12427"/>
                    <a:stretch/>
                  </pic:blipFill>
                  <pic:spPr>
                    <a:xfrm rot="0">
                      <a:off x="0" y="0"/>
                      <a:ext cx="5943600" cy="3924299"/>
                    </a:xfrm>
                    <a:prstGeom prst="rect"/>
                    <a:ln>
                      <a:noFill/>
                    </a:ln>
                  </pic:spPr>
                </pic:pic>
              </a:graphicData>
            </a:graphic>
          </wp:inline>
        </w:drawing>
      </w:r>
    </w:p>
    <w:p>
      <w:pPr>
        <w:pStyle w:val="style0"/>
        <w:numPr>
          <w:ilvl w:val="0"/>
          <w:numId w:val="5"/>
        </w:numPr>
        <w:rPr/>
      </w:pPr>
      <w:r>
        <w:t>Divisional structure organises teams around products, services, or geographical areas</w:t>
      </w:r>
      <w:r>
        <w:t xml:space="preserve"> (</w:t>
      </w:r>
      <w:r>
        <w:t>Reineke, Katila</w:t>
      </w:r>
      <w:r>
        <w:t xml:space="preserve"> </w:t>
      </w:r>
      <w:r>
        <w:t>and Eisenhardt, 2025</w:t>
      </w:r>
      <w:r>
        <w:t>)</w:t>
      </w:r>
      <w:r>
        <w:t>.</w:t>
      </w:r>
    </w:p>
    <w:p>
      <w:pPr>
        <w:pStyle w:val="style0"/>
        <w:numPr>
          <w:ilvl w:val="0"/>
          <w:numId w:val="5"/>
        </w:numPr>
        <w:rPr/>
      </w:pPr>
      <w:r>
        <w:t>Each division operates semi-independently with its own management and resources.</w:t>
      </w:r>
    </w:p>
    <w:p>
      <w:pPr>
        <w:pStyle w:val="style0"/>
        <w:numPr>
          <w:ilvl w:val="0"/>
          <w:numId w:val="5"/>
        </w:numPr>
        <w:rPr/>
      </w:pPr>
      <w:r>
        <w:t>This approach increases responsiveness and accountability for specific market segments.</w:t>
      </w:r>
    </w:p>
    <w:p>
      <w:pPr>
        <w:pStyle w:val="style0"/>
        <w:rPr>
          <w:i/>
          <w:iCs/>
        </w:rPr>
      </w:pPr>
      <w:r>
        <w:rPr>
          <w:b/>
          <w:bCs/>
          <w:i/>
          <w:iCs/>
        </w:rPr>
        <w:t>Speaker Notes:</w:t>
      </w:r>
    </w:p>
    <w:p>
      <w:pPr>
        <w:pStyle w:val="style0"/>
        <w:rPr/>
      </w:pPr>
      <w:r>
        <w:t xml:space="preserve">Marks &amp; Spencer can adopt a divisional structure, organising its operations around specific product lines, such as food, clothing, and home goods, or around geographical regions across the UK and internationally. Each division operates semi-independently, with its own management team, resources, and performance targets. This approach allows divisions to focus on their unique goals, understand and respond to customer needs more effectively, and adapt quickly to market changes. It also promotes accountability within each division, as performance is measured separately. By </w:t>
      </w:r>
      <w:r>
        <w:t>using a divisional structure, M&amp;S can enhance flexibility, improve decision-making, and increase overall responsiveness to dynamic retail market demands.</w:t>
      </w:r>
    </w:p>
    <w:bookmarkStart w:id="5" w:name="_Toc209783094"/>
    <w:p>
      <w:pPr>
        <w:pStyle w:val="style1"/>
        <w:rPr/>
      </w:pPr>
      <w:r>
        <w:t>Slide 6 – Matrix Structure</w:t>
      </w:r>
      <w:bookmarkEnd w:id="5"/>
    </w:p>
    <w:p>
      <w:pPr>
        <w:pStyle w:val="style0"/>
        <w:jc w:val="center"/>
        <w:rPr/>
      </w:pPr>
      <w:r>
        <w:rPr>
          <w:noProof/>
        </w:rPr>
        <w:drawing>
          <wp:inline distL="0" distT="0" distB="0" distR="0">
            <wp:extent cx="5943600" cy="3296920"/>
            <wp:effectExtent l="0" t="0" r="0" b="0"/>
            <wp:docPr id="1029" name="Picture 8" descr="Matrix Organizational Structure: Definition, Best Practices &amp; Examples"/>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3" name="Picture 8"/>
                    <pic:cNvPicPr/>
                  </pic:nvPicPr>
                  <pic:blipFill>
                    <a:blip r:embed="rId5" cstate="print"/>
                    <a:srcRect l="0" t="0" r="0" b="0"/>
                    <a:stretch/>
                  </pic:blipFill>
                  <pic:spPr>
                    <a:xfrm rot="0">
                      <a:off x="0" y="0"/>
                      <a:ext cx="5943600" cy="3296920"/>
                    </a:xfrm>
                    <a:prstGeom prst="rect"/>
                    <a:ln>
                      <a:noFill/>
                    </a:ln>
                  </pic:spPr>
                </pic:pic>
              </a:graphicData>
            </a:graphic>
          </wp:inline>
        </w:drawing>
      </w:r>
    </w:p>
    <w:p>
      <w:pPr>
        <w:pStyle w:val="style0"/>
        <w:rPr/>
      </w:pPr>
    </w:p>
    <w:p>
      <w:pPr>
        <w:pStyle w:val="style0"/>
        <w:numPr>
          <w:ilvl w:val="0"/>
          <w:numId w:val="6"/>
        </w:numPr>
        <w:rPr/>
      </w:pPr>
      <w:r>
        <w:t>Matrix structure is used to collaborate by combining both functional structure and divisional structure.</w:t>
      </w:r>
    </w:p>
    <w:p>
      <w:pPr>
        <w:pStyle w:val="style0"/>
        <w:numPr>
          <w:ilvl w:val="0"/>
          <w:numId w:val="6"/>
        </w:numPr>
        <w:rPr/>
      </w:pPr>
      <w:r>
        <w:t>The employees are also reporting to the functional managers as well as the project or product managers (Marksandspencer, 2025).</w:t>
      </w:r>
    </w:p>
    <w:p>
      <w:pPr>
        <w:pStyle w:val="style0"/>
        <w:numPr>
          <w:ilvl w:val="0"/>
          <w:numId w:val="6"/>
        </w:numPr>
        <w:rPr/>
      </w:pPr>
      <w:r>
        <w:t>This design is more flexible, knowledge sharing and project based decision making</w:t>
      </w:r>
      <w:r>
        <w:t>.</w:t>
      </w:r>
    </w:p>
    <w:p>
      <w:pPr>
        <w:pStyle w:val="style0"/>
        <w:rPr>
          <w:b/>
          <w:bCs/>
          <w:i/>
          <w:iCs/>
        </w:rPr>
      </w:pPr>
      <w:r>
        <w:rPr>
          <w:b/>
          <w:bCs/>
          <w:i/>
          <w:iCs/>
        </w:rPr>
        <w:t>Speaker Notes:</w:t>
      </w:r>
    </w:p>
    <w:p>
      <w:pPr>
        <w:pStyle w:val="style0"/>
        <w:rPr>
          <w:lang w:val="en-US"/>
        </w:rPr>
      </w:pPr>
      <w:r>
        <w:rPr>
          <w:lang w:val="en-US"/>
        </w:rPr>
        <w:t xml:space="preserve">Within a matrix structure, Marks and Spencer employees report both to their functional departmental heads, including marketing, operations, or finance and to project or product managers of certain initiatives. This dual reporting system will provide a great deal of specialised expertise in every department as it is well used and at the same time have a high level of focus on the project goals and outcomes. </w:t>
      </w:r>
      <w:r>
        <w:t xml:space="preserve">It promotes collaboration among the teams and knowledge sharing. In </w:t>
      </w:r>
      <w:r>
        <w:t>addition, this form of organisation makes M&amp;S responsive to the needs of the market, handle multifactorial projects, and reconcile departmental needs and strategic organisational needs</w:t>
      </w:r>
      <w:r>
        <w:rPr>
          <w:lang w:val="en-US"/>
        </w:rPr>
        <w:t>.</w:t>
      </w:r>
    </w:p>
    <w:p>
      <w:pPr>
        <w:pStyle w:val="style0"/>
        <w:rPr/>
      </w:pPr>
    </w:p>
    <w:bookmarkStart w:id="6" w:name="_Toc209783095"/>
    <w:p>
      <w:pPr>
        <w:pStyle w:val="style1"/>
        <w:rPr/>
      </w:pPr>
      <w:r>
        <w:t>Slide 7 – Conclusion</w:t>
      </w:r>
      <w:bookmarkEnd w:id="6"/>
    </w:p>
    <w:p>
      <w:pPr>
        <w:pStyle w:val="style0"/>
        <w:numPr>
          <w:ilvl w:val="0"/>
          <w:numId w:val="7"/>
        </w:numPr>
        <w:rPr/>
      </w:pPr>
      <w:r>
        <w:t>The organisational structure impacts greatly on the efficiency of tasks, communication as well as performance</w:t>
      </w:r>
      <w:r>
        <w:t>.</w:t>
      </w:r>
    </w:p>
    <w:p>
      <w:pPr>
        <w:pStyle w:val="style0"/>
        <w:numPr>
          <w:ilvl w:val="0"/>
          <w:numId w:val="7"/>
        </w:numPr>
        <w:rPr/>
      </w:pPr>
      <w:r>
        <w:t>Functional, divisional, and matrix designs offer distinct advantages and applications.</w:t>
      </w:r>
    </w:p>
    <w:p>
      <w:pPr>
        <w:pStyle w:val="style0"/>
        <w:numPr>
          <w:ilvl w:val="0"/>
          <w:numId w:val="7"/>
        </w:numPr>
        <w:rPr/>
      </w:pPr>
      <w:r>
        <w:t>M&amp;S benefits by selecting a structure suited to operations and strategic goals.</w:t>
      </w:r>
    </w:p>
    <w:p>
      <w:pPr>
        <w:pStyle w:val="style0"/>
        <w:rPr>
          <w:b/>
          <w:bCs/>
          <w:i/>
          <w:iCs/>
        </w:rPr>
      </w:pPr>
      <w:r>
        <w:rPr>
          <w:b/>
          <w:bCs/>
          <w:i/>
          <w:iCs/>
        </w:rPr>
        <w:t>Speaker Notes:</w:t>
      </w:r>
    </w:p>
    <w:p>
      <w:pPr>
        <w:pStyle w:val="style0"/>
        <w:rPr/>
      </w:pPr>
      <w:r>
        <w:t>A good organisational structure is highly significant in promoting the levels of clarity, efficiency, and accountability at every level in Marks and Spencer. Employees are made aware of what they do, and their role in the greater organisational goals via a well-developed roles, responsibilities and reporting lines</w:t>
      </w:r>
      <w:r>
        <w:t xml:space="preserve">. M&amp;S can exploit functional structure, divisional structure, or matrix structure strategically based on certain </w:t>
      </w:r>
      <w:r>
        <w:t>operation’s</w:t>
      </w:r>
      <w:r>
        <w:t xml:space="preserve"> needs, project needs, and market dynamics. Both the design strategies facilitate effective communication, coordination, and collaboration, and makes the employees responsible towards their performance</w:t>
      </w:r>
      <w:r>
        <w:t xml:space="preserve">. </w:t>
      </w:r>
    </w:p>
    <w:p>
      <w:pPr>
        <w:pStyle w:val="style0"/>
        <w:spacing w:lineRule="auto" w:line="278"/>
        <w:jc w:val="left"/>
        <w:rPr/>
      </w:pPr>
      <w:r>
        <w:br w:type="page"/>
      </w:r>
    </w:p>
    <w:bookmarkStart w:id="7" w:name="_Toc209783096"/>
    <w:p>
      <w:pPr>
        <w:pStyle w:val="style1"/>
        <w:rPr/>
      </w:pPr>
      <w:r>
        <w:t>Reference</w:t>
      </w:r>
      <w:r>
        <w:t xml:space="preserve"> list</w:t>
      </w:r>
      <w:bookmarkEnd w:id="7"/>
      <w:r>
        <w:t xml:space="preserve"> </w:t>
      </w:r>
    </w:p>
    <w:p>
      <w:pPr>
        <w:pStyle w:val="style0"/>
        <w:rPr/>
      </w:pPr>
      <w:r>
        <w:t>Araújo, R., Páscoa, R.N., Bernardino, R. and Gomes, P.S., 2025. Impact of High Glucose on Bone Collagenous Matrix Composition, Structure, and Organization: An Integrative Analysis Using an Ex Vivo Model. </w:t>
      </w:r>
      <w:r>
        <w:rPr>
          <w:i/>
          <w:iCs/>
        </w:rPr>
        <w:t>Cells</w:t>
      </w:r>
      <w:r>
        <w:t>, </w:t>
      </w:r>
      <w:r>
        <w:rPr>
          <w:i/>
          <w:iCs/>
        </w:rPr>
        <w:t>14</w:t>
      </w:r>
      <w:r>
        <w:t>(2), p.130.</w:t>
      </w:r>
    </w:p>
    <w:p>
      <w:pPr>
        <w:pStyle w:val="style0"/>
        <w:rPr/>
      </w:pPr>
      <w:r>
        <w:t>Eriksson, T., Robertson, J. and Näppä, A., 2025. Functional top management teams and marketing organization: exploring strategic decision-making. </w:t>
      </w:r>
      <w:r>
        <w:rPr>
          <w:i/>
          <w:iCs/>
        </w:rPr>
        <w:t>Journal of Strategic Marketing</w:t>
      </w:r>
      <w:r>
        <w:t>, </w:t>
      </w:r>
      <w:r>
        <w:rPr>
          <w:i/>
          <w:iCs/>
        </w:rPr>
        <w:t>33</w:t>
      </w:r>
      <w:r>
        <w:t>(1), pp.1-18.</w:t>
      </w:r>
    </w:p>
    <w:p>
      <w:pPr>
        <w:pStyle w:val="style0"/>
        <w:rPr/>
      </w:pPr>
      <w:r>
        <w:t xml:space="preserve">Marksandspencer, 2025. </w:t>
      </w:r>
      <w:r>
        <w:rPr>
          <w:i/>
          <w:iCs/>
        </w:rPr>
        <w:t>About us.</w:t>
      </w:r>
      <w:r>
        <w:t xml:space="preserve"> Available at: </w:t>
      </w:r>
      <w:r>
        <w:t>https://www.marksandspencer.com/</w:t>
      </w:r>
      <w:r>
        <w:t xml:space="preserve"> [Accessed on: 26.9.2025</w:t>
      </w:r>
    </w:p>
    <w:p>
      <w:pPr>
        <w:pStyle w:val="style0"/>
        <w:rPr/>
      </w:pPr>
      <w:r>
        <w:t>Reineke, P., Katila, R. and Eisenhardt, K.M., 2025. Decentralization in organizations: A revolution or a mirage?. </w:t>
      </w:r>
      <w:r>
        <w:rPr>
          <w:i/>
          <w:iCs/>
        </w:rPr>
        <w:t>Academy of Management Annals</w:t>
      </w:r>
      <w:r>
        <w:t>, </w:t>
      </w:r>
      <w:r>
        <w:rPr>
          <w:i/>
          <w:iCs/>
        </w:rPr>
        <w:t>19</w:t>
      </w:r>
      <w:r>
        <w:t>(1), pp.298-342.</w:t>
      </w:r>
    </w:p>
    <w:p>
      <w:pPr>
        <w:pStyle w:val="style0"/>
        <w:rPr/>
      </w:pPr>
      <w:r>
        <w:t>Schmuntzsch, U. and Hartmann, E.A., 2025. Analyzing and Designing Sociodigital Sovereignty on Individual and Organizational Levels—A Case Study. In </w:t>
      </w:r>
      <w:r>
        <w:rPr>
          <w:i/>
          <w:iCs/>
        </w:rPr>
        <w:t>New Digital Work II: Digital Sovereignty of Companies and Organizations</w:t>
      </w:r>
      <w:r>
        <w:t> (pp. 125-144). Cham: Springer Nature Switzerland.</w:t>
      </w:r>
    </w:p>
    <w:p>
      <w:pPr>
        <w:pStyle w:val="style0"/>
        <w:rPr/>
      </w:pPr>
    </w:p>
    <w:p>
      <w:pPr>
        <w:pStyle w:val="style0"/>
        <w:rPr/>
      </w:pPr>
    </w:p>
    <w:sectPr>
      <w:headerReference w:type="default" r:id="rId6"/>
      <w:pgSz w:w="12240" w:h="15840" w:orient="portrait"/>
      <w:pgMar w:top="1440" w:right="1440" w:bottom="1440" w:left="1440" w:header="720" w:footer="720" w:gutter="0"/>
      <w:pgBorders w:zOrder="front" w:display="allPage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Courier New">
    <w:altName w:val="Courier New"/>
    <w:panose1 w:val="02070309020002020404"/>
    <w:charset w:val="00"/>
    <w:family w:val="modern"/>
    <w:pitch w:val="fixed"/>
    <w:sig w:usb0="E0002EFF" w:usb1="C0007843" w:usb2="00000009" w:usb3="00000000" w:csb0="000001FF" w:csb1="00000000"/>
  </w:font>
  <w:font w:name="Wingdings">
    <w:altName w:val="Wingdings"/>
    <w:panose1 w:val="05000000000000000000"/>
    <w:charset w:val="02"/>
    <w:family w:val="auto"/>
    <w:pitch w:val="variable"/>
    <w:sig w:usb0="00000000" w:usb1="10000000" w:usb2="00000000" w:usb3="00000000" w:csb0="80000000" w:csb1="00000000"/>
  </w:font>
  <w:font w:name="Calibri">
    <w:altName w:val="Calibri"/>
    <w:panose1 w:val="020f0502020002030204"/>
    <w:charset w:val="00"/>
    <w:family w:val="swiss"/>
    <w:pitch w:val="variable"/>
    <w:sig w:usb0="E4002EFF" w:usb1="C200247B" w:usb2="00000009" w:usb3="00000000" w:csb0="000001FF" w:csb1="00000000"/>
  </w:font>
  <w:font w:name="Calibri Light">
    <w:altName w:val="Calibri Light"/>
    <w:panose1 w:val="020f0302020002030204"/>
    <w:charset w:val="00"/>
    <w:family w:val="swiss"/>
    <w:pitch w:val="variable"/>
    <w:sig w:usb0="E4002EFF" w:usb1="C200247B" w:usb2="00000009" w:usb3="00000000" w:csb0="000001FF" w:csb1="00000000"/>
  </w:font>
  <w:font w:name="Arial">
    <w:altName w:val="Arial"/>
    <w:panose1 w:val="020b0604020002020204"/>
    <w:charset w:val="00"/>
    <w:family w:val="swiss"/>
    <w:pitch w:val="variable"/>
    <w:sig w:usb0="E0002EFF" w:usb1="C000785B" w:usb2="00000009" w:usb3="00000000" w:csb0="000001FF" w:csb1="00000000"/>
  </w:font>
</w:fonts>
</file>

<file path=word/header1.xml><?xml version="1.0" encoding="utf-8"?>
<w:hd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1"/>
      <w:rPr/>
    </w:pPr>
    <w:r>
      <w:rPr>
        <w:rFonts w:ascii="Arial" w:cs="Arial" w:hAnsi="Arial"/>
        <w:noProof/>
      </w:rPr>
      <w:drawing>
        <wp:anchor distT="0" distB="0" distL="114300" distR="114300" simplePos="false" relativeHeight="2" behindDoc="false" locked="false" layoutInCell="true" allowOverlap="true">
          <wp:simplePos x="0" y="0"/>
          <wp:positionH relativeFrom="margin">
            <wp:align>left</wp:align>
          </wp:positionH>
          <wp:positionV relativeFrom="paragraph">
            <wp:posOffset>-266700</wp:posOffset>
          </wp:positionV>
          <wp:extent cx="1809750" cy="723900"/>
          <wp:effectExtent l="0" t="0" r="0" b="0"/>
          <wp:wrapSquare wrapText="bothSides"/>
          <wp:docPr id="4097" name="Picture 1" descr="Discover University of Wales Trinity Saint David"/>
          <wp:cNvGraphicFramePr>
            <a:graphicFrameLocks xmlns:a="http://schemas.openxmlformats.org/drawingml/2006/main" noChangeAspect="false" noSelect="false" noResize="false" noGrp="false"/>
          </wp:cNvGraphicFramePr>
          <a:graphic xmlns:a="http://schemas.openxmlformats.org/drawingml/2006/main">
            <a:graphicData uri="http://schemas.openxmlformats.org/drawingml/2006/picture">
              <pic:pic xmlns:pic="http://schemas.openxmlformats.org/drawingml/2006/picture">
                <pic:nvPicPr>
                  <pic:cNvPr id="4" name="Picture 1"/>
                  <pic:cNvPicPr/>
                </pic:nvPicPr>
                <pic:blipFill>
                  <a:blip r:embed="rId1" cstate="print"/>
                  <a:srcRect l="0" t="0" r="0" b="0"/>
                  <a:stretch/>
                </pic:blipFill>
                <pic:spPr>
                  <a:xfrm rot="0">
                    <a:off x="0" y="0"/>
                    <a:ext cx="1809750" cy="723900"/>
                  </a:xfrm>
                  <a:prstGeom prst="rect"/>
                  <a:ln>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832E093C"/>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1">
    <w:nsid w:val="00000001"/>
    <w:multiLevelType w:val="multilevel"/>
    <w:tmpl w:val="AD74E2C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2">
    <w:nsid w:val="00000002"/>
    <w:multiLevelType w:val="multilevel"/>
    <w:tmpl w:val="AEE075D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3">
    <w:nsid w:val="00000003"/>
    <w:multiLevelType w:val="multilevel"/>
    <w:tmpl w:val="712AF4EA"/>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4">
    <w:nsid w:val="00000004"/>
    <w:multiLevelType w:val="multilevel"/>
    <w:tmpl w:val="A776F28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5">
    <w:nsid w:val="00000005"/>
    <w:multiLevelType w:val="multilevel"/>
    <w:tmpl w:val="2A14AD30"/>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6">
    <w:nsid w:val="00000006"/>
    <w:multiLevelType w:val="multilevel"/>
    <w:tmpl w:val="CBA077B2"/>
    <w:lvl w:ilvl="0">
      <w:start w:val="1"/>
      <w:numFmt w:val="bullet"/>
      <w:lvlText w:val=""/>
      <w:lvlJc w:val="left"/>
      <w:pPr>
        <w:tabs>
          <w:tab w:val="left" w:leader="none" w:pos="720"/>
        </w:tabs>
        <w:ind w:left="720" w:hanging="360"/>
      </w:pPr>
      <w:rPr>
        <w:rFonts w:ascii="Symbol" w:hAnsi="Symbol" w:hint="default"/>
        <w:sz w:val="20"/>
      </w:rPr>
    </w:lvl>
    <w:lvl w:ilvl="1" w:tentative="1">
      <w:start w:val="1"/>
      <w:numFmt w:val="bullet"/>
      <w:lvlText w:val="o"/>
      <w:lvlJc w:val="left"/>
      <w:pPr>
        <w:tabs>
          <w:tab w:val="left" w:leader="none" w:pos="1440"/>
        </w:tabs>
        <w:ind w:left="1440" w:hanging="360"/>
      </w:pPr>
      <w:rPr>
        <w:rFonts w:ascii="Courier New" w:hAnsi="Courier New" w:hint="default"/>
        <w:sz w:val="20"/>
      </w:rPr>
    </w:lvl>
    <w:lvl w:ilvl="2" w:tentative="1">
      <w:start w:val="1"/>
      <w:numFmt w:val="bullet"/>
      <w:lvlText w:val=""/>
      <w:lvlJc w:val="left"/>
      <w:pPr>
        <w:tabs>
          <w:tab w:val="left" w:leader="none" w:pos="2160"/>
        </w:tabs>
        <w:ind w:left="2160" w:hanging="360"/>
      </w:pPr>
      <w:rPr>
        <w:rFonts w:ascii="Wingdings" w:hAnsi="Wingdings" w:hint="default"/>
        <w:sz w:val="20"/>
      </w:rPr>
    </w:lvl>
    <w:lvl w:ilvl="3" w:tentative="1">
      <w:start w:val="1"/>
      <w:numFmt w:val="bullet"/>
      <w:lvlText w:val=""/>
      <w:lvlJc w:val="left"/>
      <w:pPr>
        <w:tabs>
          <w:tab w:val="left" w:leader="none" w:pos="2880"/>
        </w:tabs>
        <w:ind w:left="2880" w:hanging="360"/>
      </w:pPr>
      <w:rPr>
        <w:rFonts w:ascii="Wingdings" w:hAnsi="Wingdings" w:hint="default"/>
        <w:sz w:val="20"/>
      </w:rPr>
    </w:lvl>
    <w:lvl w:ilvl="4" w:tentative="1">
      <w:start w:val="1"/>
      <w:numFmt w:val="bullet"/>
      <w:lvlText w:val=""/>
      <w:lvlJc w:val="left"/>
      <w:pPr>
        <w:tabs>
          <w:tab w:val="left" w:leader="none" w:pos="3600"/>
        </w:tabs>
        <w:ind w:left="3600" w:hanging="360"/>
      </w:pPr>
      <w:rPr>
        <w:rFonts w:ascii="Wingdings" w:hAnsi="Wingdings" w:hint="default"/>
        <w:sz w:val="20"/>
      </w:rPr>
    </w:lvl>
    <w:lvl w:ilvl="5" w:tentative="1">
      <w:start w:val="1"/>
      <w:numFmt w:val="bullet"/>
      <w:lvlText w:val=""/>
      <w:lvlJc w:val="left"/>
      <w:pPr>
        <w:tabs>
          <w:tab w:val="left" w:leader="none" w:pos="4320"/>
        </w:tabs>
        <w:ind w:left="4320" w:hanging="360"/>
      </w:pPr>
      <w:rPr>
        <w:rFonts w:ascii="Wingdings" w:hAnsi="Wingdings" w:hint="default"/>
        <w:sz w:val="20"/>
      </w:rPr>
    </w:lvl>
    <w:lvl w:ilvl="6" w:tentative="1">
      <w:start w:val="1"/>
      <w:numFmt w:val="bullet"/>
      <w:lvlText w:val=""/>
      <w:lvlJc w:val="left"/>
      <w:pPr>
        <w:tabs>
          <w:tab w:val="left" w:leader="none" w:pos="5040"/>
        </w:tabs>
        <w:ind w:left="5040" w:hanging="360"/>
      </w:pPr>
      <w:rPr>
        <w:rFonts w:ascii="Wingdings" w:hAnsi="Wingdings" w:hint="default"/>
        <w:sz w:val="20"/>
      </w:rPr>
    </w:lvl>
    <w:lvl w:ilvl="7" w:tentative="1">
      <w:start w:val="1"/>
      <w:numFmt w:val="bullet"/>
      <w:lvlText w:val=""/>
      <w:lvlJc w:val="left"/>
      <w:pPr>
        <w:tabs>
          <w:tab w:val="left" w:leader="none" w:pos="5760"/>
        </w:tabs>
        <w:ind w:left="5760" w:hanging="360"/>
      </w:pPr>
      <w:rPr>
        <w:rFonts w:ascii="Wingdings" w:hAnsi="Wingdings" w:hint="default"/>
        <w:sz w:val="20"/>
      </w:rPr>
    </w:lvl>
    <w:lvl w:ilvl="8" w:tentative="1">
      <w:start w:val="1"/>
      <w:numFmt w:val="bullet"/>
      <w:lvlText w:val=""/>
      <w:lvlJc w:val="left"/>
      <w:pPr>
        <w:tabs>
          <w:tab w:val="left" w:leader="none" w:pos="6480"/>
        </w:tabs>
        <w:ind w:left="6480" w:hanging="360"/>
      </w:pPr>
      <w:rPr>
        <w:rFonts w:ascii="Wingdings" w:hAnsi="Wingdings" w:hint="default"/>
        <w:sz w:val="20"/>
      </w:rPr>
    </w:lvl>
  </w:abstractNum>
  <w:abstractNum w:abstractNumId="7">
    <w:nsid w:val="00000007"/>
    <w:multiLevelType w:val="hybridMultilevel"/>
    <w:tmpl w:val="DFE88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5"/>
  </w:num>
  <w:num w:numId="3">
    <w:abstractNumId w:val="0"/>
  </w:num>
  <w:num w:numId="4">
    <w:abstractNumId w:val="3"/>
  </w:num>
  <w:num w:numId="5">
    <w:abstractNumId w:val="2"/>
  </w:num>
  <w:num w:numId="6">
    <w:abstractNumId w:val="4"/>
  </w:num>
  <w:num w:numId="7">
    <w:abstractNumId w:val="6"/>
  </w:num>
  <w:num w:numId="8">
    <w:abstractNumId w:val="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宋体" w:eastAsia="Calibri" w:hAnsi="Calibri"/>
        <w:kern w:val="2"/>
        <w:sz w:val="24"/>
        <w:szCs w:val="24"/>
        <w:lang w:val="en-US" w:bidi="ar-SA" w:eastAsia="en-US"/>
        <w14:ligatures xmlns:w14="http://schemas.microsoft.com/office/word/2010/wordml" w14:val="standardContextual"/>
      </w:rPr>
    </w:rPrDefault>
    <w:pPrDefault>
      <w:pPr>
        <w:spacing w:after="160" w:lineRule="auto" w:line="278"/>
      </w:pPr>
    </w:pPrDefault>
  </w:docDefaults>
  <w:style w:type="paragraph" w:default="1" w:styleId="style0">
    <w:name w:val="Normal"/>
    <w:next w:val="style0"/>
    <w:qFormat/>
    <w:pPr>
      <w:spacing w:lineRule="auto" w:line="360"/>
      <w:jc w:val="both"/>
    </w:pPr>
    <w:rPr>
      <w:rFonts w:ascii="Times New Roman" w:hAnsi="Times New Roman"/>
      <w:lang w:val="en-GB"/>
    </w:rPr>
  </w:style>
  <w:style w:type="paragraph" w:styleId="style1">
    <w:name w:val="heading 1"/>
    <w:basedOn w:val="style0"/>
    <w:next w:val="style0"/>
    <w:link w:val="style4098"/>
    <w:qFormat/>
    <w:uiPriority w:val="9"/>
    <w:pPr>
      <w:keepNext/>
      <w:keepLines/>
      <w:spacing w:before="360" w:after="80"/>
      <w:outlineLvl w:val="0"/>
    </w:pPr>
    <w:rPr>
      <w:rFonts w:cs="宋体" w:eastAsia="宋体"/>
      <w:b/>
      <w:color w:val="000000"/>
      <w:szCs w:val="40"/>
    </w:rPr>
  </w:style>
  <w:style w:type="paragraph" w:styleId="style2">
    <w:name w:val="heading 2"/>
    <w:basedOn w:val="style0"/>
    <w:next w:val="style0"/>
    <w:link w:val="style4097"/>
    <w:qFormat/>
    <w:uiPriority w:val="9"/>
    <w:pPr>
      <w:keepNext/>
      <w:keepLines/>
      <w:spacing w:before="160" w:after="80"/>
      <w:outlineLvl w:val="1"/>
    </w:pPr>
    <w:rPr>
      <w:rFonts w:cs="宋体" w:eastAsia="宋体"/>
      <w:b/>
      <w:szCs w:val="32"/>
    </w:rPr>
  </w:style>
  <w:style w:type="paragraph" w:styleId="style3">
    <w:name w:val="heading 3"/>
    <w:basedOn w:val="style0"/>
    <w:next w:val="style0"/>
    <w:link w:val="style4099"/>
    <w:qFormat/>
    <w:uiPriority w:val="9"/>
    <w:pPr>
      <w:keepNext/>
      <w:keepLines/>
      <w:spacing w:before="160" w:after="80"/>
      <w:outlineLvl w:val="2"/>
    </w:pPr>
    <w:rPr>
      <w:rFonts w:ascii="Calibri" w:cs="宋体" w:eastAsia="宋体" w:hAnsi="Calibri"/>
      <w:color w:val="2f5496"/>
      <w:sz w:val="28"/>
      <w:szCs w:val="28"/>
    </w:rPr>
  </w:style>
  <w:style w:type="paragraph" w:styleId="style4">
    <w:name w:val="heading 4"/>
    <w:basedOn w:val="style0"/>
    <w:next w:val="style0"/>
    <w:link w:val="style4100"/>
    <w:qFormat/>
    <w:uiPriority w:val="9"/>
    <w:pPr>
      <w:keepNext/>
      <w:keepLines/>
      <w:spacing w:before="80" w:after="40"/>
      <w:outlineLvl w:val="3"/>
    </w:pPr>
    <w:rPr>
      <w:rFonts w:ascii="Calibri" w:cs="宋体" w:eastAsia="宋体" w:hAnsi="Calibri"/>
      <w:i/>
      <w:iCs/>
      <w:color w:val="2f5496"/>
    </w:rPr>
  </w:style>
  <w:style w:type="paragraph" w:styleId="style5">
    <w:name w:val="heading 5"/>
    <w:basedOn w:val="style0"/>
    <w:next w:val="style0"/>
    <w:link w:val="style4101"/>
    <w:qFormat/>
    <w:uiPriority w:val="9"/>
    <w:pPr>
      <w:keepNext/>
      <w:keepLines/>
      <w:spacing w:before="80" w:after="40"/>
      <w:outlineLvl w:val="4"/>
    </w:pPr>
    <w:rPr>
      <w:rFonts w:ascii="Calibri" w:cs="宋体" w:eastAsia="宋体" w:hAnsi="Calibri"/>
      <w:color w:val="2f5496"/>
    </w:rPr>
  </w:style>
  <w:style w:type="paragraph" w:styleId="style6">
    <w:name w:val="heading 6"/>
    <w:basedOn w:val="style0"/>
    <w:next w:val="style0"/>
    <w:link w:val="style4102"/>
    <w:qFormat/>
    <w:uiPriority w:val="9"/>
    <w:pPr>
      <w:keepNext/>
      <w:keepLines/>
      <w:spacing w:before="40" w:after="0"/>
      <w:outlineLvl w:val="5"/>
    </w:pPr>
    <w:rPr>
      <w:rFonts w:ascii="Calibri" w:cs="宋体" w:eastAsia="宋体" w:hAnsi="Calibri"/>
      <w:i/>
      <w:iCs/>
      <w:color w:val="595959"/>
    </w:rPr>
  </w:style>
  <w:style w:type="paragraph" w:styleId="style7">
    <w:name w:val="heading 7"/>
    <w:basedOn w:val="style0"/>
    <w:next w:val="style0"/>
    <w:link w:val="style4103"/>
    <w:qFormat/>
    <w:uiPriority w:val="9"/>
    <w:pPr>
      <w:keepNext/>
      <w:keepLines/>
      <w:spacing w:before="40" w:after="0"/>
      <w:outlineLvl w:val="6"/>
    </w:pPr>
    <w:rPr>
      <w:rFonts w:ascii="Calibri" w:cs="宋体" w:eastAsia="宋体" w:hAnsi="Calibri"/>
      <w:color w:val="595959"/>
    </w:rPr>
  </w:style>
  <w:style w:type="paragraph" w:styleId="style8">
    <w:name w:val="heading 8"/>
    <w:basedOn w:val="style0"/>
    <w:next w:val="style0"/>
    <w:link w:val="style4104"/>
    <w:qFormat/>
    <w:uiPriority w:val="9"/>
    <w:pPr>
      <w:keepNext/>
      <w:keepLines/>
      <w:spacing w:after="0"/>
      <w:outlineLvl w:val="7"/>
    </w:pPr>
    <w:rPr>
      <w:rFonts w:ascii="Calibri" w:cs="宋体" w:eastAsia="宋体" w:hAnsi="Calibri"/>
      <w:i/>
      <w:iCs/>
      <w:color w:val="272727"/>
    </w:rPr>
  </w:style>
  <w:style w:type="paragraph" w:styleId="style9">
    <w:name w:val="heading 9"/>
    <w:basedOn w:val="style0"/>
    <w:next w:val="style0"/>
    <w:link w:val="style4105"/>
    <w:qFormat/>
    <w:uiPriority w:val="9"/>
    <w:pPr>
      <w:keepNext/>
      <w:keepLines/>
      <w:spacing w:after="0"/>
      <w:outlineLvl w:val="8"/>
    </w:pPr>
    <w:rPr>
      <w:rFonts w:ascii="Calibri" w:cs="宋体" w:eastAsia="宋体" w:hAnsi="Calibri"/>
      <w:color w:val="272727"/>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Heading 2 Char_c2412bc2-240b-45ee-b654-d36b771c7c7b"/>
    <w:basedOn w:val="style65"/>
    <w:next w:val="style4097"/>
    <w:link w:val="style2"/>
    <w:uiPriority w:val="9"/>
    <w:rPr>
      <w:rFonts w:ascii="Times New Roman" w:cs="宋体" w:eastAsia="宋体" w:hAnsi="Times New Roman"/>
      <w:b/>
      <w:szCs w:val="32"/>
    </w:rPr>
  </w:style>
  <w:style w:type="character" w:customStyle="1" w:styleId="style4098">
    <w:name w:val="Heading 1 Char_62707e03-0bbc-46ba-9d4e-1081955afcd3"/>
    <w:basedOn w:val="style65"/>
    <w:next w:val="style4098"/>
    <w:link w:val="style1"/>
    <w:uiPriority w:val="9"/>
    <w:rPr>
      <w:rFonts w:ascii="Times New Roman" w:cs="宋体" w:eastAsia="宋体" w:hAnsi="Times New Roman"/>
      <w:b/>
      <w:color w:val="000000"/>
      <w:szCs w:val="40"/>
    </w:rPr>
  </w:style>
  <w:style w:type="character" w:customStyle="1" w:styleId="style4099">
    <w:name w:val="Heading 3 Char_c2bd0c35-7fb3-4a3c-a9e9-8f12463de078"/>
    <w:basedOn w:val="style65"/>
    <w:next w:val="style4099"/>
    <w:link w:val="style3"/>
    <w:uiPriority w:val="9"/>
    <w:rPr>
      <w:rFonts w:cs="宋体" w:eastAsia="宋体"/>
      <w:color w:val="2f5496"/>
      <w:sz w:val="28"/>
      <w:szCs w:val="28"/>
    </w:rPr>
  </w:style>
  <w:style w:type="character" w:customStyle="1" w:styleId="style4100">
    <w:name w:val="Heading 4 Char_51870064-9eab-43cb-8722-26582f266183"/>
    <w:basedOn w:val="style65"/>
    <w:next w:val="style4100"/>
    <w:link w:val="style4"/>
    <w:uiPriority w:val="9"/>
    <w:rPr>
      <w:rFonts w:cs="宋体" w:eastAsia="宋体"/>
      <w:i/>
      <w:iCs/>
      <w:color w:val="2f5496"/>
    </w:rPr>
  </w:style>
  <w:style w:type="character" w:customStyle="1" w:styleId="style4101">
    <w:name w:val="Heading 5 Char_27cf82f4-13af-4740-bbcf-16bfe165d06b"/>
    <w:basedOn w:val="style65"/>
    <w:next w:val="style4101"/>
    <w:link w:val="style5"/>
    <w:uiPriority w:val="9"/>
    <w:rPr>
      <w:rFonts w:cs="宋体" w:eastAsia="宋体"/>
      <w:color w:val="2f5496"/>
    </w:rPr>
  </w:style>
  <w:style w:type="character" w:customStyle="1" w:styleId="style4102">
    <w:name w:val="Heading 6 Char_838531ff-c55f-4d19-b07c-2180bbf5897c"/>
    <w:basedOn w:val="style65"/>
    <w:next w:val="style4102"/>
    <w:link w:val="style6"/>
    <w:uiPriority w:val="9"/>
    <w:rPr>
      <w:rFonts w:cs="宋体" w:eastAsia="宋体"/>
      <w:i/>
      <w:iCs/>
      <w:color w:val="595959"/>
    </w:rPr>
  </w:style>
  <w:style w:type="character" w:customStyle="1" w:styleId="style4103">
    <w:name w:val="Heading 7 Char_bf6cf702-74b4-4bc6-8fa9-77befb8bbf2d"/>
    <w:basedOn w:val="style65"/>
    <w:next w:val="style4103"/>
    <w:link w:val="style7"/>
    <w:uiPriority w:val="9"/>
    <w:rPr>
      <w:rFonts w:cs="宋体" w:eastAsia="宋体"/>
      <w:color w:val="595959"/>
    </w:rPr>
  </w:style>
  <w:style w:type="character" w:customStyle="1" w:styleId="style4104">
    <w:name w:val="Heading 8 Char_9aec80d9-362c-4584-97cb-c64ee0d71f9a"/>
    <w:basedOn w:val="style65"/>
    <w:next w:val="style4104"/>
    <w:link w:val="style8"/>
    <w:uiPriority w:val="9"/>
    <w:rPr>
      <w:rFonts w:cs="宋体" w:eastAsia="宋体"/>
      <w:i/>
      <w:iCs/>
      <w:color w:val="272727"/>
    </w:rPr>
  </w:style>
  <w:style w:type="character" w:customStyle="1" w:styleId="style4105">
    <w:name w:val="Heading 9 Char_2ae390c2-6251-4dc6-b298-7fba22cd716c"/>
    <w:basedOn w:val="style65"/>
    <w:next w:val="style4105"/>
    <w:link w:val="style9"/>
    <w:uiPriority w:val="9"/>
    <w:rPr>
      <w:rFonts w:cs="宋体" w:eastAsia="宋体"/>
      <w:color w:val="272727"/>
    </w:rPr>
  </w:style>
  <w:style w:type="paragraph" w:styleId="style62">
    <w:name w:val="Title"/>
    <w:basedOn w:val="style0"/>
    <w:next w:val="style0"/>
    <w:link w:val="style4106"/>
    <w:qFormat/>
    <w:uiPriority w:val="10"/>
    <w:pPr>
      <w:spacing w:after="80" w:lineRule="auto" w:line="240"/>
      <w:contextualSpacing/>
    </w:pPr>
    <w:rPr>
      <w:rFonts w:ascii="Calibri Light" w:cs="宋体" w:eastAsia="宋体" w:hAnsi="Calibri Light"/>
      <w:spacing w:val="-10"/>
      <w:kern w:val="28"/>
      <w:sz w:val="56"/>
      <w:szCs w:val="56"/>
    </w:rPr>
  </w:style>
  <w:style w:type="character" w:customStyle="1" w:styleId="style4106">
    <w:name w:val="Title Char_9f735520-867a-4275-8d81-f17fc29f316e"/>
    <w:basedOn w:val="style65"/>
    <w:next w:val="style4106"/>
    <w:link w:val="style62"/>
    <w:uiPriority w:val="10"/>
    <w:rPr>
      <w:rFonts w:ascii="Calibri Light" w:cs="宋体" w:eastAsia="宋体" w:hAnsi="Calibri Light"/>
      <w:spacing w:val="-10"/>
      <w:kern w:val="28"/>
      <w:sz w:val="56"/>
      <w:szCs w:val="56"/>
    </w:rPr>
  </w:style>
  <w:style w:type="paragraph" w:styleId="style74">
    <w:name w:val="Subtitle"/>
    <w:basedOn w:val="style0"/>
    <w:next w:val="style0"/>
    <w:link w:val="style4107"/>
    <w:qFormat/>
    <w:uiPriority w:val="11"/>
    <w:pPr>
      <w:numPr>
        <w:ilvl w:val="1"/>
        <w:numId w:val="0"/>
      </w:numPr>
    </w:pPr>
    <w:rPr>
      <w:rFonts w:ascii="Calibri" w:cs="宋体" w:eastAsia="宋体" w:hAnsi="Calibri"/>
      <w:color w:val="595959"/>
      <w:spacing w:val="15"/>
      <w:sz w:val="28"/>
      <w:szCs w:val="28"/>
    </w:rPr>
  </w:style>
  <w:style w:type="character" w:customStyle="1" w:styleId="style4107">
    <w:name w:val="Subtitle Char"/>
    <w:basedOn w:val="style65"/>
    <w:next w:val="style4107"/>
    <w:link w:val="style74"/>
    <w:uiPriority w:val="11"/>
    <w:rPr>
      <w:rFonts w:cs="宋体" w:eastAsia="宋体"/>
      <w:color w:val="595959"/>
      <w:spacing w:val="15"/>
      <w:sz w:val="28"/>
      <w:szCs w:val="28"/>
    </w:rPr>
  </w:style>
  <w:style w:type="paragraph" w:styleId="style180">
    <w:name w:val="Quote"/>
    <w:basedOn w:val="style0"/>
    <w:next w:val="style0"/>
    <w:link w:val="style4108"/>
    <w:qFormat/>
    <w:uiPriority w:val="29"/>
    <w:pPr>
      <w:spacing w:before="160"/>
      <w:jc w:val="center"/>
    </w:pPr>
    <w:rPr>
      <w:i/>
      <w:iCs/>
      <w:color w:val="404040"/>
    </w:rPr>
  </w:style>
  <w:style w:type="character" w:customStyle="1" w:styleId="style4108">
    <w:name w:val="Quote Char_7a45847c-e4c7-46f3-b1ca-6c0fff27cd79"/>
    <w:basedOn w:val="style65"/>
    <w:next w:val="style4108"/>
    <w:link w:val="style180"/>
    <w:uiPriority w:val="29"/>
    <w:rPr>
      <w:rFonts w:ascii="Times New Roman" w:hAnsi="Times New Roman"/>
      <w:i/>
      <w:iCs/>
      <w:color w:val="404040"/>
    </w:rPr>
  </w:style>
  <w:style w:type="paragraph" w:styleId="style179">
    <w:name w:val="List Paragraph"/>
    <w:basedOn w:val="style0"/>
    <w:next w:val="style179"/>
    <w:qFormat/>
    <w:uiPriority w:val="34"/>
    <w:pPr>
      <w:ind w:left="720"/>
      <w:contextualSpacing/>
    </w:pPr>
    <w:rPr/>
  </w:style>
  <w:style w:type="character" w:styleId="style261">
    <w:name w:val="Intense Emphasis"/>
    <w:basedOn w:val="style65"/>
    <w:next w:val="style261"/>
    <w:qFormat/>
    <w:uiPriority w:val="21"/>
    <w:rPr>
      <w:i/>
      <w:iCs/>
      <w:color w:val="2f5496"/>
    </w:rPr>
  </w:style>
  <w:style w:type="paragraph" w:styleId="style181">
    <w:name w:val="Intense Quote"/>
    <w:basedOn w:val="style0"/>
    <w:next w:val="style0"/>
    <w:link w:val="style4109"/>
    <w:qFormat/>
    <w:uiPriority w:val="30"/>
    <w:pPr>
      <w:pBdr>
        <w:top w:val="single" w:sz="4" w:space="10" w:color="2f5496"/>
        <w:bottom w:val="single" w:sz="4" w:space="10" w:color="2f5496"/>
      </w:pBdr>
      <w:spacing w:before="360" w:after="360"/>
      <w:ind w:left="864" w:right="864"/>
      <w:jc w:val="center"/>
    </w:pPr>
    <w:rPr>
      <w:i/>
      <w:iCs/>
      <w:color w:val="2f5496"/>
    </w:rPr>
  </w:style>
  <w:style w:type="character" w:customStyle="1" w:styleId="style4109">
    <w:name w:val="Intense Quote Char_1e3ed2a5-aa39-4955-bfdd-2a6ecc3bcb67"/>
    <w:basedOn w:val="style65"/>
    <w:next w:val="style4109"/>
    <w:link w:val="style181"/>
    <w:uiPriority w:val="30"/>
    <w:rPr>
      <w:rFonts w:ascii="Times New Roman" w:hAnsi="Times New Roman"/>
      <w:i/>
      <w:iCs/>
      <w:color w:val="2f5496"/>
    </w:rPr>
  </w:style>
  <w:style w:type="character" w:styleId="style263">
    <w:name w:val="Intense Reference"/>
    <w:basedOn w:val="style65"/>
    <w:next w:val="style263"/>
    <w:qFormat/>
    <w:uiPriority w:val="32"/>
    <w:rPr>
      <w:b/>
      <w:bCs/>
      <w:smallCaps/>
      <w:color w:val="2f5496"/>
      <w:spacing w:val="5"/>
    </w:rPr>
  </w:style>
  <w:style w:type="paragraph" w:styleId="style31">
    <w:name w:val="header"/>
    <w:basedOn w:val="style0"/>
    <w:next w:val="style31"/>
    <w:link w:val="style4110"/>
    <w:uiPriority w:val="99"/>
    <w:pPr>
      <w:tabs>
        <w:tab w:val="center" w:leader="none" w:pos="4680"/>
        <w:tab w:val="right" w:leader="none" w:pos="9360"/>
      </w:tabs>
      <w:spacing w:after="0" w:lineRule="auto" w:line="240"/>
    </w:pPr>
    <w:rPr/>
  </w:style>
  <w:style w:type="character" w:customStyle="1" w:styleId="style4110">
    <w:name w:val="Header Char_f81a73c0-3bde-4a77-beea-c781dac796df"/>
    <w:basedOn w:val="style65"/>
    <w:next w:val="style4110"/>
    <w:link w:val="style31"/>
    <w:uiPriority w:val="99"/>
    <w:rPr>
      <w:rFonts w:ascii="Times New Roman" w:hAnsi="Times New Roman"/>
      <w:lang w:val="en-GB"/>
    </w:rPr>
  </w:style>
  <w:style w:type="paragraph" w:styleId="style32">
    <w:name w:val="footer"/>
    <w:basedOn w:val="style0"/>
    <w:next w:val="style32"/>
    <w:link w:val="style4111"/>
    <w:uiPriority w:val="99"/>
    <w:pPr>
      <w:tabs>
        <w:tab w:val="center" w:leader="none" w:pos="4680"/>
        <w:tab w:val="right" w:leader="none" w:pos="9360"/>
      </w:tabs>
      <w:spacing w:after="0" w:lineRule="auto" w:line="240"/>
    </w:pPr>
    <w:rPr/>
  </w:style>
  <w:style w:type="character" w:customStyle="1" w:styleId="style4111">
    <w:name w:val="Footer Char_0b9c8fc8-479d-4d25-86e1-b227224c9164"/>
    <w:basedOn w:val="style65"/>
    <w:next w:val="style4111"/>
    <w:link w:val="style32"/>
    <w:uiPriority w:val="99"/>
    <w:rPr>
      <w:rFonts w:ascii="Times New Roman" w:hAnsi="Times New Roman"/>
      <w:lang w:val="en-GB"/>
    </w:rPr>
  </w:style>
  <w:style w:type="paragraph" w:styleId="style266">
    <w:name w:val="TOC Heading"/>
    <w:basedOn w:val="style1"/>
    <w:next w:val="style0"/>
    <w:qFormat/>
    <w:uiPriority w:val="39"/>
    <w:pPr>
      <w:spacing w:before="240" w:after="0" w:lineRule="auto" w:line="259"/>
      <w:jc w:val="left"/>
      <w:outlineLvl w:val="9"/>
    </w:pPr>
    <w:rPr>
      <w:rFonts w:ascii="Calibri Light" w:hAnsi="Calibri Light"/>
      <w:b w:val="false"/>
      <w:color w:val="2f5496"/>
      <w:kern w:val="0"/>
      <w:sz w:val="32"/>
      <w:szCs w:val="32"/>
      <w:lang w:val="en-US"/>
      <w14:ligatures xmlns:w14="http://schemas.microsoft.com/office/word/2010/wordml" w14:val="none"/>
    </w:rPr>
  </w:style>
  <w:style w:type="paragraph" w:styleId="style20">
    <w:name w:val="toc 2"/>
    <w:basedOn w:val="style0"/>
    <w:next w:val="style0"/>
    <w:uiPriority w:val="39"/>
    <w:pPr>
      <w:spacing w:after="100"/>
      <w:ind w:left="240"/>
    </w:pPr>
    <w:rPr/>
  </w:style>
  <w:style w:type="paragraph" w:styleId="style19">
    <w:name w:val="toc 1"/>
    <w:basedOn w:val="style0"/>
    <w:next w:val="style0"/>
    <w:uiPriority w:val="39"/>
    <w:pPr>
      <w:spacing w:after="100"/>
    </w:pPr>
    <w:rPr/>
  </w:style>
  <w:style w:type="character" w:styleId="style85">
    <w:name w:val="Hyperlink"/>
    <w:basedOn w:val="style65"/>
    <w:next w:val="style85"/>
    <w:uiPriority w:val="99"/>
    <w:rPr>
      <w:color w:val="0563c1"/>
      <w:u w:val="single"/>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3.png"/><Relationship Id="rId11" Type="http://schemas.openxmlformats.org/officeDocument/2006/relationships/customXml" Target="../customXml/item1.xml"/><Relationship Id="rId10" Type="http://schemas.openxmlformats.org/officeDocument/2006/relationships/theme" Target="theme/theme1.xml"/><Relationship Id="rId9" Type="http://schemas.openxmlformats.org/officeDocument/2006/relationships/settings" Target="settings.xml"/><Relationship Id="rId5" Type="http://schemas.openxmlformats.org/officeDocument/2006/relationships/image" Target="media/image2.jpeg"/><Relationship Id="rId6" Type="http://schemas.openxmlformats.org/officeDocument/2006/relationships/header" Target="header1.xml"/><Relationship Id="rId7" Type="http://schemas.openxmlformats.org/officeDocument/2006/relationships/styles" Target="styles.xml"/><Relationship Id="rId8" Type="http://schemas.openxmlformats.org/officeDocument/2006/relationships/fontTable" Target="fontTable.xml"/></Relationships>
</file>

<file path=word/_rels/header1.xml.rels><?xml version="1.0" encoding="UTF-8"?>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9B02583-0243-44B6-B0EE-CF04E8E3E3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Words>1283</Words>
  <Pages>10</Pages>
  <Characters>7936</Characters>
  <Application>WPS Office</Application>
  <DocSecurity>0</DocSecurity>
  <Paragraphs>113</Paragraphs>
  <ScaleCrop>false</ScaleCrop>
  <LinksUpToDate>false</LinksUpToDate>
  <CharactersWithSpaces>9156</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2025-09-26T07:22:00Z</dcterms:created>
  <dc:creator>User</dc:creator>
  <lastModifiedBy>RMX3660</lastModifiedBy>
  <dcterms:modified xsi:type="dcterms:W3CDTF">2025-10-18T13:27:20Z</dcterms:modified>
  <revision>29</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980e3d89f9ce4c768a6b6bfab6089ba8</vt:lpwstr>
  </property>
</Properties>
</file>