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074269" w14:textId="77777777" w:rsidR="00B102D3" w:rsidRDefault="00B102D3" w:rsidP="00B102D3">
      <w:pPr>
        <w:pStyle w:val="Heading1"/>
        <w:numPr>
          <w:ilvl w:val="0"/>
          <w:numId w:val="0"/>
        </w:numPr>
      </w:pPr>
      <w:bookmarkStart w:id="0" w:name="_Hlk192815429"/>
      <w:bookmarkStart w:id="1" w:name="_Toc204471638"/>
      <w:bookmarkStart w:id="2" w:name="_Toc227881842"/>
      <w:bookmarkEnd w:id="0"/>
      <w:r w:rsidRPr="00B23F1A">
        <w:rPr>
          <w:rFonts w:asciiTheme="minorBidi" w:hAnsiTheme="minorBidi"/>
          <w:noProof/>
          <w:szCs w:val="24"/>
        </w:rPr>
        <w:drawing>
          <wp:inline distT="0" distB="0" distL="0" distR="0" wp14:anchorId="3B02F271" wp14:editId="7B1BA626">
            <wp:extent cx="3286125" cy="1352550"/>
            <wp:effectExtent l="0" t="0" r="9525" b="0"/>
            <wp:docPr id="527614896" name="Picture 527614896" descr="A close-up of a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A close-up of a sign"/>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93423" cy="1355554"/>
                    </a:xfrm>
                    <a:prstGeom prst="rect">
                      <a:avLst/>
                    </a:prstGeom>
                  </pic:spPr>
                </pic:pic>
              </a:graphicData>
            </a:graphic>
          </wp:inline>
        </w:drawing>
      </w:r>
      <w:bookmarkEnd w:id="1"/>
      <w:bookmarkEnd w:id="2"/>
    </w:p>
    <w:p w14:paraId="1A8BA232" w14:textId="77777777" w:rsidR="00B102D3" w:rsidRDefault="00B102D3" w:rsidP="00B102D3">
      <w:pPr>
        <w:rPr>
          <w:bCs/>
          <w:sz w:val="40"/>
          <w:szCs w:val="40"/>
        </w:rPr>
      </w:pPr>
    </w:p>
    <w:p w14:paraId="70B63EAB" w14:textId="77777777" w:rsidR="00B635D2" w:rsidRDefault="00B635D2" w:rsidP="00B635D2">
      <w:pPr>
        <w:pStyle w:val="Title"/>
        <w:jc w:val="center"/>
      </w:pPr>
      <w:r w:rsidRPr="00256C92">
        <w:rPr>
          <w:bCs/>
          <w:color w:val="000000"/>
        </w:rPr>
        <w:t xml:space="preserve">Title: </w:t>
      </w:r>
      <w:r w:rsidRPr="00256C92">
        <w:t>Strateg</w:t>
      </w:r>
      <w:r>
        <w:t>y Formulation Plan</w:t>
      </w:r>
    </w:p>
    <w:p w14:paraId="1A8F1432" w14:textId="77777777" w:rsidR="00B635D2" w:rsidRPr="00B635D2" w:rsidRDefault="00B635D2" w:rsidP="00B635D2">
      <w:pPr>
        <w:jc w:val="center"/>
        <w:rPr>
          <w:rFonts w:ascii="Arial" w:hAnsi="Arial" w:cs="Arial"/>
          <w:sz w:val="40"/>
          <w:szCs w:val="40"/>
        </w:rPr>
      </w:pPr>
      <w:r w:rsidRPr="00B635D2">
        <w:rPr>
          <w:rFonts w:ascii="Arial" w:hAnsi="Arial" w:cs="Arial"/>
          <w:sz w:val="40"/>
          <w:szCs w:val="40"/>
        </w:rPr>
        <w:t>Nissan Motor Manufacturing UK</w:t>
      </w:r>
    </w:p>
    <w:p w14:paraId="79DA08F0" w14:textId="77777777" w:rsidR="00B102D3" w:rsidRPr="00F13F33" w:rsidRDefault="00B102D3" w:rsidP="00B102D3">
      <w:pPr>
        <w:rPr>
          <w:bCs/>
          <w:sz w:val="40"/>
          <w:szCs w:val="40"/>
        </w:rPr>
      </w:pPr>
    </w:p>
    <w:p w14:paraId="3C95E8E8" w14:textId="02B53A5C" w:rsidR="00B102D3" w:rsidRPr="00F13F33" w:rsidRDefault="00B102D3" w:rsidP="00B635D2">
      <w:pPr>
        <w:spacing w:after="0" w:line="360" w:lineRule="auto"/>
        <w:jc w:val="center"/>
        <w:rPr>
          <w:rFonts w:ascii="Arial" w:hAnsi="Arial" w:cs="Arial"/>
          <w:bCs/>
          <w:color w:val="000000"/>
          <w:sz w:val="40"/>
          <w:szCs w:val="40"/>
        </w:rPr>
      </w:pPr>
      <w:r w:rsidRPr="00F13F33">
        <w:rPr>
          <w:rFonts w:ascii="Arial" w:hAnsi="Arial" w:cs="Arial"/>
          <w:bCs/>
          <w:color w:val="000000"/>
          <w:sz w:val="40"/>
          <w:szCs w:val="40"/>
        </w:rPr>
        <w:t>Student name: Cecile Abuzour</w:t>
      </w:r>
    </w:p>
    <w:p w14:paraId="5E14E0B9" w14:textId="77777777" w:rsidR="00B102D3" w:rsidRDefault="00B102D3" w:rsidP="00B635D2">
      <w:pPr>
        <w:spacing w:after="0" w:line="360" w:lineRule="auto"/>
        <w:jc w:val="center"/>
        <w:rPr>
          <w:rFonts w:ascii="Arial" w:hAnsi="Arial" w:cs="Arial"/>
          <w:bCs/>
          <w:color w:val="000000"/>
          <w:sz w:val="40"/>
          <w:szCs w:val="40"/>
        </w:rPr>
      </w:pPr>
      <w:r w:rsidRPr="00F13F33">
        <w:rPr>
          <w:rFonts w:ascii="Arial" w:hAnsi="Arial" w:cs="Arial"/>
          <w:bCs/>
          <w:color w:val="000000"/>
          <w:sz w:val="40"/>
          <w:szCs w:val="40"/>
        </w:rPr>
        <w:t>Student ID: 2218610</w:t>
      </w:r>
    </w:p>
    <w:p w14:paraId="61FE0E3E" w14:textId="5BF8E18B" w:rsidR="00B102D3" w:rsidRDefault="00B102D3" w:rsidP="00B635D2">
      <w:pPr>
        <w:spacing w:after="0" w:line="360" w:lineRule="auto"/>
        <w:jc w:val="center"/>
        <w:rPr>
          <w:rFonts w:ascii="Arial" w:hAnsi="Arial" w:cs="Arial"/>
          <w:bCs/>
          <w:color w:val="000000"/>
          <w:sz w:val="40"/>
          <w:szCs w:val="40"/>
        </w:rPr>
      </w:pPr>
      <w:r w:rsidRPr="00F13F33">
        <w:rPr>
          <w:rFonts w:ascii="Arial" w:hAnsi="Arial" w:cs="Arial"/>
          <w:bCs/>
          <w:color w:val="000000"/>
          <w:sz w:val="40"/>
          <w:szCs w:val="40"/>
        </w:rPr>
        <w:t xml:space="preserve">Lecturer: </w:t>
      </w:r>
      <w:r w:rsidR="00AC5E2E">
        <w:rPr>
          <w:rFonts w:ascii="Arial" w:hAnsi="Arial" w:cs="Arial"/>
          <w:bCs/>
          <w:color w:val="000000"/>
          <w:sz w:val="40"/>
          <w:szCs w:val="40"/>
        </w:rPr>
        <w:t>Nadeem Mirza</w:t>
      </w:r>
    </w:p>
    <w:p w14:paraId="6A755615" w14:textId="2A1EC711" w:rsidR="00B102D3" w:rsidRPr="00F13F33" w:rsidRDefault="00B102D3" w:rsidP="00B635D2">
      <w:pPr>
        <w:spacing w:after="0" w:line="360" w:lineRule="auto"/>
        <w:jc w:val="center"/>
        <w:rPr>
          <w:rFonts w:ascii="Arial" w:hAnsi="Arial" w:cs="Arial"/>
          <w:bCs/>
          <w:color w:val="000000"/>
          <w:sz w:val="40"/>
          <w:szCs w:val="40"/>
        </w:rPr>
      </w:pPr>
      <w:r>
        <w:rPr>
          <w:rFonts w:ascii="Arial" w:hAnsi="Arial" w:cs="Arial"/>
          <w:bCs/>
          <w:color w:val="000000"/>
          <w:sz w:val="40"/>
          <w:szCs w:val="40"/>
        </w:rPr>
        <w:t xml:space="preserve">Module Name: </w:t>
      </w:r>
      <w:r w:rsidR="00273190" w:rsidRPr="00273190">
        <w:rPr>
          <w:rFonts w:ascii="Arial" w:hAnsi="Arial" w:cs="Arial"/>
          <w:bCs/>
          <w:color w:val="000000"/>
          <w:sz w:val="40"/>
          <w:szCs w:val="40"/>
        </w:rPr>
        <w:t>Strategic Management and Sustainability</w:t>
      </w:r>
    </w:p>
    <w:p w14:paraId="3274639C" w14:textId="3F5C890C" w:rsidR="00B102D3" w:rsidRDefault="00B102D3" w:rsidP="00B635D2">
      <w:pPr>
        <w:spacing w:after="0" w:line="360" w:lineRule="auto"/>
        <w:jc w:val="center"/>
        <w:rPr>
          <w:rFonts w:ascii="Arial" w:hAnsi="Arial" w:cs="Arial"/>
          <w:bCs/>
          <w:color w:val="000000"/>
          <w:sz w:val="40"/>
          <w:szCs w:val="40"/>
        </w:rPr>
      </w:pPr>
      <w:r w:rsidRPr="00F13F33">
        <w:rPr>
          <w:rFonts w:ascii="Arial" w:hAnsi="Arial" w:cs="Arial"/>
          <w:bCs/>
          <w:color w:val="000000"/>
          <w:sz w:val="40"/>
          <w:szCs w:val="40"/>
        </w:rPr>
        <w:t>Module code: LCBB</w:t>
      </w:r>
      <w:r w:rsidR="00273190">
        <w:rPr>
          <w:rFonts w:ascii="Arial" w:hAnsi="Arial" w:cs="Arial"/>
          <w:bCs/>
          <w:color w:val="000000"/>
          <w:sz w:val="40"/>
          <w:szCs w:val="40"/>
        </w:rPr>
        <w:t>6015</w:t>
      </w:r>
    </w:p>
    <w:p w14:paraId="361E1471" w14:textId="25F9FA91" w:rsidR="00B102D3" w:rsidRDefault="006D1FE8" w:rsidP="00B635D2">
      <w:pPr>
        <w:spacing w:after="0" w:line="360" w:lineRule="auto"/>
        <w:jc w:val="center"/>
        <w:rPr>
          <w:rFonts w:ascii="Arial" w:hAnsi="Arial" w:cs="Arial"/>
          <w:bCs/>
          <w:color w:val="000000"/>
          <w:sz w:val="40"/>
          <w:szCs w:val="40"/>
        </w:rPr>
      </w:pPr>
      <w:r>
        <w:rPr>
          <w:rFonts w:ascii="Arial" w:hAnsi="Arial" w:cs="Arial"/>
          <w:bCs/>
          <w:color w:val="000000"/>
          <w:sz w:val="40"/>
          <w:szCs w:val="40"/>
        </w:rPr>
        <w:t>Component 2</w:t>
      </w:r>
      <w:r w:rsidR="00B102D3">
        <w:rPr>
          <w:rFonts w:ascii="Arial" w:hAnsi="Arial" w:cs="Arial"/>
          <w:bCs/>
          <w:color w:val="000000"/>
          <w:sz w:val="40"/>
          <w:szCs w:val="40"/>
        </w:rPr>
        <w:t xml:space="preserve">: </w:t>
      </w:r>
      <w:r w:rsidR="0005662D">
        <w:rPr>
          <w:rFonts w:ascii="Arial" w:hAnsi="Arial" w:cs="Arial"/>
          <w:bCs/>
          <w:color w:val="000000"/>
          <w:sz w:val="40"/>
          <w:szCs w:val="40"/>
        </w:rPr>
        <w:t>Report</w:t>
      </w:r>
    </w:p>
    <w:p w14:paraId="53230893" w14:textId="4D4D3850" w:rsidR="0005662D" w:rsidRPr="00214FE9" w:rsidRDefault="0005662D" w:rsidP="00B102D3">
      <w:pPr>
        <w:spacing w:after="0" w:line="360" w:lineRule="auto"/>
        <w:jc w:val="center"/>
        <w:rPr>
          <w:rFonts w:ascii="Arial" w:hAnsi="Arial" w:cs="Arial"/>
          <w:bCs/>
          <w:color w:val="000000"/>
          <w:sz w:val="40"/>
          <w:szCs w:val="40"/>
        </w:rPr>
      </w:pPr>
    </w:p>
    <w:p w14:paraId="4B75BE92" w14:textId="77777777" w:rsidR="00395B45" w:rsidRDefault="00395B45"/>
    <w:p w14:paraId="6F891C9C" w14:textId="77777777" w:rsidR="00121CB7" w:rsidRDefault="00121CB7"/>
    <w:p w14:paraId="0977930F" w14:textId="77777777" w:rsidR="00121CB7" w:rsidRDefault="00121CB7"/>
    <w:p w14:paraId="0D6C0E52" w14:textId="77777777" w:rsidR="00121CB7" w:rsidRDefault="00121CB7"/>
    <w:p w14:paraId="6CF111D6" w14:textId="77777777" w:rsidR="00121CB7" w:rsidRDefault="00121CB7"/>
    <w:p w14:paraId="59ADC0E8" w14:textId="77777777" w:rsidR="00121CB7" w:rsidRDefault="00121CB7"/>
    <w:p w14:paraId="0F27465F" w14:textId="77777777" w:rsidR="00121CB7" w:rsidRDefault="00121CB7"/>
    <w:sdt>
      <w:sdtPr>
        <w:rPr>
          <w:rFonts w:asciiTheme="minorHAnsi" w:eastAsiaTheme="minorHAnsi" w:hAnsiTheme="minorHAnsi" w:cstheme="minorBidi"/>
          <w:color w:val="auto"/>
          <w:kern w:val="2"/>
          <w:sz w:val="22"/>
          <w:szCs w:val="22"/>
          <w:lang w:eastAsia="en-US"/>
          <w14:ligatures w14:val="standardContextual"/>
        </w:rPr>
        <w:id w:val="1460301859"/>
        <w:docPartObj>
          <w:docPartGallery w:val="Table of Contents"/>
          <w:docPartUnique/>
        </w:docPartObj>
      </w:sdtPr>
      <w:sdtEndPr>
        <w:rPr>
          <w:b/>
          <w:bCs/>
        </w:rPr>
      </w:sdtEndPr>
      <w:sdtContent>
        <w:p w14:paraId="713548CF" w14:textId="05E1339B" w:rsidR="00F0033E" w:rsidRDefault="00F0033E">
          <w:pPr>
            <w:pStyle w:val="TOCHeading"/>
          </w:pPr>
          <w:r>
            <w:t>Contents</w:t>
          </w:r>
        </w:p>
        <w:p w14:paraId="465F494D" w14:textId="062F990D" w:rsidR="006D1FE8" w:rsidRDefault="00F0033E">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7881842" w:history="1">
            <w:r w:rsidR="006D1FE8" w:rsidRPr="00291C08">
              <w:rPr>
                <w:rStyle w:val="Hyperlink"/>
                <w:rFonts w:asciiTheme="minorBidi" w:hAnsiTheme="minorBidi"/>
                <w:noProof/>
              </w:rPr>
              <w:drawing>
                <wp:inline distT="0" distB="0" distL="0" distR="0" wp14:anchorId="7B3B20BE" wp14:editId="26640BAA">
                  <wp:extent cx="3286125" cy="1352550"/>
                  <wp:effectExtent l="0" t="0" r="9525" b="0"/>
                  <wp:docPr id="953315775" name="Picture 953315775" descr="A close-up of a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A close-up of a sign"/>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93423" cy="1355554"/>
                          </a:xfrm>
                          <a:prstGeom prst="rect">
                            <a:avLst/>
                          </a:prstGeom>
                        </pic:spPr>
                      </pic:pic>
                    </a:graphicData>
                  </a:graphic>
                </wp:inline>
              </w:drawing>
            </w:r>
            <w:r w:rsidR="006D1FE8">
              <w:rPr>
                <w:noProof/>
                <w:webHidden/>
              </w:rPr>
              <w:tab/>
            </w:r>
            <w:r w:rsidR="006D1FE8">
              <w:rPr>
                <w:noProof/>
                <w:webHidden/>
              </w:rPr>
              <w:fldChar w:fldCharType="begin"/>
            </w:r>
            <w:r w:rsidR="006D1FE8">
              <w:rPr>
                <w:noProof/>
                <w:webHidden/>
              </w:rPr>
              <w:instrText xml:space="preserve"> PAGEREF _Toc227881842 \h </w:instrText>
            </w:r>
            <w:r w:rsidR="006D1FE8">
              <w:rPr>
                <w:noProof/>
                <w:webHidden/>
              </w:rPr>
            </w:r>
            <w:r w:rsidR="006D1FE8">
              <w:rPr>
                <w:noProof/>
                <w:webHidden/>
              </w:rPr>
              <w:fldChar w:fldCharType="separate"/>
            </w:r>
            <w:r w:rsidR="006D1FE8">
              <w:rPr>
                <w:noProof/>
                <w:webHidden/>
              </w:rPr>
              <w:t>1</w:t>
            </w:r>
            <w:r w:rsidR="006D1FE8">
              <w:rPr>
                <w:noProof/>
                <w:webHidden/>
              </w:rPr>
              <w:fldChar w:fldCharType="end"/>
            </w:r>
          </w:hyperlink>
        </w:p>
        <w:p w14:paraId="508BDB8D" w14:textId="40901A05" w:rsidR="006D1FE8" w:rsidRDefault="006D1FE8">
          <w:pPr>
            <w:pStyle w:val="TOC1"/>
            <w:tabs>
              <w:tab w:val="right" w:leader="dot" w:pos="9016"/>
            </w:tabs>
            <w:rPr>
              <w:rFonts w:eastAsiaTheme="minorEastAsia"/>
              <w:noProof/>
              <w:sz w:val="24"/>
              <w:szCs w:val="24"/>
              <w:lang w:eastAsia="en-GB"/>
            </w:rPr>
          </w:pPr>
          <w:hyperlink w:anchor="_Toc227881843" w:history="1">
            <w:r w:rsidRPr="00291C08">
              <w:rPr>
                <w:rStyle w:val="Hyperlink"/>
                <w:b/>
                <w:bCs/>
                <w:noProof/>
              </w:rPr>
              <w:t>Executive Summary</w:t>
            </w:r>
            <w:r>
              <w:rPr>
                <w:noProof/>
                <w:webHidden/>
              </w:rPr>
              <w:tab/>
            </w:r>
            <w:r>
              <w:rPr>
                <w:noProof/>
                <w:webHidden/>
              </w:rPr>
              <w:fldChar w:fldCharType="begin"/>
            </w:r>
            <w:r>
              <w:rPr>
                <w:noProof/>
                <w:webHidden/>
              </w:rPr>
              <w:instrText xml:space="preserve"> PAGEREF _Toc227881843 \h </w:instrText>
            </w:r>
            <w:r>
              <w:rPr>
                <w:noProof/>
                <w:webHidden/>
              </w:rPr>
            </w:r>
            <w:r>
              <w:rPr>
                <w:noProof/>
                <w:webHidden/>
              </w:rPr>
              <w:fldChar w:fldCharType="separate"/>
            </w:r>
            <w:r>
              <w:rPr>
                <w:noProof/>
                <w:webHidden/>
              </w:rPr>
              <w:t>3</w:t>
            </w:r>
            <w:r>
              <w:rPr>
                <w:noProof/>
                <w:webHidden/>
              </w:rPr>
              <w:fldChar w:fldCharType="end"/>
            </w:r>
          </w:hyperlink>
        </w:p>
        <w:p w14:paraId="20729321" w14:textId="6FC6AAD2" w:rsidR="006D1FE8" w:rsidRDefault="006D1FE8">
          <w:pPr>
            <w:pStyle w:val="TOC1"/>
            <w:tabs>
              <w:tab w:val="left" w:pos="440"/>
              <w:tab w:val="right" w:leader="dot" w:pos="9016"/>
            </w:tabs>
            <w:rPr>
              <w:rFonts w:eastAsiaTheme="minorEastAsia"/>
              <w:noProof/>
              <w:sz w:val="24"/>
              <w:szCs w:val="24"/>
              <w:lang w:eastAsia="en-GB"/>
            </w:rPr>
          </w:pPr>
          <w:hyperlink w:anchor="_Toc227881844" w:history="1">
            <w:r w:rsidRPr="00291C08">
              <w:rPr>
                <w:rStyle w:val="Hyperlink"/>
                <w:b/>
                <w:bCs/>
                <w:noProof/>
              </w:rPr>
              <w:t>1.</w:t>
            </w:r>
            <w:r>
              <w:rPr>
                <w:rFonts w:eastAsiaTheme="minorEastAsia"/>
                <w:noProof/>
                <w:sz w:val="24"/>
                <w:szCs w:val="24"/>
                <w:lang w:eastAsia="en-GB"/>
              </w:rPr>
              <w:tab/>
            </w:r>
            <w:r w:rsidRPr="00291C08">
              <w:rPr>
                <w:rStyle w:val="Hyperlink"/>
                <w:b/>
                <w:bCs/>
                <w:noProof/>
              </w:rPr>
              <w:t>Introduction</w:t>
            </w:r>
            <w:r>
              <w:rPr>
                <w:noProof/>
                <w:webHidden/>
              </w:rPr>
              <w:tab/>
            </w:r>
            <w:r>
              <w:rPr>
                <w:noProof/>
                <w:webHidden/>
              </w:rPr>
              <w:fldChar w:fldCharType="begin"/>
            </w:r>
            <w:r>
              <w:rPr>
                <w:noProof/>
                <w:webHidden/>
              </w:rPr>
              <w:instrText xml:space="preserve"> PAGEREF _Toc227881844 \h </w:instrText>
            </w:r>
            <w:r>
              <w:rPr>
                <w:noProof/>
                <w:webHidden/>
              </w:rPr>
            </w:r>
            <w:r>
              <w:rPr>
                <w:noProof/>
                <w:webHidden/>
              </w:rPr>
              <w:fldChar w:fldCharType="separate"/>
            </w:r>
            <w:r>
              <w:rPr>
                <w:noProof/>
                <w:webHidden/>
              </w:rPr>
              <w:t>4</w:t>
            </w:r>
            <w:r>
              <w:rPr>
                <w:noProof/>
                <w:webHidden/>
              </w:rPr>
              <w:fldChar w:fldCharType="end"/>
            </w:r>
          </w:hyperlink>
        </w:p>
        <w:p w14:paraId="668329D5" w14:textId="5495738F" w:rsidR="006D1FE8" w:rsidRDefault="006D1FE8">
          <w:pPr>
            <w:pStyle w:val="TOC1"/>
            <w:tabs>
              <w:tab w:val="left" w:pos="440"/>
              <w:tab w:val="right" w:leader="dot" w:pos="9016"/>
            </w:tabs>
            <w:rPr>
              <w:rFonts w:eastAsiaTheme="minorEastAsia"/>
              <w:noProof/>
              <w:sz w:val="24"/>
              <w:szCs w:val="24"/>
              <w:lang w:eastAsia="en-GB"/>
            </w:rPr>
          </w:pPr>
          <w:hyperlink w:anchor="_Toc227881845" w:history="1">
            <w:r w:rsidRPr="00291C08">
              <w:rPr>
                <w:rStyle w:val="Hyperlink"/>
                <w:b/>
                <w:bCs/>
                <w:noProof/>
              </w:rPr>
              <w:t>2.</w:t>
            </w:r>
            <w:r>
              <w:rPr>
                <w:rFonts w:eastAsiaTheme="minorEastAsia"/>
                <w:noProof/>
                <w:sz w:val="24"/>
                <w:szCs w:val="24"/>
                <w:lang w:eastAsia="en-GB"/>
              </w:rPr>
              <w:tab/>
            </w:r>
            <w:r w:rsidRPr="00291C08">
              <w:rPr>
                <w:rStyle w:val="Hyperlink"/>
                <w:b/>
                <w:bCs/>
                <w:noProof/>
              </w:rPr>
              <w:t>Overview and Background</w:t>
            </w:r>
            <w:r>
              <w:rPr>
                <w:noProof/>
                <w:webHidden/>
              </w:rPr>
              <w:tab/>
            </w:r>
            <w:r>
              <w:rPr>
                <w:noProof/>
                <w:webHidden/>
              </w:rPr>
              <w:fldChar w:fldCharType="begin"/>
            </w:r>
            <w:r>
              <w:rPr>
                <w:noProof/>
                <w:webHidden/>
              </w:rPr>
              <w:instrText xml:space="preserve"> PAGEREF _Toc227881845 \h </w:instrText>
            </w:r>
            <w:r>
              <w:rPr>
                <w:noProof/>
                <w:webHidden/>
              </w:rPr>
            </w:r>
            <w:r>
              <w:rPr>
                <w:noProof/>
                <w:webHidden/>
              </w:rPr>
              <w:fldChar w:fldCharType="separate"/>
            </w:r>
            <w:r>
              <w:rPr>
                <w:noProof/>
                <w:webHidden/>
              </w:rPr>
              <w:t>4</w:t>
            </w:r>
            <w:r>
              <w:rPr>
                <w:noProof/>
                <w:webHidden/>
              </w:rPr>
              <w:fldChar w:fldCharType="end"/>
            </w:r>
          </w:hyperlink>
        </w:p>
        <w:p w14:paraId="50E8D035" w14:textId="1BC5B1C5" w:rsidR="006D1FE8" w:rsidRDefault="006D1FE8">
          <w:pPr>
            <w:pStyle w:val="TOC1"/>
            <w:tabs>
              <w:tab w:val="left" w:pos="440"/>
              <w:tab w:val="right" w:leader="dot" w:pos="9016"/>
            </w:tabs>
            <w:rPr>
              <w:rFonts w:eastAsiaTheme="minorEastAsia"/>
              <w:noProof/>
              <w:sz w:val="24"/>
              <w:szCs w:val="24"/>
              <w:lang w:eastAsia="en-GB"/>
            </w:rPr>
          </w:pPr>
          <w:hyperlink w:anchor="_Toc227881846" w:history="1">
            <w:r w:rsidRPr="00291C08">
              <w:rPr>
                <w:rStyle w:val="Hyperlink"/>
                <w:b/>
                <w:bCs/>
                <w:noProof/>
              </w:rPr>
              <w:t>3.</w:t>
            </w:r>
            <w:r>
              <w:rPr>
                <w:rFonts w:eastAsiaTheme="minorEastAsia"/>
                <w:noProof/>
                <w:sz w:val="24"/>
                <w:szCs w:val="24"/>
                <w:lang w:eastAsia="en-GB"/>
              </w:rPr>
              <w:tab/>
            </w:r>
            <w:r w:rsidRPr="00291C08">
              <w:rPr>
                <w:rStyle w:val="Hyperlink"/>
                <w:b/>
                <w:bCs/>
                <w:noProof/>
              </w:rPr>
              <w:t>Strategic Intent</w:t>
            </w:r>
            <w:r>
              <w:rPr>
                <w:noProof/>
                <w:webHidden/>
              </w:rPr>
              <w:tab/>
            </w:r>
            <w:r>
              <w:rPr>
                <w:noProof/>
                <w:webHidden/>
              </w:rPr>
              <w:fldChar w:fldCharType="begin"/>
            </w:r>
            <w:r>
              <w:rPr>
                <w:noProof/>
                <w:webHidden/>
              </w:rPr>
              <w:instrText xml:space="preserve"> PAGEREF _Toc227881846 \h </w:instrText>
            </w:r>
            <w:r>
              <w:rPr>
                <w:noProof/>
                <w:webHidden/>
              </w:rPr>
            </w:r>
            <w:r>
              <w:rPr>
                <w:noProof/>
                <w:webHidden/>
              </w:rPr>
              <w:fldChar w:fldCharType="separate"/>
            </w:r>
            <w:r>
              <w:rPr>
                <w:noProof/>
                <w:webHidden/>
              </w:rPr>
              <w:t>5</w:t>
            </w:r>
            <w:r>
              <w:rPr>
                <w:noProof/>
                <w:webHidden/>
              </w:rPr>
              <w:fldChar w:fldCharType="end"/>
            </w:r>
          </w:hyperlink>
        </w:p>
        <w:p w14:paraId="0E885673" w14:textId="109A7055" w:rsidR="006D1FE8" w:rsidRDefault="006D1FE8">
          <w:pPr>
            <w:pStyle w:val="TOC2"/>
            <w:tabs>
              <w:tab w:val="left" w:pos="960"/>
              <w:tab w:val="right" w:leader="dot" w:pos="9016"/>
            </w:tabs>
            <w:rPr>
              <w:rFonts w:eastAsiaTheme="minorEastAsia"/>
              <w:noProof/>
              <w:sz w:val="24"/>
              <w:szCs w:val="24"/>
              <w:lang w:eastAsia="en-GB"/>
            </w:rPr>
          </w:pPr>
          <w:hyperlink w:anchor="_Toc227881847" w:history="1">
            <w:r w:rsidRPr="00291C08">
              <w:rPr>
                <w:rStyle w:val="Hyperlink"/>
                <w:b/>
                <w:bCs/>
                <w:noProof/>
              </w:rPr>
              <w:t>3.1</w:t>
            </w:r>
            <w:r>
              <w:rPr>
                <w:rFonts w:eastAsiaTheme="minorEastAsia"/>
                <w:noProof/>
                <w:sz w:val="24"/>
                <w:szCs w:val="24"/>
                <w:lang w:eastAsia="en-GB"/>
              </w:rPr>
              <w:tab/>
            </w:r>
            <w:r w:rsidRPr="00291C08">
              <w:rPr>
                <w:rStyle w:val="Hyperlink"/>
                <w:b/>
                <w:bCs/>
                <w:noProof/>
              </w:rPr>
              <w:t>Vision</w:t>
            </w:r>
            <w:r>
              <w:rPr>
                <w:noProof/>
                <w:webHidden/>
              </w:rPr>
              <w:tab/>
            </w:r>
            <w:r>
              <w:rPr>
                <w:noProof/>
                <w:webHidden/>
              </w:rPr>
              <w:fldChar w:fldCharType="begin"/>
            </w:r>
            <w:r>
              <w:rPr>
                <w:noProof/>
                <w:webHidden/>
              </w:rPr>
              <w:instrText xml:space="preserve"> PAGEREF _Toc227881847 \h </w:instrText>
            </w:r>
            <w:r>
              <w:rPr>
                <w:noProof/>
                <w:webHidden/>
              </w:rPr>
            </w:r>
            <w:r>
              <w:rPr>
                <w:noProof/>
                <w:webHidden/>
              </w:rPr>
              <w:fldChar w:fldCharType="separate"/>
            </w:r>
            <w:r>
              <w:rPr>
                <w:noProof/>
                <w:webHidden/>
              </w:rPr>
              <w:t>5</w:t>
            </w:r>
            <w:r>
              <w:rPr>
                <w:noProof/>
                <w:webHidden/>
              </w:rPr>
              <w:fldChar w:fldCharType="end"/>
            </w:r>
          </w:hyperlink>
        </w:p>
        <w:p w14:paraId="1F694169" w14:textId="596E2345" w:rsidR="006D1FE8" w:rsidRDefault="006D1FE8">
          <w:pPr>
            <w:pStyle w:val="TOC2"/>
            <w:tabs>
              <w:tab w:val="left" w:pos="960"/>
              <w:tab w:val="right" w:leader="dot" w:pos="9016"/>
            </w:tabs>
            <w:rPr>
              <w:rFonts w:eastAsiaTheme="minorEastAsia"/>
              <w:noProof/>
              <w:sz w:val="24"/>
              <w:szCs w:val="24"/>
              <w:lang w:eastAsia="en-GB"/>
            </w:rPr>
          </w:pPr>
          <w:hyperlink w:anchor="_Toc227881848" w:history="1">
            <w:r w:rsidRPr="00291C08">
              <w:rPr>
                <w:rStyle w:val="Hyperlink"/>
                <w:b/>
                <w:bCs/>
                <w:noProof/>
              </w:rPr>
              <w:t>3.2</w:t>
            </w:r>
            <w:r>
              <w:rPr>
                <w:rFonts w:eastAsiaTheme="minorEastAsia"/>
                <w:noProof/>
                <w:sz w:val="24"/>
                <w:szCs w:val="24"/>
                <w:lang w:eastAsia="en-GB"/>
              </w:rPr>
              <w:tab/>
            </w:r>
            <w:r w:rsidRPr="00291C08">
              <w:rPr>
                <w:rStyle w:val="Hyperlink"/>
                <w:b/>
                <w:bCs/>
                <w:noProof/>
              </w:rPr>
              <w:t>Mission</w:t>
            </w:r>
            <w:r>
              <w:rPr>
                <w:noProof/>
                <w:webHidden/>
              </w:rPr>
              <w:tab/>
            </w:r>
            <w:r>
              <w:rPr>
                <w:noProof/>
                <w:webHidden/>
              </w:rPr>
              <w:fldChar w:fldCharType="begin"/>
            </w:r>
            <w:r>
              <w:rPr>
                <w:noProof/>
                <w:webHidden/>
              </w:rPr>
              <w:instrText xml:space="preserve"> PAGEREF _Toc227881848 \h </w:instrText>
            </w:r>
            <w:r>
              <w:rPr>
                <w:noProof/>
                <w:webHidden/>
              </w:rPr>
            </w:r>
            <w:r>
              <w:rPr>
                <w:noProof/>
                <w:webHidden/>
              </w:rPr>
              <w:fldChar w:fldCharType="separate"/>
            </w:r>
            <w:r>
              <w:rPr>
                <w:noProof/>
                <w:webHidden/>
              </w:rPr>
              <w:t>5</w:t>
            </w:r>
            <w:r>
              <w:rPr>
                <w:noProof/>
                <w:webHidden/>
              </w:rPr>
              <w:fldChar w:fldCharType="end"/>
            </w:r>
          </w:hyperlink>
        </w:p>
        <w:p w14:paraId="23FF2580" w14:textId="0AD840C1" w:rsidR="006D1FE8" w:rsidRDefault="006D1FE8">
          <w:pPr>
            <w:pStyle w:val="TOC2"/>
            <w:tabs>
              <w:tab w:val="left" w:pos="960"/>
              <w:tab w:val="right" w:leader="dot" w:pos="9016"/>
            </w:tabs>
            <w:rPr>
              <w:rFonts w:eastAsiaTheme="minorEastAsia"/>
              <w:noProof/>
              <w:sz w:val="24"/>
              <w:szCs w:val="24"/>
              <w:lang w:eastAsia="en-GB"/>
            </w:rPr>
          </w:pPr>
          <w:hyperlink w:anchor="_Toc227881849" w:history="1">
            <w:r w:rsidRPr="00291C08">
              <w:rPr>
                <w:rStyle w:val="Hyperlink"/>
                <w:b/>
                <w:bCs/>
                <w:noProof/>
              </w:rPr>
              <w:t>3.3</w:t>
            </w:r>
            <w:r>
              <w:rPr>
                <w:rFonts w:eastAsiaTheme="minorEastAsia"/>
                <w:noProof/>
                <w:sz w:val="24"/>
                <w:szCs w:val="24"/>
                <w:lang w:eastAsia="en-GB"/>
              </w:rPr>
              <w:tab/>
            </w:r>
            <w:r w:rsidRPr="00291C08">
              <w:rPr>
                <w:rStyle w:val="Hyperlink"/>
                <w:b/>
                <w:bCs/>
                <w:noProof/>
              </w:rPr>
              <w:t>Objectives</w:t>
            </w:r>
            <w:r>
              <w:rPr>
                <w:noProof/>
                <w:webHidden/>
              </w:rPr>
              <w:tab/>
            </w:r>
            <w:r>
              <w:rPr>
                <w:noProof/>
                <w:webHidden/>
              </w:rPr>
              <w:fldChar w:fldCharType="begin"/>
            </w:r>
            <w:r>
              <w:rPr>
                <w:noProof/>
                <w:webHidden/>
              </w:rPr>
              <w:instrText xml:space="preserve"> PAGEREF _Toc227881849 \h </w:instrText>
            </w:r>
            <w:r>
              <w:rPr>
                <w:noProof/>
                <w:webHidden/>
              </w:rPr>
            </w:r>
            <w:r>
              <w:rPr>
                <w:noProof/>
                <w:webHidden/>
              </w:rPr>
              <w:fldChar w:fldCharType="separate"/>
            </w:r>
            <w:r>
              <w:rPr>
                <w:noProof/>
                <w:webHidden/>
              </w:rPr>
              <w:t>6</w:t>
            </w:r>
            <w:r>
              <w:rPr>
                <w:noProof/>
                <w:webHidden/>
              </w:rPr>
              <w:fldChar w:fldCharType="end"/>
            </w:r>
          </w:hyperlink>
        </w:p>
        <w:p w14:paraId="0E4E5680" w14:textId="134AE57E" w:rsidR="006D1FE8" w:rsidRDefault="006D1FE8">
          <w:pPr>
            <w:pStyle w:val="TOC1"/>
            <w:tabs>
              <w:tab w:val="left" w:pos="440"/>
              <w:tab w:val="right" w:leader="dot" w:pos="9016"/>
            </w:tabs>
            <w:rPr>
              <w:rFonts w:eastAsiaTheme="minorEastAsia"/>
              <w:noProof/>
              <w:sz w:val="24"/>
              <w:szCs w:val="24"/>
              <w:lang w:eastAsia="en-GB"/>
            </w:rPr>
          </w:pPr>
          <w:hyperlink w:anchor="_Toc227881850" w:history="1">
            <w:r w:rsidRPr="00291C08">
              <w:rPr>
                <w:rStyle w:val="Hyperlink"/>
                <w:b/>
                <w:bCs/>
                <w:noProof/>
              </w:rPr>
              <w:t>4</w:t>
            </w:r>
            <w:r>
              <w:rPr>
                <w:rFonts w:eastAsiaTheme="minorEastAsia"/>
                <w:noProof/>
                <w:sz w:val="24"/>
                <w:szCs w:val="24"/>
                <w:lang w:eastAsia="en-GB"/>
              </w:rPr>
              <w:tab/>
            </w:r>
            <w:r w:rsidRPr="00291C08">
              <w:rPr>
                <w:rStyle w:val="Hyperlink"/>
                <w:b/>
                <w:bCs/>
                <w:noProof/>
              </w:rPr>
              <w:t>Current Performance</w:t>
            </w:r>
            <w:r>
              <w:rPr>
                <w:noProof/>
                <w:webHidden/>
              </w:rPr>
              <w:tab/>
            </w:r>
            <w:r>
              <w:rPr>
                <w:noProof/>
                <w:webHidden/>
              </w:rPr>
              <w:fldChar w:fldCharType="begin"/>
            </w:r>
            <w:r>
              <w:rPr>
                <w:noProof/>
                <w:webHidden/>
              </w:rPr>
              <w:instrText xml:space="preserve"> PAGEREF _Toc227881850 \h </w:instrText>
            </w:r>
            <w:r>
              <w:rPr>
                <w:noProof/>
                <w:webHidden/>
              </w:rPr>
            </w:r>
            <w:r>
              <w:rPr>
                <w:noProof/>
                <w:webHidden/>
              </w:rPr>
              <w:fldChar w:fldCharType="separate"/>
            </w:r>
            <w:r>
              <w:rPr>
                <w:noProof/>
                <w:webHidden/>
              </w:rPr>
              <w:t>6</w:t>
            </w:r>
            <w:r>
              <w:rPr>
                <w:noProof/>
                <w:webHidden/>
              </w:rPr>
              <w:fldChar w:fldCharType="end"/>
            </w:r>
          </w:hyperlink>
        </w:p>
        <w:p w14:paraId="6E592C69" w14:textId="75636AB1" w:rsidR="006D1FE8" w:rsidRDefault="006D1FE8">
          <w:pPr>
            <w:pStyle w:val="TOC1"/>
            <w:tabs>
              <w:tab w:val="left" w:pos="440"/>
              <w:tab w:val="right" w:leader="dot" w:pos="9016"/>
            </w:tabs>
            <w:rPr>
              <w:rFonts w:eastAsiaTheme="minorEastAsia"/>
              <w:noProof/>
              <w:sz w:val="24"/>
              <w:szCs w:val="24"/>
              <w:lang w:eastAsia="en-GB"/>
            </w:rPr>
          </w:pPr>
          <w:hyperlink w:anchor="_Toc227881851" w:history="1">
            <w:r w:rsidRPr="00291C08">
              <w:rPr>
                <w:rStyle w:val="Hyperlink"/>
                <w:b/>
                <w:bCs/>
                <w:noProof/>
              </w:rPr>
              <w:t>5</w:t>
            </w:r>
            <w:r>
              <w:rPr>
                <w:rFonts w:eastAsiaTheme="minorEastAsia"/>
                <w:noProof/>
                <w:sz w:val="24"/>
                <w:szCs w:val="24"/>
                <w:lang w:eastAsia="en-GB"/>
              </w:rPr>
              <w:tab/>
            </w:r>
            <w:r w:rsidRPr="00291C08">
              <w:rPr>
                <w:rStyle w:val="Hyperlink"/>
                <w:b/>
                <w:bCs/>
                <w:noProof/>
              </w:rPr>
              <w:t>Strategy Analysis</w:t>
            </w:r>
            <w:r>
              <w:rPr>
                <w:noProof/>
                <w:webHidden/>
              </w:rPr>
              <w:tab/>
            </w:r>
            <w:r>
              <w:rPr>
                <w:noProof/>
                <w:webHidden/>
              </w:rPr>
              <w:fldChar w:fldCharType="begin"/>
            </w:r>
            <w:r>
              <w:rPr>
                <w:noProof/>
                <w:webHidden/>
              </w:rPr>
              <w:instrText xml:space="preserve"> PAGEREF _Toc227881851 \h </w:instrText>
            </w:r>
            <w:r>
              <w:rPr>
                <w:noProof/>
                <w:webHidden/>
              </w:rPr>
            </w:r>
            <w:r>
              <w:rPr>
                <w:noProof/>
                <w:webHidden/>
              </w:rPr>
              <w:fldChar w:fldCharType="separate"/>
            </w:r>
            <w:r>
              <w:rPr>
                <w:noProof/>
                <w:webHidden/>
              </w:rPr>
              <w:t>7</w:t>
            </w:r>
            <w:r>
              <w:rPr>
                <w:noProof/>
                <w:webHidden/>
              </w:rPr>
              <w:fldChar w:fldCharType="end"/>
            </w:r>
          </w:hyperlink>
        </w:p>
        <w:p w14:paraId="6E09B606" w14:textId="78604045" w:rsidR="006D1FE8" w:rsidRDefault="006D1FE8">
          <w:pPr>
            <w:pStyle w:val="TOC2"/>
            <w:tabs>
              <w:tab w:val="left" w:pos="960"/>
              <w:tab w:val="right" w:leader="dot" w:pos="9016"/>
            </w:tabs>
            <w:rPr>
              <w:rFonts w:eastAsiaTheme="minorEastAsia"/>
              <w:noProof/>
              <w:sz w:val="24"/>
              <w:szCs w:val="24"/>
              <w:lang w:eastAsia="en-GB"/>
            </w:rPr>
          </w:pPr>
          <w:hyperlink w:anchor="_Toc227881852" w:history="1">
            <w:r w:rsidRPr="00291C08">
              <w:rPr>
                <w:rStyle w:val="Hyperlink"/>
                <w:noProof/>
              </w:rPr>
              <w:t>5.1</w:t>
            </w:r>
            <w:r>
              <w:rPr>
                <w:rFonts w:eastAsiaTheme="minorEastAsia"/>
                <w:noProof/>
                <w:sz w:val="24"/>
                <w:szCs w:val="24"/>
                <w:lang w:eastAsia="en-GB"/>
              </w:rPr>
              <w:tab/>
            </w:r>
            <w:r w:rsidRPr="00291C08">
              <w:rPr>
                <w:rStyle w:val="Hyperlink"/>
                <w:noProof/>
              </w:rPr>
              <w:t>External Environmental Audit-PESTEL Analysis</w:t>
            </w:r>
            <w:r>
              <w:rPr>
                <w:noProof/>
                <w:webHidden/>
              </w:rPr>
              <w:tab/>
            </w:r>
            <w:r>
              <w:rPr>
                <w:noProof/>
                <w:webHidden/>
              </w:rPr>
              <w:fldChar w:fldCharType="begin"/>
            </w:r>
            <w:r>
              <w:rPr>
                <w:noProof/>
                <w:webHidden/>
              </w:rPr>
              <w:instrText xml:space="preserve"> PAGEREF _Toc227881852 \h </w:instrText>
            </w:r>
            <w:r>
              <w:rPr>
                <w:noProof/>
                <w:webHidden/>
              </w:rPr>
            </w:r>
            <w:r>
              <w:rPr>
                <w:noProof/>
                <w:webHidden/>
              </w:rPr>
              <w:fldChar w:fldCharType="separate"/>
            </w:r>
            <w:r>
              <w:rPr>
                <w:noProof/>
                <w:webHidden/>
              </w:rPr>
              <w:t>7</w:t>
            </w:r>
            <w:r>
              <w:rPr>
                <w:noProof/>
                <w:webHidden/>
              </w:rPr>
              <w:fldChar w:fldCharType="end"/>
            </w:r>
          </w:hyperlink>
        </w:p>
        <w:p w14:paraId="0598E404" w14:textId="38F8613A" w:rsidR="006D1FE8" w:rsidRDefault="006D1FE8">
          <w:pPr>
            <w:pStyle w:val="TOC2"/>
            <w:tabs>
              <w:tab w:val="left" w:pos="960"/>
              <w:tab w:val="right" w:leader="dot" w:pos="9016"/>
            </w:tabs>
            <w:rPr>
              <w:rFonts w:eastAsiaTheme="minorEastAsia"/>
              <w:noProof/>
              <w:sz w:val="24"/>
              <w:szCs w:val="24"/>
              <w:lang w:eastAsia="en-GB"/>
            </w:rPr>
          </w:pPr>
          <w:hyperlink w:anchor="_Toc227881853" w:history="1">
            <w:r w:rsidRPr="00291C08">
              <w:rPr>
                <w:rStyle w:val="Hyperlink"/>
                <w:noProof/>
              </w:rPr>
              <w:t>5.2</w:t>
            </w:r>
            <w:r>
              <w:rPr>
                <w:rFonts w:eastAsiaTheme="minorEastAsia"/>
                <w:noProof/>
                <w:sz w:val="24"/>
                <w:szCs w:val="24"/>
                <w:lang w:eastAsia="en-GB"/>
              </w:rPr>
              <w:tab/>
            </w:r>
            <w:r w:rsidRPr="00291C08">
              <w:rPr>
                <w:rStyle w:val="Hyperlink"/>
                <w:noProof/>
              </w:rPr>
              <w:t>External Audit -Porter’s Five Forces</w:t>
            </w:r>
            <w:r>
              <w:rPr>
                <w:noProof/>
                <w:webHidden/>
              </w:rPr>
              <w:tab/>
            </w:r>
            <w:r>
              <w:rPr>
                <w:noProof/>
                <w:webHidden/>
              </w:rPr>
              <w:fldChar w:fldCharType="begin"/>
            </w:r>
            <w:r>
              <w:rPr>
                <w:noProof/>
                <w:webHidden/>
              </w:rPr>
              <w:instrText xml:space="preserve"> PAGEREF _Toc227881853 \h </w:instrText>
            </w:r>
            <w:r>
              <w:rPr>
                <w:noProof/>
                <w:webHidden/>
              </w:rPr>
            </w:r>
            <w:r>
              <w:rPr>
                <w:noProof/>
                <w:webHidden/>
              </w:rPr>
              <w:fldChar w:fldCharType="separate"/>
            </w:r>
            <w:r>
              <w:rPr>
                <w:noProof/>
                <w:webHidden/>
              </w:rPr>
              <w:t>8</w:t>
            </w:r>
            <w:r>
              <w:rPr>
                <w:noProof/>
                <w:webHidden/>
              </w:rPr>
              <w:fldChar w:fldCharType="end"/>
            </w:r>
          </w:hyperlink>
        </w:p>
        <w:p w14:paraId="55702D37" w14:textId="1D31720E" w:rsidR="006D1FE8" w:rsidRDefault="006D1FE8">
          <w:pPr>
            <w:pStyle w:val="TOC2"/>
            <w:tabs>
              <w:tab w:val="left" w:pos="960"/>
              <w:tab w:val="right" w:leader="dot" w:pos="9016"/>
            </w:tabs>
            <w:rPr>
              <w:rFonts w:eastAsiaTheme="minorEastAsia"/>
              <w:noProof/>
              <w:sz w:val="24"/>
              <w:szCs w:val="24"/>
              <w:lang w:eastAsia="en-GB"/>
            </w:rPr>
          </w:pPr>
          <w:hyperlink w:anchor="_Toc227881854" w:history="1">
            <w:r w:rsidRPr="00291C08">
              <w:rPr>
                <w:rStyle w:val="Hyperlink"/>
                <w:noProof/>
              </w:rPr>
              <w:t>5.3</w:t>
            </w:r>
            <w:r>
              <w:rPr>
                <w:rFonts w:eastAsiaTheme="minorEastAsia"/>
                <w:noProof/>
                <w:sz w:val="24"/>
                <w:szCs w:val="24"/>
                <w:lang w:eastAsia="en-GB"/>
              </w:rPr>
              <w:tab/>
            </w:r>
            <w:r w:rsidRPr="00291C08">
              <w:rPr>
                <w:rStyle w:val="Hyperlink"/>
                <w:noProof/>
              </w:rPr>
              <w:t>Internal Environmental Audit -Swot Analysis</w:t>
            </w:r>
            <w:r>
              <w:rPr>
                <w:noProof/>
                <w:webHidden/>
              </w:rPr>
              <w:tab/>
            </w:r>
            <w:r>
              <w:rPr>
                <w:noProof/>
                <w:webHidden/>
              </w:rPr>
              <w:fldChar w:fldCharType="begin"/>
            </w:r>
            <w:r>
              <w:rPr>
                <w:noProof/>
                <w:webHidden/>
              </w:rPr>
              <w:instrText xml:space="preserve"> PAGEREF _Toc227881854 \h </w:instrText>
            </w:r>
            <w:r>
              <w:rPr>
                <w:noProof/>
                <w:webHidden/>
              </w:rPr>
            </w:r>
            <w:r>
              <w:rPr>
                <w:noProof/>
                <w:webHidden/>
              </w:rPr>
              <w:fldChar w:fldCharType="separate"/>
            </w:r>
            <w:r>
              <w:rPr>
                <w:noProof/>
                <w:webHidden/>
              </w:rPr>
              <w:t>10</w:t>
            </w:r>
            <w:r>
              <w:rPr>
                <w:noProof/>
                <w:webHidden/>
              </w:rPr>
              <w:fldChar w:fldCharType="end"/>
            </w:r>
          </w:hyperlink>
        </w:p>
        <w:p w14:paraId="4B8386EC" w14:textId="1C3A2A53" w:rsidR="006D1FE8" w:rsidRDefault="006D1FE8">
          <w:pPr>
            <w:pStyle w:val="TOC2"/>
            <w:tabs>
              <w:tab w:val="left" w:pos="960"/>
              <w:tab w:val="right" w:leader="dot" w:pos="9016"/>
            </w:tabs>
            <w:rPr>
              <w:rFonts w:eastAsiaTheme="minorEastAsia"/>
              <w:noProof/>
              <w:sz w:val="24"/>
              <w:szCs w:val="24"/>
              <w:lang w:eastAsia="en-GB"/>
            </w:rPr>
          </w:pPr>
          <w:hyperlink w:anchor="_Toc227881855" w:history="1">
            <w:r w:rsidRPr="00291C08">
              <w:rPr>
                <w:rStyle w:val="Hyperlink"/>
                <w:noProof/>
              </w:rPr>
              <w:t>5.4</w:t>
            </w:r>
            <w:r>
              <w:rPr>
                <w:rFonts w:eastAsiaTheme="minorEastAsia"/>
                <w:noProof/>
                <w:sz w:val="24"/>
                <w:szCs w:val="24"/>
                <w:lang w:eastAsia="en-GB"/>
              </w:rPr>
              <w:tab/>
            </w:r>
            <w:r w:rsidRPr="00291C08">
              <w:rPr>
                <w:rStyle w:val="Hyperlink"/>
                <w:noProof/>
              </w:rPr>
              <w:t>Internal Audit -VRIO Analysis</w:t>
            </w:r>
            <w:r>
              <w:rPr>
                <w:noProof/>
                <w:webHidden/>
              </w:rPr>
              <w:tab/>
            </w:r>
            <w:r>
              <w:rPr>
                <w:noProof/>
                <w:webHidden/>
              </w:rPr>
              <w:fldChar w:fldCharType="begin"/>
            </w:r>
            <w:r>
              <w:rPr>
                <w:noProof/>
                <w:webHidden/>
              </w:rPr>
              <w:instrText xml:space="preserve"> PAGEREF _Toc227881855 \h </w:instrText>
            </w:r>
            <w:r>
              <w:rPr>
                <w:noProof/>
                <w:webHidden/>
              </w:rPr>
            </w:r>
            <w:r>
              <w:rPr>
                <w:noProof/>
                <w:webHidden/>
              </w:rPr>
              <w:fldChar w:fldCharType="separate"/>
            </w:r>
            <w:r>
              <w:rPr>
                <w:noProof/>
                <w:webHidden/>
              </w:rPr>
              <w:t>10</w:t>
            </w:r>
            <w:r>
              <w:rPr>
                <w:noProof/>
                <w:webHidden/>
              </w:rPr>
              <w:fldChar w:fldCharType="end"/>
            </w:r>
          </w:hyperlink>
        </w:p>
        <w:p w14:paraId="0FDBF3D0" w14:textId="2098727B" w:rsidR="006D1FE8" w:rsidRDefault="006D1FE8">
          <w:pPr>
            <w:pStyle w:val="TOC1"/>
            <w:tabs>
              <w:tab w:val="left" w:pos="440"/>
              <w:tab w:val="right" w:leader="dot" w:pos="9016"/>
            </w:tabs>
            <w:rPr>
              <w:rFonts w:eastAsiaTheme="minorEastAsia"/>
              <w:noProof/>
              <w:sz w:val="24"/>
              <w:szCs w:val="24"/>
              <w:lang w:eastAsia="en-GB"/>
            </w:rPr>
          </w:pPr>
          <w:hyperlink w:anchor="_Toc227881856" w:history="1">
            <w:r w:rsidRPr="00291C08">
              <w:rPr>
                <w:rStyle w:val="Hyperlink"/>
                <w:b/>
                <w:bCs/>
                <w:noProof/>
              </w:rPr>
              <w:t>6</w:t>
            </w:r>
            <w:r>
              <w:rPr>
                <w:rFonts w:eastAsiaTheme="minorEastAsia"/>
                <w:noProof/>
                <w:sz w:val="24"/>
                <w:szCs w:val="24"/>
                <w:lang w:eastAsia="en-GB"/>
              </w:rPr>
              <w:tab/>
            </w:r>
            <w:r w:rsidRPr="00291C08">
              <w:rPr>
                <w:rStyle w:val="Hyperlink"/>
                <w:b/>
                <w:bCs/>
                <w:noProof/>
              </w:rPr>
              <w:t>Strategy Formulation</w:t>
            </w:r>
            <w:r>
              <w:rPr>
                <w:noProof/>
                <w:webHidden/>
              </w:rPr>
              <w:tab/>
            </w:r>
            <w:r>
              <w:rPr>
                <w:noProof/>
                <w:webHidden/>
              </w:rPr>
              <w:fldChar w:fldCharType="begin"/>
            </w:r>
            <w:r>
              <w:rPr>
                <w:noProof/>
                <w:webHidden/>
              </w:rPr>
              <w:instrText xml:space="preserve"> PAGEREF _Toc227881856 \h </w:instrText>
            </w:r>
            <w:r>
              <w:rPr>
                <w:noProof/>
                <w:webHidden/>
              </w:rPr>
            </w:r>
            <w:r>
              <w:rPr>
                <w:noProof/>
                <w:webHidden/>
              </w:rPr>
              <w:fldChar w:fldCharType="separate"/>
            </w:r>
            <w:r>
              <w:rPr>
                <w:noProof/>
                <w:webHidden/>
              </w:rPr>
              <w:t>11</w:t>
            </w:r>
            <w:r>
              <w:rPr>
                <w:noProof/>
                <w:webHidden/>
              </w:rPr>
              <w:fldChar w:fldCharType="end"/>
            </w:r>
          </w:hyperlink>
        </w:p>
        <w:p w14:paraId="04253182" w14:textId="470D49C6" w:rsidR="006D1FE8" w:rsidRDefault="006D1FE8">
          <w:pPr>
            <w:pStyle w:val="TOC2"/>
            <w:tabs>
              <w:tab w:val="right" w:leader="dot" w:pos="9016"/>
            </w:tabs>
            <w:rPr>
              <w:rFonts w:eastAsiaTheme="minorEastAsia"/>
              <w:noProof/>
              <w:sz w:val="24"/>
              <w:szCs w:val="24"/>
              <w:lang w:eastAsia="en-GB"/>
            </w:rPr>
          </w:pPr>
          <w:hyperlink w:anchor="_Toc227881857" w:history="1">
            <w:r w:rsidRPr="00291C08">
              <w:rPr>
                <w:rStyle w:val="Hyperlink"/>
                <w:noProof/>
              </w:rPr>
              <w:t>6.1 Ev Production Leadership</w:t>
            </w:r>
            <w:r>
              <w:rPr>
                <w:noProof/>
                <w:webHidden/>
              </w:rPr>
              <w:tab/>
            </w:r>
            <w:r>
              <w:rPr>
                <w:noProof/>
                <w:webHidden/>
              </w:rPr>
              <w:fldChar w:fldCharType="begin"/>
            </w:r>
            <w:r>
              <w:rPr>
                <w:noProof/>
                <w:webHidden/>
              </w:rPr>
              <w:instrText xml:space="preserve"> PAGEREF _Toc227881857 \h </w:instrText>
            </w:r>
            <w:r>
              <w:rPr>
                <w:noProof/>
                <w:webHidden/>
              </w:rPr>
            </w:r>
            <w:r>
              <w:rPr>
                <w:noProof/>
                <w:webHidden/>
              </w:rPr>
              <w:fldChar w:fldCharType="separate"/>
            </w:r>
            <w:r>
              <w:rPr>
                <w:noProof/>
                <w:webHidden/>
              </w:rPr>
              <w:t>11</w:t>
            </w:r>
            <w:r>
              <w:rPr>
                <w:noProof/>
                <w:webHidden/>
              </w:rPr>
              <w:fldChar w:fldCharType="end"/>
            </w:r>
          </w:hyperlink>
        </w:p>
        <w:p w14:paraId="21E8EB85" w14:textId="56DC4E30" w:rsidR="006D1FE8" w:rsidRDefault="006D1FE8">
          <w:pPr>
            <w:pStyle w:val="TOC2"/>
            <w:tabs>
              <w:tab w:val="left" w:pos="720"/>
              <w:tab w:val="right" w:leader="dot" w:pos="9016"/>
            </w:tabs>
            <w:rPr>
              <w:rFonts w:eastAsiaTheme="minorEastAsia"/>
              <w:noProof/>
              <w:sz w:val="24"/>
              <w:szCs w:val="24"/>
              <w:lang w:eastAsia="en-GB"/>
            </w:rPr>
          </w:pPr>
          <w:hyperlink w:anchor="_Toc227881858" w:history="1">
            <w:r w:rsidRPr="00291C08">
              <w:rPr>
                <w:rStyle w:val="Hyperlink"/>
                <w:noProof/>
              </w:rPr>
              <w:t>6.</w:t>
            </w:r>
            <w:r>
              <w:rPr>
                <w:rFonts w:eastAsiaTheme="minorEastAsia"/>
                <w:noProof/>
                <w:sz w:val="24"/>
                <w:szCs w:val="24"/>
                <w:lang w:eastAsia="en-GB"/>
              </w:rPr>
              <w:tab/>
            </w:r>
            <w:r w:rsidRPr="00291C08">
              <w:rPr>
                <w:rStyle w:val="Hyperlink"/>
                <w:noProof/>
              </w:rPr>
              <w:t>2 Supply Chain Resilience and Localisation</w:t>
            </w:r>
            <w:r>
              <w:rPr>
                <w:noProof/>
                <w:webHidden/>
              </w:rPr>
              <w:tab/>
            </w:r>
            <w:r>
              <w:rPr>
                <w:noProof/>
                <w:webHidden/>
              </w:rPr>
              <w:fldChar w:fldCharType="begin"/>
            </w:r>
            <w:r>
              <w:rPr>
                <w:noProof/>
                <w:webHidden/>
              </w:rPr>
              <w:instrText xml:space="preserve"> PAGEREF _Toc227881858 \h </w:instrText>
            </w:r>
            <w:r>
              <w:rPr>
                <w:noProof/>
                <w:webHidden/>
              </w:rPr>
            </w:r>
            <w:r>
              <w:rPr>
                <w:noProof/>
                <w:webHidden/>
              </w:rPr>
              <w:fldChar w:fldCharType="separate"/>
            </w:r>
            <w:r>
              <w:rPr>
                <w:noProof/>
                <w:webHidden/>
              </w:rPr>
              <w:t>11</w:t>
            </w:r>
            <w:r>
              <w:rPr>
                <w:noProof/>
                <w:webHidden/>
              </w:rPr>
              <w:fldChar w:fldCharType="end"/>
            </w:r>
          </w:hyperlink>
        </w:p>
        <w:p w14:paraId="7FA015FE" w14:textId="77CF9899" w:rsidR="006D1FE8" w:rsidRDefault="006D1FE8">
          <w:pPr>
            <w:pStyle w:val="TOC2"/>
            <w:tabs>
              <w:tab w:val="left" w:pos="720"/>
              <w:tab w:val="right" w:leader="dot" w:pos="9016"/>
            </w:tabs>
            <w:rPr>
              <w:rFonts w:eastAsiaTheme="minorEastAsia"/>
              <w:noProof/>
              <w:sz w:val="24"/>
              <w:szCs w:val="24"/>
              <w:lang w:eastAsia="en-GB"/>
            </w:rPr>
          </w:pPr>
          <w:hyperlink w:anchor="_Toc227881859" w:history="1">
            <w:r w:rsidRPr="00291C08">
              <w:rPr>
                <w:rStyle w:val="Hyperlink"/>
                <w:noProof/>
              </w:rPr>
              <w:t>6.</w:t>
            </w:r>
            <w:r>
              <w:rPr>
                <w:rFonts w:eastAsiaTheme="minorEastAsia"/>
                <w:noProof/>
                <w:sz w:val="24"/>
                <w:szCs w:val="24"/>
                <w:lang w:eastAsia="en-GB"/>
              </w:rPr>
              <w:tab/>
            </w:r>
            <w:r w:rsidRPr="00291C08">
              <w:rPr>
                <w:rStyle w:val="Hyperlink"/>
                <w:noProof/>
              </w:rPr>
              <w:t>3 Circular Economy Battery Hub</w:t>
            </w:r>
            <w:r>
              <w:rPr>
                <w:noProof/>
                <w:webHidden/>
              </w:rPr>
              <w:tab/>
            </w:r>
            <w:r>
              <w:rPr>
                <w:noProof/>
                <w:webHidden/>
              </w:rPr>
              <w:fldChar w:fldCharType="begin"/>
            </w:r>
            <w:r>
              <w:rPr>
                <w:noProof/>
                <w:webHidden/>
              </w:rPr>
              <w:instrText xml:space="preserve"> PAGEREF _Toc227881859 \h </w:instrText>
            </w:r>
            <w:r>
              <w:rPr>
                <w:noProof/>
                <w:webHidden/>
              </w:rPr>
            </w:r>
            <w:r>
              <w:rPr>
                <w:noProof/>
                <w:webHidden/>
              </w:rPr>
              <w:fldChar w:fldCharType="separate"/>
            </w:r>
            <w:r>
              <w:rPr>
                <w:noProof/>
                <w:webHidden/>
              </w:rPr>
              <w:t>12</w:t>
            </w:r>
            <w:r>
              <w:rPr>
                <w:noProof/>
                <w:webHidden/>
              </w:rPr>
              <w:fldChar w:fldCharType="end"/>
            </w:r>
          </w:hyperlink>
        </w:p>
        <w:p w14:paraId="3B78B8D2" w14:textId="06C2429E" w:rsidR="006D1FE8" w:rsidRDefault="006D1FE8">
          <w:pPr>
            <w:pStyle w:val="TOC1"/>
            <w:tabs>
              <w:tab w:val="left" w:pos="440"/>
              <w:tab w:val="right" w:leader="dot" w:pos="9016"/>
            </w:tabs>
            <w:rPr>
              <w:rFonts w:eastAsiaTheme="minorEastAsia"/>
              <w:noProof/>
              <w:sz w:val="24"/>
              <w:szCs w:val="24"/>
              <w:lang w:eastAsia="en-GB"/>
            </w:rPr>
          </w:pPr>
          <w:hyperlink w:anchor="_Toc227881860" w:history="1">
            <w:r w:rsidRPr="00291C08">
              <w:rPr>
                <w:rStyle w:val="Hyperlink"/>
                <w:b/>
                <w:bCs/>
                <w:noProof/>
              </w:rPr>
              <w:t>7</w:t>
            </w:r>
            <w:r>
              <w:rPr>
                <w:rFonts w:eastAsiaTheme="minorEastAsia"/>
                <w:noProof/>
                <w:sz w:val="24"/>
                <w:szCs w:val="24"/>
                <w:lang w:eastAsia="en-GB"/>
              </w:rPr>
              <w:tab/>
            </w:r>
            <w:r w:rsidRPr="00291C08">
              <w:rPr>
                <w:rStyle w:val="Hyperlink"/>
                <w:b/>
                <w:bCs/>
                <w:noProof/>
              </w:rPr>
              <w:t>Conclusion and Recommendations</w:t>
            </w:r>
            <w:r>
              <w:rPr>
                <w:noProof/>
                <w:webHidden/>
              </w:rPr>
              <w:tab/>
            </w:r>
            <w:r>
              <w:rPr>
                <w:noProof/>
                <w:webHidden/>
              </w:rPr>
              <w:fldChar w:fldCharType="begin"/>
            </w:r>
            <w:r>
              <w:rPr>
                <w:noProof/>
                <w:webHidden/>
              </w:rPr>
              <w:instrText xml:space="preserve"> PAGEREF _Toc227881860 \h </w:instrText>
            </w:r>
            <w:r>
              <w:rPr>
                <w:noProof/>
                <w:webHidden/>
              </w:rPr>
            </w:r>
            <w:r>
              <w:rPr>
                <w:noProof/>
                <w:webHidden/>
              </w:rPr>
              <w:fldChar w:fldCharType="separate"/>
            </w:r>
            <w:r>
              <w:rPr>
                <w:noProof/>
                <w:webHidden/>
              </w:rPr>
              <w:t>12</w:t>
            </w:r>
            <w:r>
              <w:rPr>
                <w:noProof/>
                <w:webHidden/>
              </w:rPr>
              <w:fldChar w:fldCharType="end"/>
            </w:r>
          </w:hyperlink>
        </w:p>
        <w:p w14:paraId="21571A65" w14:textId="5785B6C9" w:rsidR="006D1FE8" w:rsidRDefault="006D1FE8">
          <w:pPr>
            <w:pStyle w:val="TOC1"/>
            <w:tabs>
              <w:tab w:val="left" w:pos="440"/>
              <w:tab w:val="right" w:leader="dot" w:pos="9016"/>
            </w:tabs>
            <w:rPr>
              <w:rFonts w:eastAsiaTheme="minorEastAsia"/>
              <w:noProof/>
              <w:sz w:val="24"/>
              <w:szCs w:val="24"/>
              <w:lang w:eastAsia="en-GB"/>
            </w:rPr>
          </w:pPr>
          <w:hyperlink w:anchor="_Toc227881861" w:history="1">
            <w:r w:rsidRPr="00291C08">
              <w:rPr>
                <w:rStyle w:val="Hyperlink"/>
                <w:b/>
                <w:bCs/>
                <w:noProof/>
              </w:rPr>
              <w:t>8</w:t>
            </w:r>
            <w:r>
              <w:rPr>
                <w:rFonts w:eastAsiaTheme="minorEastAsia"/>
                <w:noProof/>
                <w:sz w:val="24"/>
                <w:szCs w:val="24"/>
                <w:lang w:eastAsia="en-GB"/>
              </w:rPr>
              <w:tab/>
            </w:r>
            <w:r w:rsidRPr="00291C08">
              <w:rPr>
                <w:rStyle w:val="Hyperlink"/>
                <w:b/>
                <w:bCs/>
                <w:noProof/>
              </w:rPr>
              <w:t>References</w:t>
            </w:r>
            <w:r>
              <w:rPr>
                <w:noProof/>
                <w:webHidden/>
              </w:rPr>
              <w:tab/>
            </w:r>
            <w:r>
              <w:rPr>
                <w:noProof/>
                <w:webHidden/>
              </w:rPr>
              <w:fldChar w:fldCharType="begin"/>
            </w:r>
            <w:r>
              <w:rPr>
                <w:noProof/>
                <w:webHidden/>
              </w:rPr>
              <w:instrText xml:space="preserve"> PAGEREF _Toc227881861 \h </w:instrText>
            </w:r>
            <w:r>
              <w:rPr>
                <w:noProof/>
                <w:webHidden/>
              </w:rPr>
            </w:r>
            <w:r>
              <w:rPr>
                <w:noProof/>
                <w:webHidden/>
              </w:rPr>
              <w:fldChar w:fldCharType="separate"/>
            </w:r>
            <w:r>
              <w:rPr>
                <w:noProof/>
                <w:webHidden/>
              </w:rPr>
              <w:t>14</w:t>
            </w:r>
            <w:r>
              <w:rPr>
                <w:noProof/>
                <w:webHidden/>
              </w:rPr>
              <w:fldChar w:fldCharType="end"/>
            </w:r>
          </w:hyperlink>
        </w:p>
        <w:p w14:paraId="24371906" w14:textId="259C60D2" w:rsidR="00F0033E" w:rsidRDefault="00F0033E">
          <w:r>
            <w:rPr>
              <w:b/>
              <w:bCs/>
            </w:rPr>
            <w:fldChar w:fldCharType="end"/>
          </w:r>
        </w:p>
      </w:sdtContent>
    </w:sdt>
    <w:p w14:paraId="1391B239" w14:textId="77777777" w:rsidR="00121CB7" w:rsidRDefault="00121CB7"/>
    <w:p w14:paraId="53473655" w14:textId="77777777" w:rsidR="00121CB7" w:rsidRDefault="00121CB7"/>
    <w:p w14:paraId="02EEE0F2" w14:textId="77777777" w:rsidR="00121CB7" w:rsidRDefault="00121CB7"/>
    <w:p w14:paraId="0A29E13F" w14:textId="77777777" w:rsidR="00121CB7" w:rsidRDefault="00121CB7"/>
    <w:p w14:paraId="014E5505" w14:textId="77777777" w:rsidR="00121CB7" w:rsidRDefault="00121CB7"/>
    <w:p w14:paraId="35262938" w14:textId="77777777" w:rsidR="00121CB7" w:rsidRDefault="00121CB7"/>
    <w:p w14:paraId="188F346C" w14:textId="77777777" w:rsidR="00121CB7" w:rsidRDefault="00121CB7"/>
    <w:p w14:paraId="1062C38D" w14:textId="77777777" w:rsidR="00121CB7" w:rsidRDefault="00121CB7"/>
    <w:p w14:paraId="3F0473DE" w14:textId="77777777" w:rsidR="00121CB7" w:rsidRDefault="00121CB7"/>
    <w:p w14:paraId="605E44C0" w14:textId="77777777" w:rsidR="00121CB7" w:rsidRDefault="00121CB7"/>
    <w:p w14:paraId="25B1B26B" w14:textId="77777777" w:rsidR="00121CB7" w:rsidRDefault="00121CB7"/>
    <w:p w14:paraId="4FD710B3" w14:textId="77777777" w:rsidR="00121CB7" w:rsidRDefault="00121CB7"/>
    <w:p w14:paraId="46269BA7" w14:textId="77777777" w:rsidR="00121CB7" w:rsidRDefault="00121CB7"/>
    <w:p w14:paraId="5020C890" w14:textId="77777777" w:rsidR="00121CB7" w:rsidRDefault="00121CB7"/>
    <w:p w14:paraId="695EBB8D" w14:textId="77777777" w:rsidR="00121CB7" w:rsidRDefault="00121CB7"/>
    <w:p w14:paraId="3699E5A0" w14:textId="77777777" w:rsidR="00121CB7" w:rsidRDefault="00121CB7"/>
    <w:p w14:paraId="464BCF18" w14:textId="77777777" w:rsidR="00121CB7" w:rsidRDefault="00121CB7"/>
    <w:p w14:paraId="3C1338C5" w14:textId="77777777" w:rsidR="00121CB7" w:rsidRDefault="00121CB7"/>
    <w:p w14:paraId="4492B0FF" w14:textId="523846D0" w:rsidR="00121CB7" w:rsidRPr="006916AF" w:rsidRDefault="00121CB7" w:rsidP="006916AF">
      <w:pPr>
        <w:pStyle w:val="Heading1"/>
        <w:numPr>
          <w:ilvl w:val="0"/>
          <w:numId w:val="0"/>
        </w:numPr>
        <w:ind w:left="360"/>
        <w:rPr>
          <w:b/>
          <w:bCs/>
        </w:rPr>
      </w:pPr>
      <w:bookmarkStart w:id="3" w:name="_Toc227881843"/>
      <w:r w:rsidRPr="006916AF">
        <w:rPr>
          <w:b/>
          <w:bCs/>
        </w:rPr>
        <w:t>Executive Summary</w:t>
      </w:r>
      <w:bookmarkEnd w:id="3"/>
      <w:r w:rsidRPr="006916AF">
        <w:rPr>
          <w:b/>
          <w:bCs/>
        </w:rPr>
        <w:t xml:space="preserve"> </w:t>
      </w:r>
    </w:p>
    <w:p w14:paraId="5B809B47" w14:textId="77777777" w:rsidR="00443D22" w:rsidRPr="00443D22" w:rsidRDefault="00443D22" w:rsidP="00443D22">
      <w:pPr>
        <w:spacing w:line="360" w:lineRule="auto"/>
        <w:jc w:val="both"/>
        <w:rPr>
          <w:rFonts w:ascii="Arial" w:eastAsia="Times New Roman" w:hAnsi="Arial" w:cs="Arial"/>
          <w:kern w:val="0"/>
          <w:sz w:val="24"/>
          <w:szCs w:val="24"/>
          <w:lang w:eastAsia="en-GB"/>
          <w14:ligatures w14:val="none"/>
        </w:rPr>
      </w:pPr>
      <w:r w:rsidRPr="00443D22">
        <w:rPr>
          <w:rFonts w:ascii="Arial" w:eastAsia="Times New Roman" w:hAnsi="Arial" w:cs="Arial"/>
          <w:kern w:val="0"/>
          <w:sz w:val="24"/>
          <w:szCs w:val="24"/>
          <w:lang w:eastAsia="en-GB"/>
          <w14:ligatures w14:val="none"/>
        </w:rPr>
        <w:t>The purpose of this report is to develop a strategy recommendation for Nissan Motor Manufacturing UK (NMUK), Sunderland home of Nissan’s European manufacturing operations. Situated in an increasingly tumultuous automotive landscape of electrification and geopolitical disruption, NMUK faces its parent organization Nissan’s most precarious period in recent history as it books a 670.9 billion net loss for FY2024 (Nissan Motor Co., Ltd., 2025).</w:t>
      </w:r>
    </w:p>
    <w:p w14:paraId="6CE4E734" w14:textId="6FD1E62E" w:rsidR="006916AF" w:rsidRPr="006916AF" w:rsidRDefault="00443D22" w:rsidP="00443D22">
      <w:pPr>
        <w:spacing w:line="360" w:lineRule="auto"/>
        <w:jc w:val="both"/>
      </w:pPr>
      <w:r w:rsidRPr="00443D22">
        <w:rPr>
          <w:rFonts w:ascii="Arial" w:eastAsia="Times New Roman" w:hAnsi="Arial" w:cs="Arial"/>
          <w:kern w:val="0"/>
          <w:sz w:val="24"/>
          <w:szCs w:val="24"/>
          <w:lang w:eastAsia="en-GB"/>
          <w14:ligatures w14:val="none"/>
        </w:rPr>
        <w:t xml:space="preserve">To survive as a strategic player within Nissan’s manufacturing landscape moving forward, this report dives into PESTEL, Porter’s Five Forces, SWOT, and VRIO analysis of NMUK and its ecosystem. Findings conclude that NMUK has a key opportunity in the creation of its unique EV36Zero integrated factory system, though serious threats from governmental fines and cheap competition persist. Recommendations outline a Focused Differentiation strategy </w:t>
      </w:r>
      <w:proofErr w:type="spellStart"/>
      <w:r w:rsidRPr="00443D22">
        <w:rPr>
          <w:rFonts w:ascii="Arial" w:eastAsia="Times New Roman" w:hAnsi="Arial" w:cs="Arial"/>
          <w:kern w:val="0"/>
          <w:sz w:val="24"/>
          <w:szCs w:val="24"/>
          <w:lang w:eastAsia="en-GB"/>
          <w14:ligatures w14:val="none"/>
        </w:rPr>
        <w:t>centered</w:t>
      </w:r>
      <w:proofErr w:type="spellEnd"/>
      <w:r w:rsidRPr="00443D22">
        <w:rPr>
          <w:rFonts w:ascii="Arial" w:eastAsia="Times New Roman" w:hAnsi="Arial" w:cs="Arial"/>
          <w:kern w:val="0"/>
          <w:sz w:val="24"/>
          <w:szCs w:val="24"/>
          <w:lang w:eastAsia="en-GB"/>
          <w14:ligatures w14:val="none"/>
        </w:rPr>
        <w:t xml:space="preserve"> around securing complete portfolio electrification, urgent acceleration of supplier chain robustness, and NMUK positioning itself as the leader of a circular economy battery hub. By following these strategic pillars, NMUK can reinvent itself from just an automobile assembly factory to a sustainable energy and mobility solutions provider.</w:t>
      </w:r>
    </w:p>
    <w:p w14:paraId="6E18660D" w14:textId="36AA1E9A" w:rsidR="00121CB7" w:rsidRDefault="00121CB7" w:rsidP="006916AF">
      <w:pPr>
        <w:pStyle w:val="Heading1"/>
        <w:numPr>
          <w:ilvl w:val="0"/>
          <w:numId w:val="18"/>
        </w:numPr>
        <w:rPr>
          <w:b/>
          <w:bCs/>
        </w:rPr>
      </w:pPr>
      <w:bookmarkStart w:id="4" w:name="_Toc227881844"/>
      <w:r w:rsidRPr="00121CB7">
        <w:rPr>
          <w:b/>
          <w:bCs/>
        </w:rPr>
        <w:lastRenderedPageBreak/>
        <w:t>Introduction</w:t>
      </w:r>
      <w:bookmarkEnd w:id="4"/>
    </w:p>
    <w:p w14:paraId="21D33449" w14:textId="1D6E9DF7" w:rsidR="00EC2930" w:rsidRPr="00EC2930" w:rsidRDefault="00EC2930" w:rsidP="00EC2930">
      <w:pPr>
        <w:pStyle w:val="NoSpacing"/>
        <w:spacing w:line="360" w:lineRule="auto"/>
        <w:jc w:val="both"/>
        <w:rPr>
          <w:rFonts w:ascii="Arial" w:hAnsi="Arial" w:cs="Arial"/>
          <w:sz w:val="24"/>
          <w:szCs w:val="24"/>
        </w:rPr>
      </w:pPr>
      <w:r w:rsidRPr="00EC2930">
        <w:rPr>
          <w:rFonts w:ascii="Arial" w:hAnsi="Arial" w:cs="Arial"/>
          <w:sz w:val="24"/>
          <w:szCs w:val="24"/>
        </w:rPr>
        <w:t xml:space="preserve">The process of identifying where a business will be headed in the long-term, as well as organising resources and developing abilities to provide the business with a competitive advantage is known as strategic management (Johnson et al., 2023). </w:t>
      </w:r>
      <w:r w:rsidR="00C83DC6">
        <w:rPr>
          <w:rFonts w:ascii="Arial" w:hAnsi="Arial" w:cs="Arial"/>
          <w:sz w:val="24"/>
          <w:szCs w:val="24"/>
        </w:rPr>
        <w:t xml:space="preserve">Weil </w:t>
      </w:r>
      <w:r w:rsidRPr="00EC2930">
        <w:rPr>
          <w:rFonts w:ascii="Arial" w:hAnsi="Arial" w:cs="Arial"/>
          <w:sz w:val="24"/>
          <w:szCs w:val="24"/>
        </w:rPr>
        <w:t>(1985) emphasises that to execute strategy effectively, a firm must choose a valuable position that is different from competitors and perform activities unlike these rivals. Strategic management is especially critical for NMUK because if the company does not discover a clear strategy, it will not survive (Johnson et al., 2023).</w:t>
      </w:r>
    </w:p>
    <w:p w14:paraId="3E89A5AB" w14:textId="1E7F8A22" w:rsidR="00EC2930" w:rsidRPr="00EC2930" w:rsidRDefault="00EC2930" w:rsidP="00EC2930">
      <w:pPr>
        <w:pStyle w:val="NoSpacing"/>
        <w:spacing w:line="360" w:lineRule="auto"/>
        <w:jc w:val="both"/>
        <w:rPr>
          <w:rFonts w:ascii="Arial" w:hAnsi="Arial" w:cs="Arial"/>
          <w:sz w:val="24"/>
          <w:szCs w:val="24"/>
        </w:rPr>
      </w:pPr>
      <w:r w:rsidRPr="00EC2930">
        <w:rPr>
          <w:rFonts w:ascii="Arial" w:hAnsi="Arial" w:cs="Arial"/>
          <w:sz w:val="24"/>
          <w:szCs w:val="24"/>
        </w:rPr>
        <w:t>The automotive sector is currently going through a period of significant change. Four major trends are converging to disrupt the century-old industry model: accelerating electrification &amp; digitalisation, increased environmental regulation, and supply chain vulnerabilities (Teece, 20</w:t>
      </w:r>
      <w:r w:rsidR="00C443CB">
        <w:rPr>
          <w:rFonts w:ascii="Arial" w:hAnsi="Arial" w:cs="Arial"/>
          <w:sz w:val="24"/>
          <w:szCs w:val="24"/>
        </w:rPr>
        <w:t>17</w:t>
      </w:r>
      <w:r w:rsidRPr="00EC2930">
        <w:rPr>
          <w:rFonts w:ascii="Arial" w:hAnsi="Arial" w:cs="Arial"/>
          <w:sz w:val="24"/>
          <w:szCs w:val="24"/>
        </w:rPr>
        <w:t xml:space="preserve">). </w:t>
      </w:r>
      <w:proofErr w:type="gramStart"/>
      <w:r w:rsidR="00C72B40">
        <w:rPr>
          <w:rFonts w:ascii="Arial" w:hAnsi="Arial" w:cs="Arial"/>
          <w:sz w:val="24"/>
          <w:szCs w:val="24"/>
        </w:rPr>
        <w:t>Also</w:t>
      </w:r>
      <w:proofErr w:type="gramEnd"/>
      <w:r w:rsidR="00C72B40">
        <w:rPr>
          <w:rFonts w:ascii="Arial" w:hAnsi="Arial" w:cs="Arial"/>
          <w:sz w:val="24"/>
          <w:szCs w:val="24"/>
        </w:rPr>
        <w:t xml:space="preserve"> </w:t>
      </w:r>
      <w:r w:rsidRPr="00EC2930">
        <w:rPr>
          <w:rFonts w:ascii="Arial" w:hAnsi="Arial" w:cs="Arial"/>
          <w:sz w:val="24"/>
          <w:szCs w:val="24"/>
        </w:rPr>
        <w:t>Teece (20</w:t>
      </w:r>
      <w:r w:rsidR="00C443CB">
        <w:rPr>
          <w:rFonts w:ascii="Arial" w:hAnsi="Arial" w:cs="Arial"/>
          <w:sz w:val="24"/>
          <w:szCs w:val="24"/>
        </w:rPr>
        <w:t>17</w:t>
      </w:r>
      <w:r w:rsidRPr="00EC2930">
        <w:rPr>
          <w:rFonts w:ascii="Arial" w:hAnsi="Arial" w:cs="Arial"/>
          <w:sz w:val="24"/>
          <w:szCs w:val="24"/>
        </w:rPr>
        <w:t xml:space="preserve">) explains that in periods of radical change, firms will be able to gain and sustain a competitive advantage if they have ‘dynamic </w:t>
      </w:r>
      <w:proofErr w:type="gramStart"/>
      <w:r w:rsidRPr="00EC2930">
        <w:rPr>
          <w:rFonts w:ascii="Arial" w:hAnsi="Arial" w:cs="Arial"/>
          <w:sz w:val="24"/>
          <w:szCs w:val="24"/>
        </w:rPr>
        <w:t>capabilities’</w:t>
      </w:r>
      <w:proofErr w:type="gramEnd"/>
      <w:r w:rsidRPr="00EC2930">
        <w:rPr>
          <w:rFonts w:ascii="Arial" w:hAnsi="Arial" w:cs="Arial"/>
          <w:sz w:val="24"/>
          <w:szCs w:val="24"/>
        </w:rPr>
        <w:t xml:space="preserve">. This means they will be able to perceive opportunities and threats, capitalise on them, and adapt their resources to the changing landscape. The framework of ‘dynamic </w:t>
      </w:r>
      <w:proofErr w:type="gramStart"/>
      <w:r w:rsidRPr="00EC2930">
        <w:rPr>
          <w:rFonts w:ascii="Arial" w:hAnsi="Arial" w:cs="Arial"/>
          <w:sz w:val="24"/>
          <w:szCs w:val="24"/>
        </w:rPr>
        <w:t>capabilities’</w:t>
      </w:r>
      <w:proofErr w:type="gramEnd"/>
      <w:r w:rsidRPr="00EC2930">
        <w:rPr>
          <w:rFonts w:ascii="Arial" w:hAnsi="Arial" w:cs="Arial"/>
          <w:sz w:val="24"/>
          <w:szCs w:val="24"/>
        </w:rPr>
        <w:t xml:space="preserve"> will likely apply to NMUK as it shifts from manufacturing ICE vehicles to EVs.</w:t>
      </w:r>
    </w:p>
    <w:p w14:paraId="344841F8" w14:textId="41A56019" w:rsidR="006916AF" w:rsidRPr="00EC2930" w:rsidRDefault="00EC2930" w:rsidP="00EC2930">
      <w:pPr>
        <w:pStyle w:val="NoSpacing"/>
        <w:spacing w:line="360" w:lineRule="auto"/>
        <w:jc w:val="both"/>
        <w:rPr>
          <w:rFonts w:ascii="Arial" w:hAnsi="Arial" w:cs="Arial"/>
          <w:sz w:val="24"/>
          <w:szCs w:val="24"/>
        </w:rPr>
      </w:pPr>
      <w:r w:rsidRPr="00EC2930">
        <w:rPr>
          <w:rFonts w:ascii="Arial" w:hAnsi="Arial" w:cs="Arial"/>
          <w:sz w:val="24"/>
          <w:szCs w:val="24"/>
        </w:rPr>
        <w:t xml:space="preserve">The aim of this report is to examine the competitive landscape that NMUK finds itself in through well-known frameworks. I will then recommend a strategic planning methodology that allows NMUK to use its unique skills to become Nissan’s leading European EV manufacturer, and distance itself from </w:t>
      </w:r>
      <w:proofErr w:type="spellStart"/>
      <w:r w:rsidRPr="00EC2930">
        <w:rPr>
          <w:rFonts w:ascii="Arial" w:hAnsi="Arial" w:cs="Arial"/>
          <w:sz w:val="24"/>
          <w:szCs w:val="24"/>
        </w:rPr>
        <w:t>Uncar’s</w:t>
      </w:r>
      <w:proofErr w:type="spellEnd"/>
      <w:r w:rsidRPr="00EC2930">
        <w:rPr>
          <w:rFonts w:ascii="Arial" w:hAnsi="Arial" w:cs="Arial"/>
          <w:sz w:val="24"/>
          <w:szCs w:val="24"/>
        </w:rPr>
        <w:t xml:space="preserve"> financial difficulties.</w:t>
      </w:r>
    </w:p>
    <w:p w14:paraId="3E72837F" w14:textId="74DE4A47" w:rsidR="00A46BA9" w:rsidRPr="00F74EE7" w:rsidRDefault="006916AF" w:rsidP="00F74EE7">
      <w:pPr>
        <w:pStyle w:val="Heading1"/>
        <w:numPr>
          <w:ilvl w:val="0"/>
          <w:numId w:val="20"/>
        </w:numPr>
        <w:rPr>
          <w:b/>
          <w:bCs/>
        </w:rPr>
      </w:pPr>
      <w:bookmarkStart w:id="5" w:name="_Toc227881845"/>
      <w:r>
        <w:rPr>
          <w:b/>
          <w:bCs/>
        </w:rPr>
        <w:t>Overview and Background</w:t>
      </w:r>
      <w:bookmarkEnd w:id="5"/>
    </w:p>
    <w:p w14:paraId="72AFD672" w14:textId="77777777" w:rsidR="006916AF" w:rsidRPr="006916AF" w:rsidRDefault="006916AF" w:rsidP="006916AF">
      <w:pPr>
        <w:spacing w:line="360" w:lineRule="auto"/>
        <w:jc w:val="both"/>
        <w:rPr>
          <w:rFonts w:ascii="Arial" w:hAnsi="Arial" w:cs="Arial"/>
          <w:sz w:val="24"/>
          <w:szCs w:val="24"/>
          <w:lang w:eastAsia="en-GB"/>
        </w:rPr>
      </w:pPr>
      <w:r w:rsidRPr="006916AF">
        <w:rPr>
          <w:rFonts w:ascii="Arial" w:hAnsi="Arial" w:cs="Arial"/>
          <w:sz w:val="24"/>
          <w:szCs w:val="24"/>
          <w:lang w:eastAsia="en-GB"/>
        </w:rPr>
        <w:t xml:space="preserve">Nissan Motor Manufacturing UK is a subsidiary company of Japanese multinational automobile manufacturer Nissan Motor Company Ltd. Established in 1933 as Japan's first personalised car manufacturing </w:t>
      </w:r>
      <w:proofErr w:type="gramStart"/>
      <w:r w:rsidRPr="006916AF">
        <w:rPr>
          <w:rFonts w:ascii="Arial" w:hAnsi="Arial" w:cs="Arial"/>
          <w:sz w:val="24"/>
          <w:szCs w:val="24"/>
          <w:lang w:eastAsia="en-GB"/>
        </w:rPr>
        <w:t>company,</w:t>
      </w:r>
      <w:proofErr w:type="gramEnd"/>
      <w:r w:rsidRPr="006916AF">
        <w:rPr>
          <w:rFonts w:ascii="Arial" w:hAnsi="Arial" w:cs="Arial"/>
          <w:sz w:val="24"/>
          <w:szCs w:val="24"/>
          <w:lang w:eastAsia="en-GB"/>
        </w:rPr>
        <w:t xml:space="preserve"> Nissan Motor Company Ltd. is based in Yokohama. Nissan Motor Manufacturing UK (NMUK) was formed after Nissan signed an agreement with the UK Government in 1984, opening its doors at Sunderland in September 1986 (Nissan Motor Manufacturing UK, 2026). The plant itself was chosen for its close access to </w:t>
      </w:r>
      <w:proofErr w:type="gramStart"/>
      <w:r w:rsidRPr="006916AF">
        <w:rPr>
          <w:rFonts w:ascii="Arial" w:hAnsi="Arial" w:cs="Arial"/>
          <w:sz w:val="24"/>
          <w:szCs w:val="24"/>
          <w:lang w:eastAsia="en-GB"/>
        </w:rPr>
        <w:t>North East</w:t>
      </w:r>
      <w:proofErr w:type="gramEnd"/>
      <w:r w:rsidRPr="006916AF">
        <w:rPr>
          <w:rFonts w:ascii="Arial" w:hAnsi="Arial" w:cs="Arial"/>
          <w:sz w:val="24"/>
          <w:szCs w:val="24"/>
          <w:lang w:eastAsia="en-GB"/>
        </w:rPr>
        <w:t xml:space="preserve"> ports and motorway infrastructure, alongside a strong and competitive pool of skilled labour provided by previously booming shipbuilding and mining industries in the region that were now in decline.</w:t>
      </w:r>
    </w:p>
    <w:p w14:paraId="5113FA81" w14:textId="5EC2CA2D" w:rsidR="00DD0EC7" w:rsidRPr="006916AF" w:rsidRDefault="006916AF" w:rsidP="006916AF">
      <w:pPr>
        <w:spacing w:line="360" w:lineRule="auto"/>
        <w:jc w:val="both"/>
        <w:rPr>
          <w:rFonts w:ascii="Arial" w:hAnsi="Arial" w:cs="Arial"/>
          <w:sz w:val="24"/>
          <w:szCs w:val="24"/>
          <w:lang w:eastAsia="en-GB"/>
        </w:rPr>
      </w:pPr>
      <w:r w:rsidRPr="006916AF">
        <w:rPr>
          <w:rFonts w:ascii="Arial" w:hAnsi="Arial" w:cs="Arial"/>
          <w:sz w:val="24"/>
          <w:szCs w:val="24"/>
          <w:lang w:eastAsia="en-GB"/>
        </w:rPr>
        <w:lastRenderedPageBreak/>
        <w:t xml:space="preserve">The Sunderland manufacturing plant consists of a campus spanning 362,000 square </w:t>
      </w:r>
      <w:proofErr w:type="gramStart"/>
      <w:r w:rsidRPr="006916AF">
        <w:rPr>
          <w:rFonts w:ascii="Arial" w:hAnsi="Arial" w:cs="Arial"/>
          <w:sz w:val="24"/>
          <w:szCs w:val="24"/>
          <w:lang w:eastAsia="en-GB"/>
        </w:rPr>
        <w:t>metre</w:t>
      </w:r>
      <w:proofErr w:type="gramEnd"/>
      <w:r w:rsidRPr="006916AF">
        <w:rPr>
          <w:rFonts w:ascii="Arial" w:hAnsi="Arial" w:cs="Arial"/>
          <w:sz w:val="24"/>
          <w:szCs w:val="24"/>
          <w:lang w:eastAsia="en-GB"/>
        </w:rPr>
        <w:t>, with stamping, body assembly, paint, final assembly and powertrain manufacturing sites, as well as the neighbouring AESC gigafactory that produces vehicle batteries (Automotive Manufacturing Solutions, 2026). Nissan employs around 6,000 people at NMUK with total employment of 7,000 within its UK operations including the Nissan Technical Centre Europe (NTCE) in Cranfield and the Nissan design centre in London (Nissan UK News, 2025). Currently the plant manufactures the Nissan Qashqai (e-POWER hybrid), Nissan Juke (HEV) and the recently launched third-generation LEAF (Electric Car). 70% of vehicles manufactured are exported to mainland Europe, with 20% staying in the UK for domestic sales and the final 10% being exported worldwide (Nissan Global News, 2021). The plant has reached over 11 million cumulative cars produced and was the UK's highest car manufacturer by output in 2023. NMUK operates in the manufacturing industry sector of automotive and contributes wider economic multiplier effect jobs through its supply chain, employing a further 30,000 people in this way.</w:t>
      </w:r>
    </w:p>
    <w:p w14:paraId="2E7FE405" w14:textId="77777777" w:rsidR="00121CB7" w:rsidRDefault="00121CB7"/>
    <w:p w14:paraId="0BBAB6B9" w14:textId="5148BA48" w:rsidR="006916AF" w:rsidRDefault="00E54A89" w:rsidP="006916AF">
      <w:pPr>
        <w:pStyle w:val="Heading1"/>
        <w:numPr>
          <w:ilvl w:val="0"/>
          <w:numId w:val="6"/>
        </w:numPr>
        <w:rPr>
          <w:b/>
          <w:bCs/>
        </w:rPr>
      </w:pPr>
      <w:bookmarkStart w:id="6" w:name="_Toc227881846"/>
      <w:r w:rsidRPr="001D3811">
        <w:rPr>
          <w:b/>
          <w:bCs/>
        </w:rPr>
        <w:t>Strateg</w:t>
      </w:r>
      <w:r w:rsidR="006916AF">
        <w:rPr>
          <w:b/>
          <w:bCs/>
        </w:rPr>
        <w:t>ic Intent</w:t>
      </w:r>
      <w:bookmarkEnd w:id="6"/>
      <w:r w:rsidR="006916AF">
        <w:rPr>
          <w:b/>
          <w:bCs/>
        </w:rPr>
        <w:t xml:space="preserve"> </w:t>
      </w:r>
    </w:p>
    <w:p w14:paraId="026AF6C1" w14:textId="01E24CAF" w:rsidR="006916AF" w:rsidRPr="006916AF" w:rsidRDefault="006916AF" w:rsidP="006916AF">
      <w:pPr>
        <w:pStyle w:val="Heading2"/>
        <w:numPr>
          <w:ilvl w:val="1"/>
          <w:numId w:val="22"/>
        </w:numPr>
        <w:rPr>
          <w:b/>
          <w:bCs/>
        </w:rPr>
      </w:pPr>
      <w:bookmarkStart w:id="7" w:name="_Toc227881847"/>
      <w:r w:rsidRPr="006916AF">
        <w:rPr>
          <w:b/>
          <w:bCs/>
        </w:rPr>
        <w:t>Vision</w:t>
      </w:r>
      <w:bookmarkEnd w:id="7"/>
    </w:p>
    <w:p w14:paraId="11545C5A" w14:textId="0D685B70" w:rsidR="006916AF" w:rsidRPr="006916AF" w:rsidRDefault="006916AF" w:rsidP="00EC2930">
      <w:pPr>
        <w:spacing w:line="360" w:lineRule="auto"/>
        <w:rPr>
          <w:rFonts w:ascii="Arial" w:hAnsi="Arial" w:cs="Arial"/>
          <w:sz w:val="24"/>
          <w:szCs w:val="24"/>
        </w:rPr>
      </w:pPr>
      <w:r w:rsidRPr="006916AF">
        <w:rPr>
          <w:rFonts w:ascii="Arial" w:hAnsi="Arial" w:cs="Arial"/>
          <w:sz w:val="24"/>
          <w:szCs w:val="24"/>
        </w:rPr>
        <w:t>Nissan has created a vision for their entire corporation to 'become a truly sustainable company, driving towards a cleaner, safer and more inclusive world' as part of their Ambition 2030 strategy (Nissan Global News, 2023). NMUK's vision ties into this by hoping to become 'Europe's most advanced, fully integrated zero emission vehicle manufacturing site, capable of producing EVs, supplying batteries and generating renewable energy – a blueprint for the industry we hope can be replicated worldwide.'</w:t>
      </w:r>
    </w:p>
    <w:p w14:paraId="5F2B1447" w14:textId="7AA82816" w:rsidR="006916AF" w:rsidRPr="006916AF" w:rsidRDefault="006916AF" w:rsidP="006916AF">
      <w:pPr>
        <w:pStyle w:val="Heading2"/>
        <w:numPr>
          <w:ilvl w:val="1"/>
          <w:numId w:val="23"/>
        </w:numPr>
        <w:rPr>
          <w:b/>
          <w:bCs/>
        </w:rPr>
      </w:pPr>
      <w:bookmarkStart w:id="8" w:name="_Toc227881848"/>
      <w:r w:rsidRPr="006916AF">
        <w:rPr>
          <w:b/>
          <w:bCs/>
        </w:rPr>
        <w:t>Mission</w:t>
      </w:r>
      <w:bookmarkEnd w:id="8"/>
    </w:p>
    <w:p w14:paraId="7B918B2B" w14:textId="77777777" w:rsidR="00EC2930" w:rsidRPr="00EC2930" w:rsidRDefault="00EC2930" w:rsidP="00EC2930">
      <w:pPr>
        <w:pStyle w:val="FirstParagraph"/>
        <w:spacing w:line="360" w:lineRule="auto"/>
        <w:jc w:val="both"/>
        <w:rPr>
          <w:rFonts w:ascii="Arial" w:hAnsi="Arial" w:cs="Arial"/>
        </w:rPr>
      </w:pPr>
      <w:r w:rsidRPr="00EC2930">
        <w:rPr>
          <w:rFonts w:ascii="Arial" w:hAnsi="Arial" w:cs="Arial"/>
        </w:rPr>
        <w:t xml:space="preserve">NMUK’s operational mission is to manufacture world-class electrified vehicles for global markets, leveraging the expertise of its </w:t>
      </w:r>
      <w:proofErr w:type="gramStart"/>
      <w:r w:rsidRPr="00EC2930">
        <w:rPr>
          <w:rFonts w:ascii="Arial" w:hAnsi="Arial" w:cs="Arial"/>
        </w:rPr>
        <w:t>North East</w:t>
      </w:r>
      <w:proofErr w:type="gramEnd"/>
      <w:r w:rsidRPr="00EC2930">
        <w:rPr>
          <w:rFonts w:ascii="Arial" w:hAnsi="Arial" w:cs="Arial"/>
        </w:rPr>
        <w:t xml:space="preserve"> workforce and the integrated capabilities of the EV36Zero ecosystem, while delivering on Nissan’s commitments to sustainability and innovation (Nissan UK News, 2025).</w:t>
      </w:r>
    </w:p>
    <w:p w14:paraId="0A71C813" w14:textId="425C1683" w:rsidR="006916AF" w:rsidRPr="006916AF" w:rsidRDefault="006916AF" w:rsidP="006916AF">
      <w:pPr>
        <w:pStyle w:val="Heading2"/>
        <w:numPr>
          <w:ilvl w:val="1"/>
          <w:numId w:val="24"/>
        </w:numPr>
        <w:rPr>
          <w:b/>
          <w:bCs/>
        </w:rPr>
      </w:pPr>
      <w:bookmarkStart w:id="9" w:name="_Toc227881849"/>
      <w:r w:rsidRPr="006916AF">
        <w:rPr>
          <w:b/>
          <w:bCs/>
        </w:rPr>
        <w:lastRenderedPageBreak/>
        <w:t>Objectives</w:t>
      </w:r>
      <w:bookmarkEnd w:id="9"/>
    </w:p>
    <w:p w14:paraId="254CA333" w14:textId="77777777" w:rsidR="006916AF" w:rsidRPr="006916AF" w:rsidRDefault="006916AF" w:rsidP="006916AF">
      <w:pPr>
        <w:pStyle w:val="NormalWeb"/>
        <w:numPr>
          <w:ilvl w:val="0"/>
          <w:numId w:val="26"/>
        </w:numPr>
        <w:spacing w:line="360" w:lineRule="auto"/>
        <w:jc w:val="both"/>
        <w:rPr>
          <w:rFonts w:ascii="Arial" w:hAnsi="Arial" w:cs="Arial"/>
        </w:rPr>
      </w:pPr>
      <w:r w:rsidRPr="006916AF">
        <w:rPr>
          <w:rFonts w:ascii="Arial" w:hAnsi="Arial" w:cs="Arial"/>
        </w:rPr>
        <w:t>Ramp-up and launch electric Juke production at Sunderland by April 2026 (“Nissan UK News,” 2026).</w:t>
      </w:r>
    </w:p>
    <w:p w14:paraId="7BDA1C09" w14:textId="77777777" w:rsidR="006916AF" w:rsidRPr="006916AF" w:rsidRDefault="006916AF" w:rsidP="006916AF">
      <w:pPr>
        <w:pStyle w:val="NormalWeb"/>
        <w:numPr>
          <w:ilvl w:val="0"/>
          <w:numId w:val="26"/>
        </w:numPr>
        <w:spacing w:line="360" w:lineRule="auto"/>
        <w:jc w:val="both"/>
        <w:rPr>
          <w:rFonts w:ascii="Arial" w:hAnsi="Arial" w:cs="Arial"/>
        </w:rPr>
      </w:pPr>
      <w:r w:rsidRPr="006916AF">
        <w:rPr>
          <w:rFonts w:ascii="Arial" w:hAnsi="Arial" w:cs="Arial"/>
        </w:rPr>
        <w:t>Firm up contract for EV Qashqai to be Sunderland Line Two’s third electrified vehicle, solidifying Sunderland’s full EV product line-up.</w:t>
      </w:r>
    </w:p>
    <w:p w14:paraId="6CA4D989" w14:textId="2D539DD1" w:rsidR="006916AF" w:rsidRPr="006916AF" w:rsidRDefault="006916AF" w:rsidP="006916AF">
      <w:pPr>
        <w:pStyle w:val="NormalWeb"/>
        <w:numPr>
          <w:ilvl w:val="0"/>
          <w:numId w:val="26"/>
        </w:numPr>
        <w:spacing w:line="360" w:lineRule="auto"/>
        <w:jc w:val="both"/>
        <w:rPr>
          <w:rFonts w:ascii="Arial" w:hAnsi="Arial" w:cs="Arial"/>
        </w:rPr>
      </w:pPr>
      <w:r w:rsidRPr="006916AF">
        <w:rPr>
          <w:rFonts w:ascii="Arial" w:hAnsi="Arial" w:cs="Arial"/>
        </w:rPr>
        <w:t>Achieve 100% renewable energy to both plant and surrounding suppliers through the Sunderland Microgrid project by 2030 (“Nissan Global News,” 2023).</w:t>
      </w:r>
    </w:p>
    <w:p w14:paraId="2D0E01D0" w14:textId="50799254" w:rsidR="006916AF" w:rsidRDefault="006916AF" w:rsidP="006916AF">
      <w:pPr>
        <w:pStyle w:val="NormalWeb"/>
        <w:numPr>
          <w:ilvl w:val="0"/>
          <w:numId w:val="26"/>
        </w:numPr>
        <w:spacing w:line="360" w:lineRule="auto"/>
        <w:jc w:val="both"/>
        <w:rPr>
          <w:rFonts w:ascii="Arial" w:hAnsi="Arial" w:cs="Arial"/>
        </w:rPr>
      </w:pPr>
      <w:r w:rsidRPr="006916AF">
        <w:rPr>
          <w:rFonts w:ascii="Arial" w:hAnsi="Arial" w:cs="Arial"/>
        </w:rPr>
        <w:t> Improve productivity by decreasing time to build one vehicle by 20% through modular manufacturing and digital factory methods by FY2026 (Nissan Motor Co., 2025).</w:t>
      </w:r>
    </w:p>
    <w:p w14:paraId="48E0D39D" w14:textId="77777777" w:rsidR="0071762A" w:rsidRPr="0071762A" w:rsidRDefault="006916AF" w:rsidP="006916AF">
      <w:pPr>
        <w:pStyle w:val="NormalWeb"/>
        <w:numPr>
          <w:ilvl w:val="0"/>
          <w:numId w:val="26"/>
        </w:numPr>
        <w:spacing w:line="360" w:lineRule="auto"/>
        <w:jc w:val="both"/>
        <w:rPr>
          <w:b/>
          <w:bCs/>
        </w:rPr>
      </w:pPr>
      <w:r w:rsidRPr="0071762A">
        <w:rPr>
          <w:rFonts w:ascii="Arial" w:hAnsi="Arial" w:cs="Arial"/>
        </w:rPr>
        <w:t>Implement battery second life and circular economy program at Sunderland in collaboration with AESC per EU Battery Regulation 2023 (</w:t>
      </w:r>
      <w:proofErr w:type="spellStart"/>
      <w:r w:rsidRPr="0071762A">
        <w:rPr>
          <w:rFonts w:ascii="Arial" w:hAnsi="Arial" w:cs="Arial"/>
        </w:rPr>
        <w:t>Toorajipour</w:t>
      </w:r>
      <w:proofErr w:type="spellEnd"/>
      <w:r w:rsidRPr="0071762A">
        <w:rPr>
          <w:rFonts w:ascii="Arial" w:hAnsi="Arial" w:cs="Arial"/>
        </w:rPr>
        <w:t xml:space="preserve"> et al., 2024).</w:t>
      </w:r>
    </w:p>
    <w:p w14:paraId="4CBE0205" w14:textId="77777777" w:rsidR="0071762A" w:rsidRDefault="0071762A" w:rsidP="00210338">
      <w:pPr>
        <w:pStyle w:val="NormalWeb"/>
        <w:spacing w:line="360" w:lineRule="auto"/>
        <w:ind w:left="720"/>
        <w:jc w:val="both"/>
        <w:rPr>
          <w:rFonts w:ascii="Arial" w:hAnsi="Arial" w:cs="Arial"/>
        </w:rPr>
      </w:pPr>
    </w:p>
    <w:p w14:paraId="448B7CA5" w14:textId="06A90505" w:rsidR="0071762A" w:rsidRPr="00210338" w:rsidRDefault="0071762A" w:rsidP="0071762A">
      <w:pPr>
        <w:pStyle w:val="Heading1"/>
        <w:rPr>
          <w:b/>
          <w:bCs/>
        </w:rPr>
      </w:pPr>
      <w:bookmarkStart w:id="10" w:name="_Toc227881850"/>
      <w:r w:rsidRPr="00210338">
        <w:rPr>
          <w:b/>
          <w:bCs/>
        </w:rPr>
        <w:t>Current Performance</w:t>
      </w:r>
      <w:bookmarkEnd w:id="10"/>
      <w:r w:rsidRPr="00210338">
        <w:rPr>
          <w:b/>
          <w:bCs/>
        </w:rPr>
        <w:t xml:space="preserve"> </w:t>
      </w:r>
    </w:p>
    <w:p w14:paraId="302FD92F" w14:textId="77777777" w:rsidR="00210338" w:rsidRDefault="00210338" w:rsidP="00210338">
      <w:pPr>
        <w:jc w:val="both"/>
      </w:pPr>
    </w:p>
    <w:p w14:paraId="31B6DF38" w14:textId="77777777" w:rsidR="00210338" w:rsidRPr="00210338" w:rsidRDefault="00210338" w:rsidP="00210338">
      <w:pPr>
        <w:spacing w:line="360" w:lineRule="auto"/>
        <w:jc w:val="both"/>
        <w:rPr>
          <w:rFonts w:ascii="Arial" w:hAnsi="Arial" w:cs="Arial"/>
          <w:sz w:val="24"/>
          <w:szCs w:val="24"/>
        </w:rPr>
      </w:pPr>
      <w:r w:rsidRPr="00210338">
        <w:rPr>
          <w:rFonts w:ascii="Arial" w:hAnsi="Arial" w:cs="Arial"/>
          <w:sz w:val="24"/>
          <w:szCs w:val="24"/>
        </w:rPr>
        <w:t xml:space="preserve">There are two contexts in which to view NMUK’s current performance. Firstly, Nissan as a business is under financial pressure. Secondly, Sunderland as a plant is performing strongly. Nissan’s full year FY2024 financial results are the worst the business has seen in recent years. Group net revenues were relatively flat at JPY12.6 trillion, but operating profit plunged 87.7% to JPY69.8 billion (0.6% margin). Net loss after brand impairments of over JPY500 billion hit JPY670.9 billion. Nissan also posted negative free cash flow (FCF) in its automotive business of JPY242.8 billion (Nissan Motor Co., 2025). Nissan Motor Manufacturing (UK) Ltd.’s statutory accounts show that liabilities exceeded assets by £99,745 million as of 31 March 2025. This stark turnaround reflects the pressure on Nissan UK from the troubles faced by its parent company (Nissan Motor Co., 2025). Nissan’s new turnaround plan entitled </w:t>
      </w:r>
      <w:proofErr w:type="spellStart"/>
      <w:r w:rsidRPr="00210338">
        <w:rPr>
          <w:rFonts w:ascii="Arial" w:hAnsi="Arial" w:cs="Arial"/>
          <w:sz w:val="24"/>
          <w:szCs w:val="24"/>
        </w:rPr>
        <w:t>‘Re</w:t>
      </w:r>
      <w:proofErr w:type="spellEnd"/>
      <w:r w:rsidRPr="00210338">
        <w:rPr>
          <w:rFonts w:ascii="Arial" w:hAnsi="Arial" w:cs="Arial"/>
          <w:sz w:val="24"/>
          <w:szCs w:val="24"/>
        </w:rPr>
        <w:t>: Nissan’ is targeting total cost reductions of JPY500 billion by FY2026.</w:t>
      </w:r>
    </w:p>
    <w:p w14:paraId="718CFFC5" w14:textId="64BE8FE1" w:rsidR="00210338" w:rsidRPr="009E6D62" w:rsidRDefault="00210338" w:rsidP="00210338">
      <w:pPr>
        <w:spacing w:line="360" w:lineRule="auto"/>
        <w:jc w:val="both"/>
        <w:rPr>
          <w:rFonts w:ascii="Arial" w:hAnsi="Arial" w:cs="Arial"/>
        </w:rPr>
      </w:pPr>
      <w:r w:rsidRPr="00210338">
        <w:rPr>
          <w:rFonts w:ascii="Arial" w:hAnsi="Arial" w:cs="Arial"/>
          <w:sz w:val="24"/>
          <w:szCs w:val="24"/>
        </w:rPr>
        <w:lastRenderedPageBreak/>
        <w:t>In contrast, Nissan Sunderland is a different story. It produced more cars than any other UK manufacturer in 2023. It was recently called ‘the jewel of Europe’, Nissan Europe’s ‘best-practice plant in the world’ by its own planning boss (</w:t>
      </w:r>
      <w:r w:rsidR="009E6D62" w:rsidRPr="009E6D62">
        <w:rPr>
          <w:rFonts w:ascii="Arial" w:hAnsi="Arial" w:cs="Arial"/>
        </w:rPr>
        <w:t>Department for Business and Trade</w:t>
      </w:r>
      <w:r w:rsidRPr="00210338">
        <w:rPr>
          <w:rFonts w:ascii="Arial" w:hAnsi="Arial" w:cs="Arial"/>
          <w:sz w:val="24"/>
          <w:szCs w:val="24"/>
        </w:rPr>
        <w:t>, 202</w:t>
      </w:r>
      <w:r w:rsidR="009E6D62">
        <w:rPr>
          <w:rFonts w:ascii="Arial" w:hAnsi="Arial" w:cs="Arial"/>
          <w:sz w:val="24"/>
          <w:szCs w:val="24"/>
        </w:rPr>
        <w:t>5</w:t>
      </w:r>
      <w:r w:rsidRPr="00210338">
        <w:rPr>
          <w:rFonts w:ascii="Arial" w:hAnsi="Arial" w:cs="Arial"/>
          <w:sz w:val="24"/>
          <w:szCs w:val="24"/>
        </w:rPr>
        <w:t xml:space="preserve">). On December 2025, Sunderland began production of the all-new generation LEAF, Nissan’s first ever EV produced at the plant. Featuring batteries from the neighbouring AESC gigafactory, the car will have a WLTP range of 622km and be capable of 150kW rapid charging. The launch of the car followed a transformation of the plant, with the introduction of 78 new state-of-the-art robots, and over 360,000 employee training hours (Automotive Manufacturing Solutions, 2026). Nissan has confirmed the closure of its factory in Barcelona. It’s also pulling production of the Qashqai back into the Netherlands from </w:t>
      </w:r>
      <w:r w:rsidRPr="00210338">
        <w:rPr>
          <w:rFonts w:ascii="Arial" w:hAnsi="Arial" w:cs="Arial"/>
          <w:sz w:val="24"/>
          <w:szCs w:val="24"/>
        </w:rPr>
        <w:t>Slovenia and</w:t>
      </w:r>
      <w:r w:rsidRPr="00210338">
        <w:rPr>
          <w:rFonts w:ascii="Arial" w:hAnsi="Arial" w:cs="Arial"/>
          <w:sz w:val="24"/>
          <w:szCs w:val="24"/>
        </w:rPr>
        <w:t xml:space="preserve"> moving Australian X-Trail production to Mexico. Sunderland not only stays open, </w:t>
      </w:r>
      <w:r w:rsidRPr="00210338">
        <w:rPr>
          <w:rFonts w:ascii="Arial" w:hAnsi="Arial" w:cs="Arial"/>
          <w:sz w:val="24"/>
          <w:szCs w:val="24"/>
        </w:rPr>
        <w:t>but it’s also been</w:t>
      </w:r>
      <w:r w:rsidRPr="00210338">
        <w:rPr>
          <w:rFonts w:ascii="Arial" w:hAnsi="Arial" w:cs="Arial"/>
          <w:sz w:val="24"/>
          <w:szCs w:val="24"/>
        </w:rPr>
        <w:t xml:space="preserve"> given new EV products to build (</w:t>
      </w:r>
      <w:r w:rsidR="00844D18">
        <w:rPr>
          <w:rFonts w:ascii="Arial" w:hAnsi="Arial" w:cs="Arial"/>
          <w:sz w:val="24"/>
          <w:szCs w:val="24"/>
        </w:rPr>
        <w:t>Kempston et al</w:t>
      </w:r>
      <w:r w:rsidRPr="00210338">
        <w:rPr>
          <w:rFonts w:ascii="Arial" w:hAnsi="Arial" w:cs="Arial"/>
          <w:sz w:val="24"/>
          <w:szCs w:val="24"/>
        </w:rPr>
        <w:t>, 2025). Cost savings announced in June 2025 will see around 250 non-production staff members lose their jobs, but the savings will not impact production employees.</w:t>
      </w:r>
    </w:p>
    <w:p w14:paraId="7BE42326" w14:textId="77777777" w:rsidR="00121CB7" w:rsidRDefault="00121CB7"/>
    <w:p w14:paraId="08B5DDFE" w14:textId="53F7D0A9" w:rsidR="00121CB7" w:rsidRDefault="00210338" w:rsidP="00210338">
      <w:pPr>
        <w:pStyle w:val="Heading1"/>
        <w:rPr>
          <w:b/>
          <w:bCs/>
        </w:rPr>
      </w:pPr>
      <w:bookmarkStart w:id="11" w:name="_Toc227881851"/>
      <w:r w:rsidRPr="00210338">
        <w:rPr>
          <w:b/>
          <w:bCs/>
        </w:rPr>
        <w:t>Strategy Analysis</w:t>
      </w:r>
      <w:bookmarkEnd w:id="11"/>
    </w:p>
    <w:p w14:paraId="34BBD8DC" w14:textId="4803A326" w:rsidR="00210338" w:rsidRDefault="00210338" w:rsidP="00210338">
      <w:pPr>
        <w:pStyle w:val="Heading2"/>
        <w:numPr>
          <w:ilvl w:val="1"/>
          <w:numId w:val="27"/>
        </w:numPr>
      </w:pPr>
      <w:bookmarkStart w:id="12" w:name="_Toc227881852"/>
      <w:r>
        <w:t>External Environmental Audit-PESTEL Analysis</w:t>
      </w:r>
      <w:bookmarkEnd w:id="12"/>
    </w:p>
    <w:p w14:paraId="74770C1D" w14:textId="4B29F989" w:rsidR="00210338" w:rsidRDefault="00210338" w:rsidP="00210338">
      <w:pPr>
        <w:spacing w:line="360" w:lineRule="auto"/>
        <w:jc w:val="both"/>
        <w:rPr>
          <w:rFonts w:ascii="Arial" w:hAnsi="Arial" w:cs="Arial"/>
          <w:sz w:val="24"/>
          <w:szCs w:val="24"/>
        </w:rPr>
      </w:pPr>
      <w:r w:rsidRPr="00210338">
        <w:rPr>
          <w:rFonts w:ascii="Arial" w:hAnsi="Arial" w:cs="Arial"/>
          <w:sz w:val="24"/>
          <w:szCs w:val="24"/>
        </w:rPr>
        <w:t>References for facts contained within the following PESTLE include British public regulations and Nissan corporate announcements. Please note that a PESTLE, by definition, deals with how the environment looked at the time it is prepared. Considering how quickly technology and regulations are changing within the automotive industry, these will need to be monitored on an ongoing basis rather than seen as static information (Teece, 20</w:t>
      </w:r>
      <w:r w:rsidR="00C443CB">
        <w:rPr>
          <w:rFonts w:ascii="Arial" w:hAnsi="Arial" w:cs="Arial"/>
          <w:sz w:val="24"/>
          <w:szCs w:val="24"/>
        </w:rPr>
        <w:t>17</w:t>
      </w:r>
      <w:r w:rsidRPr="00210338">
        <w:rPr>
          <w:rFonts w:ascii="Arial" w:hAnsi="Arial" w:cs="Arial"/>
          <w:sz w:val="24"/>
          <w:szCs w:val="24"/>
        </w:rPr>
        <w:t xml:space="preserve">). </w:t>
      </w:r>
    </w:p>
    <w:p w14:paraId="7F018D27" w14:textId="77777777" w:rsidR="00210338" w:rsidRDefault="00210338" w:rsidP="00210338">
      <w:pPr>
        <w:spacing w:line="360" w:lineRule="auto"/>
        <w:jc w:val="both"/>
        <w:rPr>
          <w:rFonts w:ascii="Arial" w:hAnsi="Arial" w:cs="Arial"/>
          <w:sz w:val="24"/>
          <w:szCs w:val="24"/>
        </w:rPr>
      </w:pPr>
    </w:p>
    <w:p w14:paraId="446276D9" w14:textId="03F8F86C" w:rsidR="00210338" w:rsidRDefault="00690248" w:rsidP="00210338">
      <w:pPr>
        <w:spacing w:line="360" w:lineRule="auto"/>
        <w:jc w:val="both"/>
        <w:rPr>
          <w:rFonts w:ascii="Arial" w:hAnsi="Arial" w:cs="Arial"/>
          <w:sz w:val="24"/>
          <w:szCs w:val="24"/>
        </w:rPr>
      </w:pPr>
      <w:r>
        <w:rPr>
          <w:noProof/>
        </w:rPr>
        <w:lastRenderedPageBreak/>
        <w:drawing>
          <wp:inline distT="0" distB="0" distL="0" distR="0" wp14:anchorId="1B68391C" wp14:editId="5CFD7EDE">
            <wp:extent cx="5731510" cy="5612765"/>
            <wp:effectExtent l="0" t="0" r="2540" b="6985"/>
            <wp:docPr id="2022562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562871" name=""/>
                    <pic:cNvPicPr/>
                  </pic:nvPicPr>
                  <pic:blipFill>
                    <a:blip r:embed="rId7"/>
                    <a:stretch>
                      <a:fillRect/>
                    </a:stretch>
                  </pic:blipFill>
                  <pic:spPr>
                    <a:xfrm>
                      <a:off x="0" y="0"/>
                      <a:ext cx="5731510" cy="5612765"/>
                    </a:xfrm>
                    <a:prstGeom prst="rect">
                      <a:avLst/>
                    </a:prstGeom>
                  </pic:spPr>
                </pic:pic>
              </a:graphicData>
            </a:graphic>
          </wp:inline>
        </w:drawing>
      </w:r>
    </w:p>
    <w:p w14:paraId="4B6E7130" w14:textId="52B7662A" w:rsidR="00210338" w:rsidRPr="00F74EE7" w:rsidRDefault="005F21E0" w:rsidP="00F74EE7">
      <w:pPr>
        <w:jc w:val="center"/>
        <w:rPr>
          <w:rFonts w:ascii="Arial" w:hAnsi="Arial" w:cs="Arial"/>
          <w:sz w:val="18"/>
          <w:szCs w:val="18"/>
        </w:rPr>
      </w:pPr>
      <w:r w:rsidRPr="005F21E0">
        <w:rPr>
          <w:rFonts w:ascii="Arial" w:hAnsi="Arial" w:cs="Arial"/>
          <w:sz w:val="18"/>
          <w:szCs w:val="18"/>
        </w:rPr>
        <w:t>Table 1: PESTEL Analysis</w:t>
      </w:r>
      <w:r>
        <w:rPr>
          <w:rFonts w:ascii="Arial" w:hAnsi="Arial" w:cs="Arial"/>
          <w:sz w:val="18"/>
          <w:szCs w:val="18"/>
        </w:rPr>
        <w:t xml:space="preserve"> </w:t>
      </w:r>
    </w:p>
    <w:p w14:paraId="5B2EBC68" w14:textId="28ADAF55" w:rsidR="005F21E0" w:rsidRDefault="005F21E0" w:rsidP="005F21E0">
      <w:pPr>
        <w:spacing w:line="360" w:lineRule="auto"/>
        <w:jc w:val="both"/>
        <w:rPr>
          <w:rFonts w:ascii="Arial" w:hAnsi="Arial" w:cs="Arial"/>
          <w:sz w:val="24"/>
          <w:szCs w:val="24"/>
        </w:rPr>
      </w:pPr>
      <w:r w:rsidRPr="005F21E0">
        <w:rPr>
          <w:rFonts w:ascii="Arial" w:hAnsi="Arial" w:cs="Arial"/>
          <w:sz w:val="24"/>
          <w:szCs w:val="24"/>
        </w:rPr>
        <w:t>Equally important, collaboration between regulatory (ZEV Mandate), technology (EV36Zero) and environmental (EU Battery Regulation) will force NMUK's hand to move faster towards circular business principles. Companies that view regulation as a hindrance rather than an advantage will fall behind as producer responsibility lengthens up and down supply chains (</w:t>
      </w:r>
      <w:r w:rsidR="00C97059">
        <w:rPr>
          <w:rFonts w:ascii="Arial" w:hAnsi="Arial" w:cs="Arial"/>
          <w:sz w:val="24"/>
          <w:szCs w:val="24"/>
        </w:rPr>
        <w:t>Cintra et al</w:t>
      </w:r>
      <w:r w:rsidRPr="005F21E0">
        <w:rPr>
          <w:rFonts w:ascii="Arial" w:hAnsi="Arial" w:cs="Arial"/>
          <w:sz w:val="24"/>
          <w:szCs w:val="24"/>
        </w:rPr>
        <w:t>, 2025).</w:t>
      </w:r>
    </w:p>
    <w:p w14:paraId="18180C9F" w14:textId="77777777" w:rsidR="005F21E0" w:rsidRDefault="005F21E0" w:rsidP="005F21E0">
      <w:pPr>
        <w:spacing w:line="360" w:lineRule="auto"/>
        <w:jc w:val="both"/>
        <w:rPr>
          <w:rFonts w:ascii="Arial" w:hAnsi="Arial" w:cs="Arial"/>
          <w:sz w:val="24"/>
          <w:szCs w:val="24"/>
        </w:rPr>
      </w:pPr>
    </w:p>
    <w:p w14:paraId="02D4D054" w14:textId="6716C24F" w:rsidR="005F21E0" w:rsidRDefault="005F21E0" w:rsidP="005F21E0">
      <w:pPr>
        <w:pStyle w:val="Heading2"/>
        <w:numPr>
          <w:ilvl w:val="1"/>
          <w:numId w:val="29"/>
        </w:numPr>
      </w:pPr>
      <w:r>
        <w:t xml:space="preserve"> </w:t>
      </w:r>
      <w:bookmarkStart w:id="13" w:name="_Toc227881853"/>
      <w:r>
        <w:t>External Audit -Porter’s Five Forces</w:t>
      </w:r>
      <w:bookmarkEnd w:id="13"/>
    </w:p>
    <w:p w14:paraId="3EA254AE" w14:textId="73B135E5" w:rsidR="003E50B5" w:rsidRDefault="003E50B5" w:rsidP="00382384">
      <w:pPr>
        <w:spacing w:line="360" w:lineRule="auto"/>
        <w:jc w:val="both"/>
        <w:rPr>
          <w:rFonts w:ascii="Arial" w:hAnsi="Arial" w:cs="Arial"/>
          <w:sz w:val="24"/>
          <w:szCs w:val="24"/>
        </w:rPr>
      </w:pPr>
      <w:r w:rsidRPr="003E50B5">
        <w:rPr>
          <w:rFonts w:ascii="Arial" w:hAnsi="Arial" w:cs="Arial"/>
          <w:sz w:val="24"/>
          <w:szCs w:val="24"/>
        </w:rPr>
        <w:t xml:space="preserve">Industry environment is assessed through Porter's Five Forces framework (Porter, 1985). The five forces show industry attractiveness but fail to take into consideration that certain industries like electrification of automobiles change rapidly making entry </w:t>
      </w:r>
      <w:r w:rsidRPr="003E50B5">
        <w:rPr>
          <w:rFonts w:ascii="Arial" w:hAnsi="Arial" w:cs="Arial"/>
          <w:sz w:val="24"/>
          <w:szCs w:val="24"/>
        </w:rPr>
        <w:lastRenderedPageBreak/>
        <w:t xml:space="preserve">tactics by new entrants from other industries like </w:t>
      </w:r>
      <w:r w:rsidRPr="003E50B5">
        <w:rPr>
          <w:rFonts w:ascii="Arial" w:hAnsi="Arial" w:cs="Arial"/>
          <w:sz w:val="24"/>
          <w:szCs w:val="24"/>
        </w:rPr>
        <w:t>China</w:t>
      </w:r>
      <w:r w:rsidRPr="003E50B5">
        <w:rPr>
          <w:rFonts w:ascii="Arial" w:hAnsi="Arial" w:cs="Arial"/>
          <w:sz w:val="24"/>
          <w:szCs w:val="24"/>
        </w:rPr>
        <w:t xml:space="preserve"> happen at a faster </w:t>
      </w:r>
      <w:r w:rsidRPr="003E50B5">
        <w:rPr>
          <w:rFonts w:ascii="Arial" w:hAnsi="Arial" w:cs="Arial"/>
          <w:sz w:val="24"/>
          <w:szCs w:val="24"/>
        </w:rPr>
        <w:t>rate (</w:t>
      </w:r>
      <w:r w:rsidRPr="003E50B5">
        <w:rPr>
          <w:rFonts w:ascii="Arial" w:hAnsi="Arial" w:cs="Arial"/>
          <w:sz w:val="24"/>
          <w:szCs w:val="24"/>
        </w:rPr>
        <w:t>Johnson et al., 2023).</w:t>
      </w:r>
    </w:p>
    <w:p w14:paraId="6FF2DBEE" w14:textId="30C5ED8C" w:rsidR="00C54E08" w:rsidRPr="003E50B5" w:rsidRDefault="00C54E08" w:rsidP="003E50B5">
      <w:pPr>
        <w:spacing w:line="360" w:lineRule="auto"/>
        <w:jc w:val="both"/>
        <w:rPr>
          <w:rFonts w:ascii="Arial" w:hAnsi="Arial" w:cs="Arial"/>
          <w:sz w:val="24"/>
          <w:szCs w:val="24"/>
        </w:rPr>
      </w:pPr>
      <w:r>
        <w:rPr>
          <w:noProof/>
        </w:rPr>
        <w:drawing>
          <wp:inline distT="0" distB="0" distL="0" distR="0" wp14:anchorId="3436D19A" wp14:editId="2A0F8A36">
            <wp:extent cx="5838825" cy="3543935"/>
            <wp:effectExtent l="0" t="0" r="9525" b="0"/>
            <wp:docPr id="638747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747580" name=""/>
                    <pic:cNvPicPr/>
                  </pic:nvPicPr>
                  <pic:blipFill>
                    <a:blip r:embed="rId8"/>
                    <a:stretch>
                      <a:fillRect/>
                    </a:stretch>
                  </pic:blipFill>
                  <pic:spPr>
                    <a:xfrm>
                      <a:off x="0" y="0"/>
                      <a:ext cx="5838825" cy="3543935"/>
                    </a:xfrm>
                    <a:prstGeom prst="rect">
                      <a:avLst/>
                    </a:prstGeom>
                  </pic:spPr>
                </pic:pic>
              </a:graphicData>
            </a:graphic>
          </wp:inline>
        </w:drawing>
      </w:r>
    </w:p>
    <w:p w14:paraId="48FB768B" w14:textId="2F7C683B" w:rsidR="00382384" w:rsidRPr="00F74EE7" w:rsidRDefault="00382384" w:rsidP="00F74EE7">
      <w:pPr>
        <w:jc w:val="center"/>
        <w:rPr>
          <w:sz w:val="18"/>
          <w:szCs w:val="18"/>
        </w:rPr>
      </w:pPr>
      <w:r w:rsidRPr="00382384">
        <w:rPr>
          <w:sz w:val="18"/>
          <w:szCs w:val="18"/>
        </w:rPr>
        <w:t>Table 2: Porter's Five Forces Analysis</w:t>
      </w:r>
    </w:p>
    <w:p w14:paraId="3E910A53" w14:textId="30585D2E" w:rsidR="00995A54" w:rsidRDefault="00382384" w:rsidP="00382384">
      <w:pPr>
        <w:spacing w:line="360" w:lineRule="auto"/>
        <w:jc w:val="both"/>
        <w:rPr>
          <w:rFonts w:ascii="Arial" w:hAnsi="Arial" w:cs="Arial"/>
          <w:sz w:val="24"/>
          <w:szCs w:val="24"/>
        </w:rPr>
      </w:pPr>
      <w:r w:rsidRPr="00382384">
        <w:rPr>
          <w:rFonts w:ascii="Arial" w:hAnsi="Arial" w:cs="Arial"/>
          <w:sz w:val="24"/>
          <w:szCs w:val="24"/>
        </w:rPr>
        <w:t>The primary strategic takeaway from this section is the asymmetry between NMUK's developed EV expertise - hard to recreate quickly - and the Chinese EV threat - the force most likely to come to fruition on a large scale, within NMUK's timeframe. NMUK has a captive domestic EV market it can serve thanks to the ZEV Mandate, if it stays cost competitive with volume-EV players.</w:t>
      </w:r>
    </w:p>
    <w:p w14:paraId="700675B2" w14:textId="77777777" w:rsidR="00502939" w:rsidRDefault="00502939" w:rsidP="00382384">
      <w:pPr>
        <w:spacing w:line="360" w:lineRule="auto"/>
        <w:jc w:val="both"/>
        <w:rPr>
          <w:rFonts w:ascii="Arial" w:hAnsi="Arial" w:cs="Arial"/>
          <w:sz w:val="24"/>
          <w:szCs w:val="24"/>
        </w:rPr>
      </w:pPr>
    </w:p>
    <w:p w14:paraId="5E08CC9F" w14:textId="77777777" w:rsidR="00502939" w:rsidRDefault="00502939" w:rsidP="00382384">
      <w:pPr>
        <w:spacing w:line="360" w:lineRule="auto"/>
        <w:jc w:val="both"/>
        <w:rPr>
          <w:rFonts w:ascii="Arial" w:hAnsi="Arial" w:cs="Arial"/>
          <w:sz w:val="24"/>
          <w:szCs w:val="24"/>
        </w:rPr>
      </w:pPr>
    </w:p>
    <w:p w14:paraId="733B2D00" w14:textId="77777777" w:rsidR="00502939" w:rsidRPr="00382384" w:rsidRDefault="00502939" w:rsidP="00382384">
      <w:pPr>
        <w:spacing w:line="360" w:lineRule="auto"/>
        <w:jc w:val="both"/>
        <w:rPr>
          <w:rFonts w:ascii="Arial" w:hAnsi="Arial" w:cs="Arial"/>
          <w:sz w:val="24"/>
          <w:szCs w:val="24"/>
        </w:rPr>
      </w:pPr>
    </w:p>
    <w:p w14:paraId="29520A82" w14:textId="60A83169" w:rsidR="00690248" w:rsidRDefault="00690248" w:rsidP="00690248">
      <w:pPr>
        <w:pStyle w:val="Heading2"/>
        <w:numPr>
          <w:ilvl w:val="1"/>
          <w:numId w:val="30"/>
        </w:numPr>
      </w:pPr>
      <w:r>
        <w:lastRenderedPageBreak/>
        <w:t xml:space="preserve"> </w:t>
      </w:r>
      <w:bookmarkStart w:id="14" w:name="_Toc227881854"/>
      <w:r>
        <w:t>Internal Environmental Audit -Swot Analysis</w:t>
      </w:r>
      <w:bookmarkEnd w:id="14"/>
    </w:p>
    <w:p w14:paraId="38275C28" w14:textId="5ED9FF5C" w:rsidR="00690248" w:rsidRPr="00690248" w:rsidRDefault="00690248" w:rsidP="00690248">
      <w:r>
        <w:rPr>
          <w:noProof/>
        </w:rPr>
        <w:drawing>
          <wp:inline distT="0" distB="0" distL="0" distR="0" wp14:anchorId="6C264A3B" wp14:editId="074830FF">
            <wp:extent cx="5731510" cy="2633345"/>
            <wp:effectExtent l="0" t="0" r="2540" b="0"/>
            <wp:docPr id="1742507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507255" name=""/>
                    <pic:cNvPicPr/>
                  </pic:nvPicPr>
                  <pic:blipFill>
                    <a:blip r:embed="rId9"/>
                    <a:stretch>
                      <a:fillRect/>
                    </a:stretch>
                  </pic:blipFill>
                  <pic:spPr>
                    <a:xfrm>
                      <a:off x="0" y="0"/>
                      <a:ext cx="5731510" cy="2633345"/>
                    </a:xfrm>
                    <a:prstGeom prst="rect">
                      <a:avLst/>
                    </a:prstGeom>
                  </pic:spPr>
                </pic:pic>
              </a:graphicData>
            </a:graphic>
          </wp:inline>
        </w:drawing>
      </w:r>
    </w:p>
    <w:p w14:paraId="361A9885" w14:textId="360F48AA" w:rsidR="00995A54" w:rsidRDefault="00690248" w:rsidP="00690248">
      <w:pPr>
        <w:jc w:val="center"/>
        <w:rPr>
          <w:rFonts w:ascii="Arial" w:hAnsi="Arial" w:cs="Arial"/>
          <w:sz w:val="18"/>
          <w:szCs w:val="18"/>
        </w:rPr>
      </w:pPr>
      <w:r w:rsidRPr="00382384">
        <w:rPr>
          <w:rFonts w:ascii="Arial" w:hAnsi="Arial" w:cs="Arial"/>
          <w:sz w:val="18"/>
          <w:szCs w:val="18"/>
        </w:rPr>
        <w:t>Table 3: SWOT Analysis</w:t>
      </w:r>
    </w:p>
    <w:p w14:paraId="4B0B53F0" w14:textId="77777777" w:rsidR="00502939" w:rsidRPr="00382384" w:rsidRDefault="00502939" w:rsidP="00690248">
      <w:pPr>
        <w:jc w:val="center"/>
        <w:rPr>
          <w:rFonts w:ascii="Arial" w:hAnsi="Arial" w:cs="Arial"/>
          <w:sz w:val="18"/>
          <w:szCs w:val="18"/>
        </w:rPr>
      </w:pPr>
    </w:p>
    <w:p w14:paraId="585D54DC" w14:textId="15F93A32" w:rsidR="00995A54" w:rsidRPr="00502939" w:rsidRDefault="00502939" w:rsidP="00502939">
      <w:pPr>
        <w:spacing w:line="360" w:lineRule="auto"/>
        <w:jc w:val="both"/>
        <w:rPr>
          <w:rFonts w:ascii="Arial" w:hAnsi="Arial" w:cs="Arial"/>
          <w:sz w:val="24"/>
          <w:szCs w:val="24"/>
        </w:rPr>
      </w:pPr>
      <w:r w:rsidRPr="00502939">
        <w:rPr>
          <w:rFonts w:ascii="Arial" w:hAnsi="Arial" w:cs="Arial"/>
          <w:sz w:val="24"/>
          <w:szCs w:val="24"/>
        </w:rPr>
        <w:t xml:space="preserve">The most material strategic implication of the SWOT analysis is that NMUK's two strongest strategic assets (EV36Zero and AESC integration) speak directly to the two most material opportunities (ZEV Mandate demand growth and the circular economy) </w:t>
      </w:r>
      <w:r w:rsidRPr="00502939">
        <w:rPr>
          <w:rFonts w:ascii="Arial" w:hAnsi="Arial" w:cs="Arial"/>
          <w:sz w:val="24"/>
          <w:szCs w:val="24"/>
        </w:rPr>
        <w:t>and</w:t>
      </w:r>
      <w:r w:rsidRPr="00502939">
        <w:rPr>
          <w:rFonts w:ascii="Arial" w:hAnsi="Arial" w:cs="Arial"/>
          <w:sz w:val="24"/>
          <w:szCs w:val="24"/>
        </w:rPr>
        <w:t xml:space="preserve"> offset the two largest threats (supply chain disruption risks and Chinese EV companies crowding NMUK out on range/performance). The remaining primary concern is the financial vulnerability of the parent company over which NMUK has no control.</w:t>
      </w:r>
    </w:p>
    <w:p w14:paraId="014CC77B" w14:textId="7A784822" w:rsidR="00E16242" w:rsidRPr="00F74EE7" w:rsidRDefault="00EC2930" w:rsidP="00F74EE7">
      <w:pPr>
        <w:pStyle w:val="Heading2"/>
        <w:numPr>
          <w:ilvl w:val="1"/>
          <w:numId w:val="33"/>
        </w:numPr>
      </w:pPr>
      <w:r>
        <w:t xml:space="preserve"> </w:t>
      </w:r>
      <w:bookmarkStart w:id="15" w:name="_Toc227881855"/>
      <w:r>
        <w:t>Internal Audit -VRIO Analysis</w:t>
      </w:r>
      <w:bookmarkEnd w:id="15"/>
    </w:p>
    <w:p w14:paraId="404E5ED4" w14:textId="040A39FD" w:rsidR="00E16242" w:rsidRPr="00E16242" w:rsidRDefault="00E16242" w:rsidP="00E16242">
      <w:pPr>
        <w:spacing w:line="360" w:lineRule="auto"/>
        <w:jc w:val="both"/>
        <w:rPr>
          <w:rFonts w:ascii="Arial" w:hAnsi="Arial" w:cs="Arial"/>
          <w:sz w:val="24"/>
          <w:szCs w:val="24"/>
        </w:rPr>
      </w:pPr>
      <w:r w:rsidRPr="00E16242">
        <w:rPr>
          <w:rFonts w:ascii="Arial" w:hAnsi="Arial" w:cs="Arial"/>
          <w:sz w:val="24"/>
          <w:szCs w:val="24"/>
        </w:rPr>
        <w:t>VRIO framework of Barney’s (1991) determine if an organisation has resources which can be sustained over time to create a competitive advantage. Path dependency (40 years of Sunderland heritage), social complexity (Nissan-AESC-Council governance) and causal ambiguity (tacit knowledge of the workforce) are characteristics of the EV36Zero ecosystem that make it very difficult to replicate (Barney, 1991).</w:t>
      </w:r>
    </w:p>
    <w:p w14:paraId="6E9A1167" w14:textId="1AFF7C75" w:rsidR="00995A54" w:rsidRDefault="00E16242">
      <w:r>
        <w:rPr>
          <w:noProof/>
        </w:rPr>
        <w:lastRenderedPageBreak/>
        <w:drawing>
          <wp:inline distT="0" distB="0" distL="0" distR="0" wp14:anchorId="56565B3D" wp14:editId="0F904E72">
            <wp:extent cx="5731510" cy="2613660"/>
            <wp:effectExtent l="0" t="0" r="2540" b="0"/>
            <wp:docPr id="2100170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170627" name=""/>
                    <pic:cNvPicPr/>
                  </pic:nvPicPr>
                  <pic:blipFill>
                    <a:blip r:embed="rId10"/>
                    <a:stretch>
                      <a:fillRect/>
                    </a:stretch>
                  </pic:blipFill>
                  <pic:spPr>
                    <a:xfrm>
                      <a:off x="0" y="0"/>
                      <a:ext cx="5731510" cy="2613660"/>
                    </a:xfrm>
                    <a:prstGeom prst="rect">
                      <a:avLst/>
                    </a:prstGeom>
                  </pic:spPr>
                </pic:pic>
              </a:graphicData>
            </a:graphic>
          </wp:inline>
        </w:drawing>
      </w:r>
    </w:p>
    <w:p w14:paraId="547CE389" w14:textId="54C38229" w:rsidR="00E16242" w:rsidRPr="00E16242" w:rsidRDefault="00E16242" w:rsidP="00E16242">
      <w:pPr>
        <w:jc w:val="center"/>
        <w:rPr>
          <w:rFonts w:ascii="Arial" w:hAnsi="Arial" w:cs="Arial"/>
          <w:sz w:val="18"/>
          <w:szCs w:val="18"/>
        </w:rPr>
      </w:pPr>
      <w:r w:rsidRPr="00E16242">
        <w:rPr>
          <w:rFonts w:ascii="Arial" w:hAnsi="Arial" w:cs="Arial"/>
          <w:sz w:val="18"/>
          <w:szCs w:val="18"/>
        </w:rPr>
        <w:t>Table 4: VRIO Analysis</w:t>
      </w:r>
    </w:p>
    <w:p w14:paraId="6E2A3787" w14:textId="77777777" w:rsidR="00995A54" w:rsidRDefault="00995A54"/>
    <w:p w14:paraId="163DD0FC" w14:textId="77777777" w:rsidR="00995A54" w:rsidRDefault="00995A54"/>
    <w:p w14:paraId="46C5B914" w14:textId="4F72C857" w:rsidR="00995A54" w:rsidRPr="00947FC1" w:rsidRDefault="00E16242" w:rsidP="00E16242">
      <w:pPr>
        <w:pStyle w:val="Heading1"/>
        <w:rPr>
          <w:b/>
          <w:bCs/>
        </w:rPr>
      </w:pPr>
      <w:bookmarkStart w:id="16" w:name="_Toc227881856"/>
      <w:r w:rsidRPr="00947FC1">
        <w:rPr>
          <w:b/>
          <w:bCs/>
        </w:rPr>
        <w:t>Strategy Formulation</w:t>
      </w:r>
      <w:bookmarkEnd w:id="16"/>
      <w:r w:rsidRPr="00947FC1">
        <w:rPr>
          <w:b/>
          <w:bCs/>
        </w:rPr>
        <w:t xml:space="preserve"> </w:t>
      </w:r>
    </w:p>
    <w:p w14:paraId="79320FD6" w14:textId="1E48E16E" w:rsidR="00E16242" w:rsidRDefault="00E16242" w:rsidP="00E16242">
      <w:pPr>
        <w:pStyle w:val="FirstParagraph"/>
        <w:spacing w:line="360" w:lineRule="auto"/>
        <w:jc w:val="both"/>
        <w:rPr>
          <w:rFonts w:ascii="Arial" w:hAnsi="Arial" w:cs="Arial"/>
        </w:rPr>
      </w:pPr>
      <w:r w:rsidRPr="00E16242">
        <w:rPr>
          <w:rFonts w:ascii="Arial" w:hAnsi="Arial" w:cs="Arial"/>
        </w:rPr>
        <w:t xml:space="preserve">Drawing on the preceding analysis, NMUK must pursue a Focused Differentiation Strategy (Porter, 1985), targeting the premium-within-EV segment. This strategy is anchored in three mutually reinforcing pillars: EV Production Leadership, Supply Chain Resilience, and an innovative </w:t>
      </w:r>
      <w:r w:rsidRPr="00E16242">
        <w:rPr>
          <w:rFonts w:ascii="Arial" w:hAnsi="Arial" w:cs="Arial"/>
        </w:rPr>
        <w:t>Circular</w:t>
      </w:r>
      <w:r w:rsidRPr="00E16242">
        <w:rPr>
          <w:rFonts w:ascii="Arial" w:hAnsi="Arial" w:cs="Arial"/>
        </w:rPr>
        <w:t xml:space="preserve"> Battery Hub.</w:t>
      </w:r>
    </w:p>
    <w:p w14:paraId="42EF7DD8" w14:textId="143382EE" w:rsidR="00E16242" w:rsidRDefault="00E16242" w:rsidP="00E16242">
      <w:pPr>
        <w:pStyle w:val="Heading2"/>
      </w:pPr>
      <w:bookmarkStart w:id="17" w:name="_Toc227881857"/>
      <w:r>
        <w:t>6.1 Ev Production Leadership</w:t>
      </w:r>
      <w:bookmarkEnd w:id="17"/>
    </w:p>
    <w:p w14:paraId="0B21022F" w14:textId="75ED9B30" w:rsidR="00E16242" w:rsidRDefault="00E16242" w:rsidP="00E16242">
      <w:pPr>
        <w:spacing w:line="360" w:lineRule="auto"/>
        <w:jc w:val="both"/>
        <w:rPr>
          <w:rFonts w:ascii="Arial" w:hAnsi="Arial" w:cs="Arial"/>
          <w:sz w:val="24"/>
          <w:szCs w:val="24"/>
        </w:rPr>
      </w:pPr>
      <w:r w:rsidRPr="00E16242">
        <w:rPr>
          <w:rFonts w:ascii="Arial" w:hAnsi="Arial" w:cs="Arial"/>
          <w:sz w:val="24"/>
          <w:szCs w:val="24"/>
        </w:rPr>
        <w:t xml:space="preserve">NMUK must speed up complete electrification of its range if it is to meet the ZEV Mandate requirements and benefit from the EV36Zero support package. Production of third-generation LEAF is </w:t>
      </w:r>
      <w:proofErr w:type="gramStart"/>
      <w:r w:rsidRPr="00E16242">
        <w:rPr>
          <w:rFonts w:ascii="Arial" w:hAnsi="Arial" w:cs="Arial"/>
          <w:sz w:val="24"/>
          <w:szCs w:val="24"/>
        </w:rPr>
        <w:t>underway</w:t>
      </w:r>
      <w:proofErr w:type="gramEnd"/>
      <w:r w:rsidRPr="00E16242">
        <w:rPr>
          <w:rFonts w:ascii="Arial" w:hAnsi="Arial" w:cs="Arial"/>
          <w:sz w:val="24"/>
          <w:szCs w:val="24"/>
        </w:rPr>
        <w:t xml:space="preserve"> and the electric version of Juke is currently being trialled (Nissan UK News, 2026). Therefore, it is vital that we lock down the EV Qashqai for Sunderland. Qashqai is the UK’s bestselling car and an EV version built in Sunderland would be a huge commercial milestone. This would also relate back to Teece’s (20</w:t>
      </w:r>
      <w:r w:rsidR="00C443CB">
        <w:rPr>
          <w:rFonts w:ascii="Arial" w:hAnsi="Arial" w:cs="Arial"/>
          <w:sz w:val="24"/>
          <w:szCs w:val="24"/>
        </w:rPr>
        <w:t>17</w:t>
      </w:r>
      <w:r w:rsidRPr="00E16242">
        <w:rPr>
          <w:rFonts w:ascii="Arial" w:hAnsi="Arial" w:cs="Arial"/>
          <w:sz w:val="24"/>
          <w:szCs w:val="24"/>
        </w:rPr>
        <w:t>) dynamic capabilities principle of ‘seizing’ opportunities that have arisen from regulation convergence (Nissan UK News, 2026).</w:t>
      </w:r>
    </w:p>
    <w:p w14:paraId="7E04967B" w14:textId="5E2AF7E8" w:rsidR="00F74EE7" w:rsidRDefault="00F74EE7" w:rsidP="00F74EE7">
      <w:pPr>
        <w:pStyle w:val="Heading2"/>
        <w:numPr>
          <w:ilvl w:val="0"/>
          <w:numId w:val="41"/>
        </w:numPr>
      </w:pPr>
      <w:bookmarkStart w:id="18" w:name="_Toc227881858"/>
      <w:r>
        <w:t>2 Supply Chain Resilience and Localisation</w:t>
      </w:r>
      <w:bookmarkEnd w:id="18"/>
      <w:r>
        <w:t xml:space="preserve"> </w:t>
      </w:r>
    </w:p>
    <w:p w14:paraId="2E57C6F3" w14:textId="2B04B3FB" w:rsidR="00F74EE7" w:rsidRDefault="00F74EE7" w:rsidP="00BF5FFC">
      <w:pPr>
        <w:spacing w:line="360" w:lineRule="auto"/>
        <w:jc w:val="both"/>
        <w:rPr>
          <w:rFonts w:ascii="Arial" w:hAnsi="Arial" w:cs="Arial"/>
          <w:sz w:val="24"/>
          <w:szCs w:val="24"/>
        </w:rPr>
      </w:pPr>
      <w:r w:rsidRPr="00F74EE7">
        <w:rPr>
          <w:rFonts w:ascii="Arial" w:hAnsi="Arial" w:cs="Arial"/>
          <w:sz w:val="24"/>
          <w:szCs w:val="24"/>
        </w:rPr>
        <w:t>Reducing geopolitical risk and meeting rules-of-origin criteria established by the UK-EU Trade and Cooperation Agreement will require further vertical integration by NMUK. As demonstrated by the AESC battery joint venture, NMUK should look to co-</w:t>
      </w:r>
      <w:r w:rsidRPr="00F74EE7">
        <w:rPr>
          <w:rFonts w:ascii="Arial" w:hAnsi="Arial" w:cs="Arial"/>
          <w:sz w:val="24"/>
          <w:szCs w:val="24"/>
        </w:rPr>
        <w:lastRenderedPageBreak/>
        <w:t xml:space="preserve">locate Tier-1 suppliers which produce EV essential components including power electronics and thermal management systems in the </w:t>
      </w:r>
      <w:r w:rsidRPr="00F74EE7">
        <w:rPr>
          <w:rFonts w:ascii="Arial" w:hAnsi="Arial" w:cs="Arial"/>
          <w:sz w:val="24"/>
          <w:szCs w:val="24"/>
        </w:rPr>
        <w:t>Northeast</w:t>
      </w:r>
      <w:r w:rsidRPr="00F74EE7">
        <w:rPr>
          <w:rFonts w:ascii="Arial" w:hAnsi="Arial" w:cs="Arial"/>
          <w:sz w:val="24"/>
          <w:szCs w:val="24"/>
        </w:rPr>
        <w:t>. Cost and rules-of-origin can be addressed by localisation initiatives (</w:t>
      </w:r>
      <w:r w:rsidR="00844D18">
        <w:rPr>
          <w:rFonts w:ascii="Arial" w:hAnsi="Arial" w:cs="Arial"/>
          <w:sz w:val="24"/>
          <w:szCs w:val="24"/>
        </w:rPr>
        <w:t>Kempston et al</w:t>
      </w:r>
      <w:r w:rsidRPr="00F74EE7">
        <w:rPr>
          <w:rFonts w:ascii="Arial" w:hAnsi="Arial" w:cs="Arial"/>
          <w:sz w:val="24"/>
          <w:szCs w:val="24"/>
        </w:rPr>
        <w:t>, 2025).</w:t>
      </w:r>
    </w:p>
    <w:p w14:paraId="0EDE1757" w14:textId="38DBAB86" w:rsidR="00E16242" w:rsidRDefault="00F74EE7" w:rsidP="00E16242">
      <w:pPr>
        <w:pStyle w:val="Heading2"/>
        <w:numPr>
          <w:ilvl w:val="0"/>
          <w:numId w:val="43"/>
        </w:numPr>
      </w:pPr>
      <w:bookmarkStart w:id="19" w:name="_Toc227881859"/>
      <w:r>
        <w:t>3 Circular Economy Battery Hub</w:t>
      </w:r>
      <w:bookmarkEnd w:id="19"/>
      <w:r>
        <w:t xml:space="preserve"> </w:t>
      </w:r>
    </w:p>
    <w:p w14:paraId="7BCC3F35" w14:textId="42DAD5E9" w:rsidR="00BF5FFC" w:rsidRDefault="00BF5FFC" w:rsidP="00BF5FFC">
      <w:pPr>
        <w:spacing w:line="360" w:lineRule="auto"/>
        <w:jc w:val="both"/>
        <w:rPr>
          <w:rFonts w:ascii="Arial" w:hAnsi="Arial" w:cs="Arial"/>
          <w:sz w:val="24"/>
          <w:szCs w:val="24"/>
        </w:rPr>
      </w:pPr>
      <w:r w:rsidRPr="00BF5FFC">
        <w:rPr>
          <w:rFonts w:ascii="Arial" w:hAnsi="Arial" w:cs="Arial"/>
          <w:sz w:val="24"/>
          <w:szCs w:val="24"/>
        </w:rPr>
        <w:t xml:space="preserve">For game-changing strategic differentiation, NMUK should aim to position its Sunderland campus as the UK’s first full circular economy EV battery hub. With first-generation LEAF batteries reaching end-of-life soon, NMUK </w:t>
      </w:r>
      <w:r w:rsidRPr="00BF5FFC">
        <w:rPr>
          <w:rFonts w:ascii="Arial" w:hAnsi="Arial" w:cs="Arial"/>
          <w:sz w:val="24"/>
          <w:szCs w:val="24"/>
        </w:rPr>
        <w:t>can</w:t>
      </w:r>
      <w:r w:rsidRPr="00BF5FFC">
        <w:rPr>
          <w:rFonts w:ascii="Arial" w:hAnsi="Arial" w:cs="Arial"/>
          <w:sz w:val="24"/>
          <w:szCs w:val="24"/>
        </w:rPr>
        <w:t xml:space="preserve"> unlock a brand-new revenue stream with high margins. Ecosystem level circular business models for second-life EV batteries represent one of the largest opportunities for value capture yet untapped, according to </w:t>
      </w:r>
      <w:proofErr w:type="spellStart"/>
      <w:r w:rsidRPr="00BF5FFC">
        <w:rPr>
          <w:rFonts w:ascii="Arial" w:hAnsi="Arial" w:cs="Arial"/>
          <w:sz w:val="24"/>
          <w:szCs w:val="24"/>
        </w:rPr>
        <w:t>Toorajipour</w:t>
      </w:r>
      <w:proofErr w:type="spellEnd"/>
      <w:r w:rsidRPr="00BF5FFC">
        <w:rPr>
          <w:rFonts w:ascii="Arial" w:hAnsi="Arial" w:cs="Arial"/>
          <w:sz w:val="24"/>
          <w:szCs w:val="24"/>
        </w:rPr>
        <w:t xml:space="preserve"> et al. (2024). Batteries that have 70-80% of their capacity remaining can be repurposed into stationary energy storage solutions (to power the Sunderland Microgrid or sell into commercial vehicle </w:t>
      </w:r>
      <w:proofErr w:type="gramStart"/>
      <w:r w:rsidRPr="00BF5FFC">
        <w:rPr>
          <w:rFonts w:ascii="Arial" w:hAnsi="Arial" w:cs="Arial"/>
          <w:sz w:val="24"/>
          <w:szCs w:val="24"/>
        </w:rPr>
        <w:t>operators)(</w:t>
      </w:r>
      <w:proofErr w:type="gramEnd"/>
      <w:r w:rsidRPr="00BF5FFC">
        <w:rPr>
          <w:rFonts w:ascii="Arial" w:hAnsi="Arial" w:cs="Arial"/>
          <w:sz w:val="24"/>
          <w:szCs w:val="24"/>
        </w:rPr>
        <w:t>Thakur et al., 2022). This provides an additional Vehicle-to-Grid (V2G) and Battery-as-a-Service revenue stream whilst transforming NMUK from simply a manufacturer to an integrated clean energy business. It should be noted that under EU Battery Regulation (Charging EVs tomorrow today) 2023, Extended producer responsibility like this will become mandatory (</w:t>
      </w:r>
      <w:r w:rsidR="00C97059">
        <w:rPr>
          <w:rFonts w:ascii="Arial" w:hAnsi="Arial" w:cs="Arial"/>
          <w:sz w:val="24"/>
          <w:szCs w:val="24"/>
        </w:rPr>
        <w:t>Cintra et al</w:t>
      </w:r>
      <w:r w:rsidR="00A80385">
        <w:rPr>
          <w:rFonts w:ascii="Arial" w:hAnsi="Arial" w:cs="Arial"/>
          <w:sz w:val="24"/>
          <w:szCs w:val="24"/>
        </w:rPr>
        <w:t>.</w:t>
      </w:r>
      <w:r w:rsidRPr="00BF5FFC">
        <w:rPr>
          <w:rFonts w:ascii="Arial" w:hAnsi="Arial" w:cs="Arial"/>
          <w:sz w:val="24"/>
          <w:szCs w:val="24"/>
        </w:rPr>
        <w:t>, 2025).</w:t>
      </w:r>
    </w:p>
    <w:p w14:paraId="31E322FE" w14:textId="77777777" w:rsidR="00BF5FFC" w:rsidRDefault="00BF5FFC" w:rsidP="00BF5FFC">
      <w:pPr>
        <w:spacing w:line="360" w:lineRule="auto"/>
        <w:jc w:val="both"/>
        <w:rPr>
          <w:rFonts w:ascii="Arial" w:hAnsi="Arial" w:cs="Arial"/>
          <w:sz w:val="24"/>
          <w:szCs w:val="24"/>
        </w:rPr>
      </w:pPr>
    </w:p>
    <w:p w14:paraId="409A0DCD" w14:textId="61982041" w:rsidR="00BF5FFC" w:rsidRPr="00947FC1" w:rsidRDefault="00BF5FFC" w:rsidP="00BF5FFC">
      <w:pPr>
        <w:pStyle w:val="Heading1"/>
        <w:rPr>
          <w:b/>
          <w:bCs/>
        </w:rPr>
      </w:pPr>
      <w:bookmarkStart w:id="20" w:name="_Toc227881860"/>
      <w:r w:rsidRPr="00947FC1">
        <w:rPr>
          <w:b/>
          <w:bCs/>
        </w:rPr>
        <w:t>Conclusion and Recommendations</w:t>
      </w:r>
      <w:bookmarkEnd w:id="20"/>
    </w:p>
    <w:p w14:paraId="066A6949" w14:textId="77777777" w:rsidR="00BF5FFC" w:rsidRPr="00BF5FFC" w:rsidRDefault="00BF5FFC" w:rsidP="00BF5FFC">
      <w:pPr>
        <w:spacing w:line="360" w:lineRule="auto"/>
        <w:jc w:val="both"/>
        <w:rPr>
          <w:rFonts w:ascii="Arial" w:hAnsi="Arial" w:cs="Arial"/>
          <w:sz w:val="24"/>
          <w:szCs w:val="24"/>
        </w:rPr>
      </w:pPr>
      <w:r w:rsidRPr="00BF5FFC">
        <w:rPr>
          <w:rFonts w:ascii="Arial" w:hAnsi="Arial" w:cs="Arial"/>
          <w:sz w:val="24"/>
          <w:szCs w:val="24"/>
        </w:rPr>
        <w:t>Positioned within the UK’s premier, fully vertically integrated EV manufacturing, battery and renewable energy complex, and as part of a parent company currently experiencing significant financial distress, NMUK finds itself in a unique situation. This reality – operating as a best-in-class business whilst running under severe financial duress – is the crux of NMUK’s challenge.</w:t>
      </w:r>
    </w:p>
    <w:p w14:paraId="6922F2BF" w14:textId="3B55D3C9" w:rsidR="00BF5FFC" w:rsidRDefault="00BF5FFC" w:rsidP="00947FC1">
      <w:pPr>
        <w:spacing w:line="360" w:lineRule="auto"/>
        <w:jc w:val="both"/>
        <w:rPr>
          <w:rFonts w:ascii="Arial" w:hAnsi="Arial" w:cs="Arial"/>
          <w:sz w:val="24"/>
          <w:szCs w:val="24"/>
        </w:rPr>
      </w:pPr>
      <w:r w:rsidRPr="00BF5FFC">
        <w:rPr>
          <w:rFonts w:ascii="Arial" w:hAnsi="Arial" w:cs="Arial"/>
          <w:sz w:val="24"/>
          <w:szCs w:val="24"/>
        </w:rPr>
        <w:t>Providing NMUK with a clear, data-backed path forward to reinforce its value as a critical player in the Nissan global strategy, the following Focused Differentiation Strategy recommendations aim to:</w:t>
      </w:r>
    </w:p>
    <w:p w14:paraId="7FDD1886" w14:textId="66BC4BAC" w:rsidR="00947FC1" w:rsidRDefault="00947FC1" w:rsidP="00947FC1">
      <w:pPr>
        <w:pStyle w:val="ListParagraph"/>
        <w:numPr>
          <w:ilvl w:val="0"/>
          <w:numId w:val="44"/>
        </w:numPr>
        <w:spacing w:line="360" w:lineRule="auto"/>
        <w:jc w:val="both"/>
        <w:rPr>
          <w:rFonts w:ascii="Arial" w:hAnsi="Arial" w:cs="Arial"/>
          <w:bCs/>
          <w:sz w:val="24"/>
          <w:szCs w:val="24"/>
        </w:rPr>
      </w:pPr>
      <w:r w:rsidRPr="00947FC1">
        <w:rPr>
          <w:rFonts w:ascii="Arial" w:hAnsi="Arial" w:cs="Arial"/>
          <w:bCs/>
          <w:sz w:val="24"/>
          <w:szCs w:val="24"/>
        </w:rPr>
        <w:t xml:space="preserve">Secure EV Qashqai Commitment: As Nissan UK News (2026) confirms the electric Juke is already in development at Sunderland, the logical next step is to secure the EV Qashqai for Line Two, maximising asset longevity and </w:t>
      </w:r>
      <w:r w:rsidRPr="00947FC1">
        <w:rPr>
          <w:rFonts w:ascii="Arial" w:hAnsi="Arial" w:cs="Arial"/>
          <w:bCs/>
          <w:sz w:val="24"/>
          <w:szCs w:val="24"/>
        </w:rPr>
        <w:lastRenderedPageBreak/>
        <w:t>exploiting the model’s current dominance in the UK market. Teece (20</w:t>
      </w:r>
      <w:r w:rsidR="00C443CB">
        <w:rPr>
          <w:rFonts w:ascii="Arial" w:hAnsi="Arial" w:cs="Arial"/>
          <w:bCs/>
          <w:sz w:val="24"/>
          <w:szCs w:val="24"/>
        </w:rPr>
        <w:t>17</w:t>
      </w:r>
      <w:r w:rsidRPr="00947FC1">
        <w:rPr>
          <w:rFonts w:ascii="Arial" w:hAnsi="Arial" w:cs="Arial"/>
          <w:bCs/>
          <w:sz w:val="24"/>
          <w:szCs w:val="24"/>
        </w:rPr>
        <w:t>) argues that firms with dynamic capabilities must act decisively to seize such time-sensitive opportunities before rivals</w:t>
      </w:r>
      <w:r>
        <w:rPr>
          <w:rFonts w:ascii="Arial" w:hAnsi="Arial" w:cs="Arial"/>
          <w:bCs/>
          <w:sz w:val="24"/>
          <w:szCs w:val="24"/>
        </w:rPr>
        <w:t>.</w:t>
      </w:r>
    </w:p>
    <w:p w14:paraId="356D154B" w14:textId="7AC46698" w:rsidR="00947FC1" w:rsidRDefault="00947FC1" w:rsidP="00947FC1">
      <w:pPr>
        <w:pStyle w:val="ListParagraph"/>
        <w:numPr>
          <w:ilvl w:val="0"/>
          <w:numId w:val="44"/>
        </w:numPr>
        <w:spacing w:line="360" w:lineRule="auto"/>
        <w:jc w:val="both"/>
        <w:rPr>
          <w:rFonts w:ascii="Arial" w:hAnsi="Arial" w:cs="Arial"/>
          <w:bCs/>
          <w:sz w:val="24"/>
          <w:szCs w:val="24"/>
        </w:rPr>
      </w:pPr>
      <w:r w:rsidRPr="00947FC1">
        <w:rPr>
          <w:rFonts w:ascii="Arial" w:hAnsi="Arial" w:cs="Arial"/>
          <w:bCs/>
          <w:sz w:val="24"/>
          <w:szCs w:val="24"/>
        </w:rPr>
        <w:t xml:space="preserve">Develop a Circular Economy Battery Programme: </w:t>
      </w:r>
      <w:proofErr w:type="spellStart"/>
      <w:r w:rsidRPr="00947FC1">
        <w:rPr>
          <w:rFonts w:ascii="Arial" w:hAnsi="Arial" w:cs="Arial"/>
          <w:bCs/>
          <w:sz w:val="24"/>
          <w:szCs w:val="24"/>
        </w:rPr>
        <w:t>Toorajipour</w:t>
      </w:r>
      <w:proofErr w:type="spellEnd"/>
      <w:r w:rsidRPr="00947FC1">
        <w:rPr>
          <w:rFonts w:ascii="Arial" w:hAnsi="Arial" w:cs="Arial"/>
          <w:bCs/>
          <w:sz w:val="24"/>
          <w:szCs w:val="24"/>
        </w:rPr>
        <w:t xml:space="preserve"> et al. (2024) demonstrate that second-life EV battery programmes represent a significant untapped value creation opportunity. NMUK should partner with AESC to repurpose end-of-life</w:t>
      </w:r>
    </w:p>
    <w:p w14:paraId="1F37B304" w14:textId="77777777" w:rsidR="00947FC1" w:rsidRPr="00947FC1" w:rsidRDefault="00947FC1" w:rsidP="00947FC1">
      <w:pPr>
        <w:pStyle w:val="Compact"/>
        <w:numPr>
          <w:ilvl w:val="0"/>
          <w:numId w:val="44"/>
        </w:numPr>
        <w:spacing w:line="360" w:lineRule="auto"/>
        <w:jc w:val="both"/>
        <w:rPr>
          <w:rFonts w:ascii="Arial" w:hAnsi="Arial" w:cs="Arial"/>
          <w:bCs/>
        </w:rPr>
      </w:pPr>
      <w:r w:rsidRPr="00947FC1">
        <w:rPr>
          <w:rFonts w:ascii="Arial" w:hAnsi="Arial" w:cs="Arial"/>
          <w:bCs/>
        </w:rPr>
        <w:t>Invest in V2G Infrastructure: Thakur et al. (2022) confirm that batteries retaining 70–80% capacity are commercially viable for grid-scale energy services. NMUK should pilot Vehicle-to-Grid energy trading with commercial fleet customers at Sunderland, establishing a prototype Battery-as-a-Service revenue model.</w:t>
      </w:r>
    </w:p>
    <w:p w14:paraId="3E99C44A" w14:textId="77777777" w:rsidR="00947FC1" w:rsidRPr="00947FC1" w:rsidRDefault="00947FC1" w:rsidP="00947FC1">
      <w:pPr>
        <w:pStyle w:val="Compact"/>
        <w:numPr>
          <w:ilvl w:val="0"/>
          <w:numId w:val="44"/>
        </w:numPr>
        <w:spacing w:line="360" w:lineRule="auto"/>
        <w:jc w:val="both"/>
        <w:rPr>
          <w:rFonts w:ascii="Arial" w:hAnsi="Arial" w:cs="Arial"/>
          <w:bCs/>
        </w:rPr>
      </w:pPr>
      <w:r w:rsidRPr="00947FC1">
        <w:rPr>
          <w:rFonts w:ascii="Arial" w:hAnsi="Arial" w:cs="Arial"/>
          <w:bCs/>
        </w:rPr>
        <w:t xml:space="preserve">Accelerate Supply Chain </w:t>
      </w:r>
      <w:proofErr w:type="spellStart"/>
      <w:r w:rsidRPr="00947FC1">
        <w:rPr>
          <w:rFonts w:ascii="Arial" w:hAnsi="Arial" w:cs="Arial"/>
          <w:bCs/>
        </w:rPr>
        <w:t>Localisation</w:t>
      </w:r>
      <w:proofErr w:type="spellEnd"/>
      <w:r w:rsidRPr="00947FC1">
        <w:rPr>
          <w:rFonts w:ascii="Arial" w:hAnsi="Arial" w:cs="Arial"/>
          <w:bCs/>
        </w:rPr>
        <w:t xml:space="preserve">: </w:t>
      </w:r>
      <w:proofErr w:type="spellStart"/>
      <w:r w:rsidRPr="00947FC1">
        <w:rPr>
          <w:rFonts w:ascii="Arial" w:hAnsi="Arial" w:cs="Arial"/>
          <w:bCs/>
        </w:rPr>
        <w:t>FleetPoint</w:t>
      </w:r>
      <w:proofErr w:type="spellEnd"/>
      <w:r w:rsidRPr="00947FC1">
        <w:rPr>
          <w:rFonts w:ascii="Arial" w:hAnsi="Arial" w:cs="Arial"/>
          <w:bCs/>
        </w:rPr>
        <w:t xml:space="preserve"> (2025) highlights that Sunderland’s designation for EV expansion is contingent on meeting rules-of-origin requirements under the UK-EU Trade and Cooperation Agreement. As Johnson et al. (2023) note, supply chain resilience is a critical source of competitive advantage in volatile industries.</w:t>
      </w:r>
    </w:p>
    <w:p w14:paraId="35162AF9" w14:textId="77777777" w:rsidR="006D1FE8" w:rsidRDefault="00947FC1" w:rsidP="00947FC1">
      <w:pPr>
        <w:pStyle w:val="Compact"/>
        <w:numPr>
          <w:ilvl w:val="0"/>
          <w:numId w:val="44"/>
        </w:numPr>
        <w:spacing w:line="360" w:lineRule="auto"/>
        <w:jc w:val="both"/>
        <w:rPr>
          <w:rFonts w:ascii="Arial" w:hAnsi="Arial" w:cs="Arial"/>
          <w:bCs/>
        </w:rPr>
      </w:pPr>
      <w:r w:rsidRPr="00947FC1">
        <w:rPr>
          <w:rFonts w:ascii="Arial" w:hAnsi="Arial" w:cs="Arial"/>
          <w:bCs/>
        </w:rPr>
        <w:t xml:space="preserve">Engage Proactively with UK Government: Nissan UK News (2025) confirms that the UK government has committed £4 billion to the automotive sector. NMUK should proactively shape ZEV Mandate incentive structures and public charging infrastructure investment, ensuring that demand-side conditions keep pace with its EV supply capability, as </w:t>
      </w:r>
      <w:proofErr w:type="spellStart"/>
      <w:r w:rsidR="009E6D62" w:rsidRPr="009E6D62">
        <w:rPr>
          <w:rFonts w:ascii="Arial" w:hAnsi="Arial" w:cs="Arial"/>
          <w:lang w:val="en-GB"/>
        </w:rPr>
        <w:t>Pamidimukkala</w:t>
      </w:r>
      <w:proofErr w:type="spellEnd"/>
      <w:r w:rsidR="009E6D62" w:rsidRPr="009E6D62">
        <w:rPr>
          <w:rFonts w:ascii="Arial" w:hAnsi="Arial" w:cs="Arial"/>
          <w:lang w:val="en-GB"/>
        </w:rPr>
        <w:t xml:space="preserve"> et al. (2024</w:t>
      </w:r>
      <w:r w:rsidRPr="009E6D62">
        <w:rPr>
          <w:rFonts w:ascii="Arial" w:hAnsi="Arial" w:cs="Arial"/>
        </w:rPr>
        <w:t>)</w:t>
      </w:r>
      <w:r w:rsidRPr="00947FC1">
        <w:rPr>
          <w:rFonts w:ascii="Arial" w:hAnsi="Arial" w:cs="Arial"/>
          <w:bCs/>
        </w:rPr>
        <w:t xml:space="preserve"> notes consumer adoption remains slower than regulatory targets.</w:t>
      </w:r>
      <w:r w:rsidR="00C83DC6">
        <w:rPr>
          <w:rFonts w:ascii="Arial" w:hAnsi="Arial" w:cs="Arial"/>
          <w:bCs/>
        </w:rPr>
        <w:t xml:space="preserve"> </w:t>
      </w:r>
    </w:p>
    <w:p w14:paraId="34F6C7A5" w14:textId="4F16B477" w:rsidR="00947FC1" w:rsidRPr="00C83DC6" w:rsidRDefault="00C83DC6" w:rsidP="006D1FE8">
      <w:pPr>
        <w:pStyle w:val="Compact"/>
        <w:spacing w:line="360" w:lineRule="auto"/>
        <w:jc w:val="both"/>
        <w:rPr>
          <w:rFonts w:ascii="Arial" w:hAnsi="Arial" w:cs="Arial"/>
          <w:bCs/>
        </w:rPr>
      </w:pPr>
      <w:r>
        <w:rPr>
          <w:rFonts w:ascii="Arial" w:hAnsi="Arial" w:cs="Arial"/>
          <w:bCs/>
        </w:rPr>
        <w:t xml:space="preserve">Weil </w:t>
      </w:r>
      <w:r w:rsidR="00947FC1" w:rsidRPr="00C83DC6">
        <w:rPr>
          <w:rFonts w:ascii="Arial" w:hAnsi="Arial" w:cs="Arial"/>
          <w:bCs/>
        </w:rPr>
        <w:t xml:space="preserve">(1985) and Barney (1991) show that competitive advantage can only be sustained if a company has resources that are valuable, rare, and difficult to copy. </w:t>
      </w:r>
      <w:proofErr w:type="gramStart"/>
      <w:r w:rsidR="00947FC1" w:rsidRPr="00C83DC6">
        <w:rPr>
          <w:rFonts w:ascii="Arial" w:hAnsi="Arial" w:cs="Arial"/>
          <w:bCs/>
        </w:rPr>
        <w:t>It is clear that NMUK’s</w:t>
      </w:r>
      <w:proofErr w:type="gramEnd"/>
      <w:r w:rsidR="00947FC1" w:rsidRPr="00C83DC6">
        <w:rPr>
          <w:rFonts w:ascii="Arial" w:hAnsi="Arial" w:cs="Arial"/>
          <w:bCs/>
        </w:rPr>
        <w:t xml:space="preserve"> EV36Zero business network has these qualities. By becoming a leader in the circular economy, which </w:t>
      </w:r>
      <w:proofErr w:type="spellStart"/>
      <w:r w:rsidR="00947FC1" w:rsidRPr="00C83DC6">
        <w:rPr>
          <w:rFonts w:ascii="Arial" w:hAnsi="Arial" w:cs="Arial"/>
          <w:bCs/>
        </w:rPr>
        <w:t>Toorajipour</w:t>
      </w:r>
      <w:proofErr w:type="spellEnd"/>
      <w:r w:rsidR="00947FC1" w:rsidRPr="00C83DC6">
        <w:rPr>
          <w:rFonts w:ascii="Arial" w:hAnsi="Arial" w:cs="Arial"/>
          <w:bCs/>
        </w:rPr>
        <w:t xml:space="preserve"> et al. (2024) discuss, NMUK could go from being a </w:t>
      </w:r>
      <w:r w:rsidR="00947FC1" w:rsidRPr="00C83DC6">
        <w:rPr>
          <w:rFonts w:ascii="Arial" w:hAnsi="Arial" w:cs="Arial"/>
          <w:bCs/>
        </w:rPr>
        <w:t>best-in-class</w:t>
      </w:r>
      <w:r w:rsidR="00947FC1" w:rsidRPr="00C83DC6">
        <w:rPr>
          <w:rFonts w:ascii="Arial" w:hAnsi="Arial" w:cs="Arial"/>
          <w:bCs/>
        </w:rPr>
        <w:t xml:space="preserve"> manufacturer to an example of sustainable business.</w:t>
      </w:r>
    </w:p>
    <w:p w14:paraId="5D884036" w14:textId="77777777" w:rsidR="00995A54" w:rsidRDefault="00995A54"/>
    <w:p w14:paraId="54A04857" w14:textId="77777777" w:rsidR="00995A54" w:rsidRDefault="00995A54"/>
    <w:p w14:paraId="49F5C90F" w14:textId="77777777" w:rsidR="00995A54" w:rsidRDefault="00995A54"/>
    <w:p w14:paraId="5227759F" w14:textId="77777777" w:rsidR="00995A54" w:rsidRDefault="00995A54"/>
    <w:p w14:paraId="01F90504" w14:textId="1E2909C6" w:rsidR="00121CB7" w:rsidRDefault="001D3811" w:rsidP="00947FC1">
      <w:pPr>
        <w:pStyle w:val="Heading1"/>
        <w:rPr>
          <w:b/>
          <w:bCs/>
        </w:rPr>
      </w:pPr>
      <w:bookmarkStart w:id="21" w:name="_Toc227881861"/>
      <w:r w:rsidRPr="00947FC1">
        <w:rPr>
          <w:b/>
          <w:bCs/>
        </w:rPr>
        <w:lastRenderedPageBreak/>
        <w:t>References</w:t>
      </w:r>
      <w:bookmarkEnd w:id="21"/>
    </w:p>
    <w:p w14:paraId="6914CF5D" w14:textId="77777777" w:rsidR="0034637C" w:rsidRPr="0034637C" w:rsidRDefault="0034637C" w:rsidP="00C97059">
      <w:pPr>
        <w:pStyle w:val="BodyText"/>
        <w:rPr>
          <w:rFonts w:ascii="Arial" w:hAnsi="Arial" w:cs="Arial"/>
          <w:sz w:val="24"/>
          <w:szCs w:val="24"/>
        </w:rPr>
      </w:pPr>
    </w:p>
    <w:p w14:paraId="5E641BB8" w14:textId="77777777" w:rsidR="0034637C" w:rsidRPr="0034637C" w:rsidRDefault="0034637C" w:rsidP="0034637C">
      <w:pPr>
        <w:pStyle w:val="FirstParagraph"/>
        <w:spacing w:line="360" w:lineRule="auto"/>
        <w:rPr>
          <w:rFonts w:ascii="Arial" w:hAnsi="Arial" w:cs="Arial"/>
        </w:rPr>
      </w:pPr>
      <w:r w:rsidRPr="0034637C">
        <w:rPr>
          <w:rFonts w:ascii="Arial" w:hAnsi="Arial" w:cs="Arial"/>
        </w:rPr>
        <w:t xml:space="preserve">Automotive Manufacturing Solutions (2025) </w:t>
      </w:r>
      <w:r w:rsidRPr="0034637C">
        <w:rPr>
          <w:rFonts w:ascii="Arial" w:hAnsi="Arial" w:cs="Arial"/>
          <w:i/>
        </w:rPr>
        <w:t xml:space="preserve">Nissan’s Sunderland plant — electric vehicle hub or cost-cutting casualty amid global </w:t>
      </w:r>
      <w:proofErr w:type="gramStart"/>
      <w:r w:rsidRPr="0034637C">
        <w:rPr>
          <w:rFonts w:ascii="Arial" w:hAnsi="Arial" w:cs="Arial"/>
          <w:i/>
        </w:rPr>
        <w:t>restructuring</w:t>
      </w:r>
      <w:proofErr w:type="gramEnd"/>
      <w:r w:rsidRPr="0034637C">
        <w:rPr>
          <w:rFonts w:ascii="Arial" w:hAnsi="Arial" w:cs="Arial"/>
        </w:rPr>
        <w:t>. Available at: https://www.automotivemanufacturingsolutions.com (Accessed: 2</w:t>
      </w:r>
      <w:r w:rsidRPr="0034637C">
        <w:rPr>
          <w:rFonts w:ascii="Arial" w:hAnsi="Arial" w:cs="Arial"/>
        </w:rPr>
        <w:t>0</w:t>
      </w:r>
      <w:r w:rsidRPr="0034637C">
        <w:rPr>
          <w:rFonts w:ascii="Arial" w:hAnsi="Arial" w:cs="Arial"/>
        </w:rPr>
        <w:t xml:space="preserve"> April 2026).</w:t>
      </w:r>
    </w:p>
    <w:p w14:paraId="41884220" w14:textId="77777777" w:rsidR="0034637C" w:rsidRPr="0034637C" w:rsidRDefault="0034637C" w:rsidP="0034637C">
      <w:pPr>
        <w:pStyle w:val="BodyText"/>
        <w:spacing w:line="360" w:lineRule="auto"/>
        <w:rPr>
          <w:rFonts w:ascii="Arial" w:hAnsi="Arial" w:cs="Arial"/>
          <w:sz w:val="24"/>
          <w:szCs w:val="24"/>
        </w:rPr>
      </w:pPr>
      <w:r w:rsidRPr="0034637C">
        <w:rPr>
          <w:rFonts w:ascii="Arial" w:hAnsi="Arial" w:cs="Arial"/>
          <w:sz w:val="24"/>
          <w:szCs w:val="24"/>
        </w:rPr>
        <w:t xml:space="preserve">Automotive Manufacturing Solutions (2026) </w:t>
      </w:r>
      <w:r w:rsidRPr="0034637C">
        <w:rPr>
          <w:rFonts w:ascii="Arial" w:hAnsi="Arial" w:cs="Arial"/>
          <w:i/>
          <w:sz w:val="24"/>
          <w:szCs w:val="24"/>
        </w:rPr>
        <w:t>Nissan retools Sunderland for next-generation Leaf</w:t>
      </w:r>
      <w:r w:rsidRPr="0034637C">
        <w:rPr>
          <w:rFonts w:ascii="Arial" w:hAnsi="Arial" w:cs="Arial"/>
          <w:sz w:val="24"/>
          <w:szCs w:val="24"/>
        </w:rPr>
        <w:t>. Available at: https://www.automotivemanufacturingsolutions.com (Accessed: 2</w:t>
      </w:r>
      <w:r w:rsidRPr="0034637C">
        <w:rPr>
          <w:rFonts w:ascii="Arial" w:hAnsi="Arial" w:cs="Arial"/>
          <w:sz w:val="24"/>
          <w:szCs w:val="24"/>
        </w:rPr>
        <w:t>0</w:t>
      </w:r>
      <w:r w:rsidRPr="0034637C">
        <w:rPr>
          <w:rFonts w:ascii="Arial" w:hAnsi="Arial" w:cs="Arial"/>
          <w:sz w:val="24"/>
          <w:szCs w:val="24"/>
        </w:rPr>
        <w:t xml:space="preserve"> April 2026).</w:t>
      </w:r>
    </w:p>
    <w:p w14:paraId="235DAF20" w14:textId="77777777" w:rsidR="0034637C" w:rsidRPr="0034637C" w:rsidRDefault="0034637C" w:rsidP="0034637C">
      <w:pPr>
        <w:pStyle w:val="BodyText"/>
        <w:spacing w:line="360" w:lineRule="auto"/>
        <w:rPr>
          <w:rFonts w:ascii="Arial" w:hAnsi="Arial" w:cs="Arial"/>
          <w:sz w:val="24"/>
          <w:szCs w:val="24"/>
        </w:rPr>
      </w:pPr>
      <w:r w:rsidRPr="002723DC">
        <w:rPr>
          <w:rFonts w:ascii="Arial" w:hAnsi="Arial" w:cs="Arial"/>
          <w:sz w:val="24"/>
          <w:szCs w:val="24"/>
        </w:rPr>
        <w:t xml:space="preserve">Barney, J. (1991) “Firm Resources and Sustained Competitive Advantage,” </w:t>
      </w:r>
      <w:r w:rsidRPr="002723DC">
        <w:rPr>
          <w:rFonts w:ascii="Arial" w:hAnsi="Arial" w:cs="Arial"/>
          <w:i/>
          <w:iCs/>
          <w:sz w:val="24"/>
          <w:szCs w:val="24"/>
        </w:rPr>
        <w:t>Journal of management</w:t>
      </w:r>
      <w:r w:rsidRPr="002723DC">
        <w:rPr>
          <w:rFonts w:ascii="Arial" w:hAnsi="Arial" w:cs="Arial"/>
          <w:sz w:val="24"/>
          <w:szCs w:val="24"/>
        </w:rPr>
        <w:t xml:space="preserve">, 17(1), pp. 99–120. Available at: </w:t>
      </w:r>
      <w:hyperlink r:id="rId11" w:history="1">
        <w:r w:rsidRPr="002723DC">
          <w:rPr>
            <w:rStyle w:val="Hyperlink"/>
            <w:rFonts w:ascii="Arial" w:hAnsi="Arial" w:cs="Arial"/>
            <w:sz w:val="24"/>
            <w:szCs w:val="24"/>
          </w:rPr>
          <w:t>https://doi.org/10.1177/014920639101700108</w:t>
        </w:r>
      </w:hyperlink>
      <w:r w:rsidRPr="002723DC">
        <w:rPr>
          <w:rFonts w:ascii="Arial" w:hAnsi="Arial" w:cs="Arial"/>
          <w:sz w:val="24"/>
          <w:szCs w:val="24"/>
        </w:rPr>
        <w:t>.</w:t>
      </w:r>
    </w:p>
    <w:p w14:paraId="5C142EDF" w14:textId="77777777" w:rsidR="0034637C" w:rsidRPr="00C97059" w:rsidRDefault="0034637C" w:rsidP="0034637C">
      <w:pPr>
        <w:pStyle w:val="BodyText"/>
        <w:spacing w:line="360" w:lineRule="auto"/>
        <w:rPr>
          <w:rFonts w:ascii="Arial" w:hAnsi="Arial" w:cs="Arial"/>
          <w:sz w:val="24"/>
          <w:szCs w:val="24"/>
        </w:rPr>
      </w:pPr>
      <w:r w:rsidRPr="00C97059">
        <w:rPr>
          <w:rFonts w:ascii="Arial" w:hAnsi="Arial" w:cs="Arial"/>
          <w:sz w:val="24"/>
          <w:szCs w:val="24"/>
        </w:rPr>
        <w:t xml:space="preserve">Cintra, R.S. </w:t>
      </w:r>
      <w:r w:rsidRPr="00C97059">
        <w:rPr>
          <w:rFonts w:ascii="Arial" w:hAnsi="Arial" w:cs="Arial"/>
          <w:i/>
          <w:iCs/>
          <w:sz w:val="24"/>
          <w:szCs w:val="24"/>
        </w:rPr>
        <w:t>et al.</w:t>
      </w:r>
      <w:r w:rsidRPr="00C97059">
        <w:rPr>
          <w:rFonts w:ascii="Arial" w:hAnsi="Arial" w:cs="Arial"/>
          <w:sz w:val="24"/>
          <w:szCs w:val="24"/>
        </w:rPr>
        <w:t xml:space="preserve"> (2025) “Analysis of the Life Cycle and Circular Economy Strategies for Batteries Adopted by the Main Electric Vehicle Manufacturers,” </w:t>
      </w:r>
      <w:r w:rsidRPr="00C97059">
        <w:rPr>
          <w:rFonts w:ascii="Arial" w:hAnsi="Arial" w:cs="Arial"/>
          <w:i/>
          <w:iCs/>
          <w:sz w:val="24"/>
          <w:szCs w:val="24"/>
        </w:rPr>
        <w:t>Sustainability</w:t>
      </w:r>
      <w:r w:rsidRPr="00C97059">
        <w:rPr>
          <w:rFonts w:ascii="Arial" w:hAnsi="Arial" w:cs="Arial"/>
          <w:sz w:val="24"/>
          <w:szCs w:val="24"/>
        </w:rPr>
        <w:t>, 17(8), p. 3428. Available at: https://doi.org/10.3390/su17083428.</w:t>
      </w:r>
    </w:p>
    <w:p w14:paraId="0D570F76" w14:textId="77777777" w:rsidR="0034637C" w:rsidRPr="0034637C" w:rsidRDefault="0034637C" w:rsidP="0034637C">
      <w:pPr>
        <w:pStyle w:val="BodyText"/>
        <w:spacing w:line="360" w:lineRule="auto"/>
        <w:rPr>
          <w:rFonts w:ascii="Arial" w:hAnsi="Arial" w:cs="Arial"/>
          <w:sz w:val="24"/>
          <w:szCs w:val="24"/>
        </w:rPr>
      </w:pPr>
      <w:r w:rsidRPr="0034637C">
        <w:rPr>
          <w:rFonts w:ascii="Arial" w:hAnsi="Arial" w:cs="Arial"/>
          <w:sz w:val="24"/>
          <w:szCs w:val="24"/>
        </w:rPr>
        <w:t xml:space="preserve">Department for Business and Trade (2025) </w:t>
      </w:r>
      <w:r w:rsidRPr="0034637C">
        <w:rPr>
          <w:rFonts w:ascii="Arial" w:hAnsi="Arial" w:cs="Arial"/>
          <w:i/>
          <w:iCs/>
          <w:sz w:val="24"/>
          <w:szCs w:val="24"/>
        </w:rPr>
        <w:t>Nissan launches £450m next-generation LEAF in major vote of confidence in UK's Industrial Strategy</w:t>
      </w:r>
      <w:r w:rsidRPr="0034637C">
        <w:rPr>
          <w:rFonts w:ascii="Arial" w:hAnsi="Arial" w:cs="Arial"/>
          <w:sz w:val="24"/>
          <w:szCs w:val="24"/>
        </w:rPr>
        <w:t xml:space="preserve">. Available at: </w:t>
      </w:r>
      <w:hyperlink r:id="rId12" w:tgtFrame="_blank" w:history="1">
        <w:r w:rsidRPr="0034637C">
          <w:rPr>
            <w:rStyle w:val="Hyperlink"/>
            <w:rFonts w:ascii="Arial" w:hAnsi="Arial" w:cs="Arial"/>
            <w:sz w:val="24"/>
            <w:szCs w:val="24"/>
          </w:rPr>
          <w:t>https://www.gov.uk/government/news/nissan-launches-450m-next-generation-leafin-major-vote-of-confidence-in-uks-industrial-strategy</w:t>
        </w:r>
      </w:hyperlink>
      <w:r w:rsidRPr="0034637C">
        <w:rPr>
          <w:rFonts w:ascii="Arial" w:hAnsi="Arial" w:cs="Arial"/>
          <w:sz w:val="24"/>
          <w:szCs w:val="24"/>
        </w:rPr>
        <w:t xml:space="preserve"> (Accessed: 22 April 2026 ).</w:t>
      </w:r>
    </w:p>
    <w:p w14:paraId="5FF8CB4D" w14:textId="77777777" w:rsidR="0034637C" w:rsidRPr="0034637C" w:rsidRDefault="0034637C" w:rsidP="0034637C">
      <w:pPr>
        <w:pStyle w:val="BodyText"/>
        <w:spacing w:line="360" w:lineRule="auto"/>
        <w:rPr>
          <w:rFonts w:ascii="Arial" w:hAnsi="Arial" w:cs="Arial"/>
          <w:sz w:val="24"/>
          <w:szCs w:val="24"/>
        </w:rPr>
      </w:pPr>
      <w:r w:rsidRPr="00C97059">
        <w:rPr>
          <w:rFonts w:ascii="Arial" w:hAnsi="Arial" w:cs="Arial"/>
          <w:sz w:val="24"/>
          <w:szCs w:val="24"/>
        </w:rPr>
        <w:t>Johnson, G., Whittington, R. and Scholes, K. (20</w:t>
      </w:r>
      <w:r w:rsidRPr="0034637C">
        <w:rPr>
          <w:rFonts w:ascii="Arial" w:hAnsi="Arial" w:cs="Arial"/>
          <w:sz w:val="24"/>
          <w:szCs w:val="24"/>
        </w:rPr>
        <w:t>23</w:t>
      </w:r>
      <w:r w:rsidRPr="00C97059">
        <w:rPr>
          <w:rFonts w:ascii="Arial" w:hAnsi="Arial" w:cs="Arial"/>
          <w:sz w:val="24"/>
          <w:szCs w:val="24"/>
        </w:rPr>
        <w:t xml:space="preserve">) </w:t>
      </w:r>
      <w:r w:rsidRPr="00C97059">
        <w:rPr>
          <w:rFonts w:ascii="Arial" w:hAnsi="Arial" w:cs="Arial"/>
          <w:i/>
          <w:iCs/>
          <w:sz w:val="24"/>
          <w:szCs w:val="24"/>
        </w:rPr>
        <w:t>Exploring strategy: text and cases</w:t>
      </w:r>
      <w:r w:rsidRPr="00C97059">
        <w:rPr>
          <w:rFonts w:ascii="Arial" w:hAnsi="Arial" w:cs="Arial"/>
          <w:sz w:val="24"/>
          <w:szCs w:val="24"/>
        </w:rPr>
        <w:t>. Eleventh edition. New York, New York State: Pearson.</w:t>
      </w:r>
    </w:p>
    <w:p w14:paraId="669C33F8" w14:textId="057EE6EB" w:rsidR="0034637C" w:rsidRDefault="0034637C" w:rsidP="0034637C">
      <w:pPr>
        <w:spacing w:after="0" w:line="360" w:lineRule="auto"/>
        <w:rPr>
          <w:rFonts w:ascii="Arial" w:eastAsia="Times New Roman" w:hAnsi="Arial" w:cs="Arial"/>
          <w:kern w:val="0"/>
          <w:sz w:val="24"/>
          <w:szCs w:val="24"/>
          <w:lang w:eastAsia="en-GB"/>
          <w14:ligatures w14:val="none"/>
        </w:rPr>
      </w:pPr>
      <w:r w:rsidRPr="00844D18">
        <w:rPr>
          <w:rFonts w:ascii="Arial" w:eastAsia="Times New Roman" w:hAnsi="Arial" w:cs="Arial"/>
          <w:kern w:val="0"/>
          <w:sz w:val="24"/>
          <w:szCs w:val="24"/>
          <w:lang w:eastAsia="en-GB"/>
          <w14:ligatures w14:val="none"/>
        </w:rPr>
        <w:t xml:space="preserve">Kempston, S. </w:t>
      </w:r>
      <w:r w:rsidRPr="00844D18">
        <w:rPr>
          <w:rFonts w:ascii="Arial" w:eastAsia="Times New Roman" w:hAnsi="Arial" w:cs="Arial"/>
          <w:i/>
          <w:iCs/>
          <w:kern w:val="0"/>
          <w:sz w:val="24"/>
          <w:szCs w:val="24"/>
          <w:lang w:eastAsia="en-GB"/>
          <w14:ligatures w14:val="none"/>
        </w:rPr>
        <w:t>et al.</w:t>
      </w:r>
      <w:r w:rsidRPr="00844D18">
        <w:rPr>
          <w:rFonts w:ascii="Arial" w:eastAsia="Times New Roman" w:hAnsi="Arial" w:cs="Arial"/>
          <w:kern w:val="0"/>
          <w:sz w:val="24"/>
          <w:szCs w:val="24"/>
          <w:lang w:eastAsia="en-GB"/>
          <w14:ligatures w14:val="none"/>
        </w:rPr>
        <w:t xml:space="preserve"> (2025) “UK electric vehicle battery supply chain sustainability: A systematic review,” </w:t>
      </w:r>
      <w:r w:rsidRPr="00844D18">
        <w:rPr>
          <w:rFonts w:ascii="Arial" w:eastAsia="Times New Roman" w:hAnsi="Arial" w:cs="Arial"/>
          <w:i/>
          <w:iCs/>
          <w:kern w:val="0"/>
          <w:sz w:val="24"/>
          <w:szCs w:val="24"/>
          <w:lang w:eastAsia="en-GB"/>
          <w14:ligatures w14:val="none"/>
        </w:rPr>
        <w:t>Renewable &amp; sustainable energy reviews</w:t>
      </w:r>
      <w:r w:rsidRPr="00844D18">
        <w:rPr>
          <w:rFonts w:ascii="Arial" w:eastAsia="Times New Roman" w:hAnsi="Arial" w:cs="Arial"/>
          <w:kern w:val="0"/>
          <w:sz w:val="24"/>
          <w:szCs w:val="24"/>
          <w:lang w:eastAsia="en-GB"/>
          <w14:ligatures w14:val="none"/>
        </w:rPr>
        <w:t xml:space="preserve">, 210. Available at: </w:t>
      </w:r>
      <w:hyperlink r:id="rId13" w:history="1">
        <w:r w:rsidRPr="00844D18">
          <w:rPr>
            <w:rStyle w:val="Hyperlink"/>
            <w:rFonts w:ascii="Arial" w:eastAsia="Times New Roman" w:hAnsi="Arial" w:cs="Arial"/>
            <w:kern w:val="0"/>
            <w:sz w:val="24"/>
            <w:szCs w:val="24"/>
            <w:lang w:eastAsia="en-GB"/>
            <w14:ligatures w14:val="none"/>
          </w:rPr>
          <w:t>https://doi.org/10.1016/j.rser.2024.115216</w:t>
        </w:r>
      </w:hyperlink>
      <w:r w:rsidRPr="00844D18">
        <w:rPr>
          <w:rFonts w:ascii="Arial" w:eastAsia="Times New Roman" w:hAnsi="Arial" w:cs="Arial"/>
          <w:kern w:val="0"/>
          <w:sz w:val="24"/>
          <w:szCs w:val="24"/>
          <w:lang w:eastAsia="en-GB"/>
          <w14:ligatures w14:val="none"/>
        </w:rPr>
        <w:t>.</w:t>
      </w:r>
    </w:p>
    <w:p w14:paraId="3FA565BA" w14:textId="77777777" w:rsidR="0034637C" w:rsidRPr="00844D18" w:rsidRDefault="0034637C" w:rsidP="00844D18">
      <w:pPr>
        <w:spacing w:after="0" w:line="240" w:lineRule="auto"/>
        <w:rPr>
          <w:rFonts w:ascii="Arial" w:eastAsia="Times New Roman" w:hAnsi="Arial" w:cs="Arial"/>
          <w:kern w:val="0"/>
          <w:sz w:val="24"/>
          <w:szCs w:val="24"/>
          <w:lang w:eastAsia="en-GB"/>
          <w14:ligatures w14:val="none"/>
        </w:rPr>
      </w:pPr>
    </w:p>
    <w:p w14:paraId="1182999F" w14:textId="77777777" w:rsidR="0034637C" w:rsidRPr="00A80385" w:rsidRDefault="0034637C" w:rsidP="0034637C">
      <w:pPr>
        <w:pStyle w:val="BodyText"/>
        <w:spacing w:line="360" w:lineRule="auto"/>
        <w:rPr>
          <w:rFonts w:ascii="Arial" w:hAnsi="Arial" w:cs="Arial"/>
          <w:sz w:val="24"/>
          <w:szCs w:val="24"/>
        </w:rPr>
      </w:pPr>
      <w:r w:rsidRPr="00A80385">
        <w:rPr>
          <w:rFonts w:ascii="Arial" w:hAnsi="Arial" w:cs="Arial"/>
          <w:sz w:val="24"/>
          <w:szCs w:val="24"/>
        </w:rPr>
        <w:t xml:space="preserve">Nissan motor corporate (2021). </w:t>
      </w:r>
      <w:r w:rsidRPr="00A80385">
        <w:rPr>
          <w:rFonts w:ascii="Arial" w:hAnsi="Arial" w:cs="Arial"/>
          <w:i/>
          <w:iCs/>
          <w:sz w:val="24"/>
          <w:szCs w:val="24"/>
        </w:rPr>
        <w:t>Nissan unveils EV36Zero – a £1bn Electric Vehicle Hub</w:t>
      </w:r>
      <w:r w:rsidRPr="00A80385">
        <w:rPr>
          <w:rFonts w:ascii="Arial" w:hAnsi="Arial" w:cs="Arial"/>
          <w:sz w:val="24"/>
          <w:szCs w:val="24"/>
        </w:rPr>
        <w:t>. [online] Official Global Newsroom. Available at: https://global.nissannews.com/en/releases/210701-03-e [Accessed 20 Apr. 2026].</w:t>
      </w:r>
    </w:p>
    <w:p w14:paraId="5A4C2B26" w14:textId="77777777" w:rsidR="0034637C" w:rsidRPr="0034637C" w:rsidRDefault="0034637C" w:rsidP="00A80385">
      <w:pPr>
        <w:pStyle w:val="NormalWeb"/>
        <w:spacing w:before="0" w:beforeAutospacing="0" w:after="240" w:afterAutospacing="0" w:line="360" w:lineRule="auto"/>
        <w:rPr>
          <w:rFonts w:ascii="Arial" w:hAnsi="Arial" w:cs="Arial"/>
        </w:rPr>
      </w:pPr>
      <w:r w:rsidRPr="0034637C">
        <w:rPr>
          <w:rFonts w:ascii="Arial" w:hAnsi="Arial" w:cs="Arial"/>
        </w:rPr>
        <w:t xml:space="preserve">Nissan motor corporate (2023). </w:t>
      </w:r>
      <w:r w:rsidRPr="0034637C">
        <w:rPr>
          <w:rFonts w:ascii="Arial" w:hAnsi="Arial" w:cs="Arial"/>
          <w:i/>
          <w:iCs/>
        </w:rPr>
        <w:t>Three is the magic number as Nissan accelerates the switch to full electric</w:t>
      </w:r>
      <w:r w:rsidRPr="0034637C">
        <w:rPr>
          <w:rFonts w:ascii="Arial" w:hAnsi="Arial" w:cs="Arial"/>
        </w:rPr>
        <w:t>. [online] Global Nissan Newsroom. Available at: https://global.nissannews.com/en/releases/ev36zero_23 [Accessed 20 Apr. 2026].</w:t>
      </w:r>
    </w:p>
    <w:p w14:paraId="37202819" w14:textId="77777777" w:rsidR="0034637C" w:rsidRPr="00206D02" w:rsidRDefault="0034637C" w:rsidP="0034637C">
      <w:pPr>
        <w:pStyle w:val="NormalWeb"/>
        <w:spacing w:line="360" w:lineRule="auto"/>
        <w:rPr>
          <w:rFonts w:ascii="Arial" w:hAnsi="Arial" w:cs="Arial"/>
        </w:rPr>
      </w:pPr>
      <w:r w:rsidRPr="00206D02">
        <w:rPr>
          <w:rFonts w:ascii="Arial" w:hAnsi="Arial" w:cs="Arial"/>
        </w:rPr>
        <w:lastRenderedPageBreak/>
        <w:t xml:space="preserve">Nissan motor corporate (2025). </w:t>
      </w:r>
      <w:r w:rsidRPr="00206D02">
        <w:rPr>
          <w:rFonts w:ascii="Arial" w:hAnsi="Arial" w:cs="Arial"/>
          <w:i/>
          <w:iCs/>
        </w:rPr>
        <w:t>Nissan reports financial results for fiscal year 2024</w:t>
      </w:r>
      <w:r w:rsidRPr="00206D02">
        <w:rPr>
          <w:rFonts w:ascii="Arial" w:hAnsi="Arial" w:cs="Arial"/>
        </w:rPr>
        <w:t>. [online] Global Nissan Newsroom. Available at: https://global.nissannews.com/en/releases/250513-01-e [Accessed 20 Apr. 2026].</w:t>
      </w:r>
    </w:p>
    <w:p w14:paraId="67AF1202" w14:textId="77777777" w:rsidR="0034637C" w:rsidRPr="0034637C" w:rsidRDefault="0034637C" w:rsidP="0034637C">
      <w:pPr>
        <w:pStyle w:val="NormalWeb"/>
        <w:spacing w:before="0" w:beforeAutospacing="0" w:after="240" w:afterAutospacing="0" w:line="360" w:lineRule="auto"/>
        <w:rPr>
          <w:rFonts w:ascii="Arial" w:hAnsi="Arial" w:cs="Arial"/>
        </w:rPr>
      </w:pPr>
      <w:r w:rsidRPr="0034637C">
        <w:rPr>
          <w:rFonts w:ascii="Arial" w:hAnsi="Arial" w:cs="Arial"/>
        </w:rPr>
        <w:t xml:space="preserve">Nissan motor corporate (2025a). </w:t>
      </w:r>
      <w:r w:rsidRPr="0034637C">
        <w:rPr>
          <w:rFonts w:ascii="Arial" w:hAnsi="Arial" w:cs="Arial"/>
          <w:i/>
          <w:iCs/>
        </w:rPr>
        <w:t>Next generation Nissan LEAF brings EV36Zero vision to life at Sunderland Plant</w:t>
      </w:r>
      <w:r w:rsidRPr="0034637C">
        <w:rPr>
          <w:rFonts w:ascii="Arial" w:hAnsi="Arial" w:cs="Arial"/>
        </w:rPr>
        <w:t>. [online] Official Europe Newsroom. Available at: https://europe.nissannews.com/en-GB/releases/next-generation-nissan-leaf-brings-ev36zero-vision-to-life-at-sunderland-plant [Accessed 19 Apr. 2026].</w:t>
      </w:r>
    </w:p>
    <w:p w14:paraId="4252C924" w14:textId="77777777" w:rsidR="0034637C" w:rsidRPr="00206D02" w:rsidRDefault="0034637C" w:rsidP="0034637C">
      <w:pPr>
        <w:pStyle w:val="NormalWeb"/>
        <w:spacing w:line="360" w:lineRule="auto"/>
        <w:rPr>
          <w:rFonts w:ascii="Arial" w:hAnsi="Arial" w:cs="Arial"/>
        </w:rPr>
      </w:pPr>
      <w:r w:rsidRPr="00206D02">
        <w:rPr>
          <w:rFonts w:ascii="Arial" w:hAnsi="Arial" w:cs="Arial"/>
        </w:rPr>
        <w:t xml:space="preserve">Nissan motor corporate (2026). </w:t>
      </w:r>
      <w:r w:rsidRPr="00206D02">
        <w:rPr>
          <w:rFonts w:ascii="Arial" w:hAnsi="Arial" w:cs="Arial"/>
          <w:i/>
          <w:iCs/>
        </w:rPr>
        <w:t>Nissan Unveils All-New, All-Electric JUKE, Advancing Its European Electrification Strategy</w:t>
      </w:r>
      <w:r w:rsidRPr="00206D02">
        <w:rPr>
          <w:rFonts w:ascii="Arial" w:hAnsi="Arial" w:cs="Arial"/>
        </w:rPr>
        <w:t>. [online] Official Europe Newsroom. Available at: https://europe.nissannews.com/en-GB/releases/nissan-unveils-all-new-all-electric-juke-advancing-its-european-electrification-strategy [Accessed 20 Apr. 2026].</w:t>
      </w:r>
    </w:p>
    <w:p w14:paraId="7CFB51ED" w14:textId="77777777" w:rsidR="0034637C" w:rsidRPr="00EB0834" w:rsidRDefault="0034637C" w:rsidP="0034637C">
      <w:pPr>
        <w:pStyle w:val="BodyText"/>
        <w:spacing w:line="360" w:lineRule="auto"/>
        <w:rPr>
          <w:rFonts w:ascii="Arial" w:hAnsi="Arial" w:cs="Arial"/>
          <w:sz w:val="24"/>
          <w:szCs w:val="24"/>
        </w:rPr>
      </w:pPr>
      <w:proofErr w:type="spellStart"/>
      <w:r w:rsidRPr="00EB0834">
        <w:rPr>
          <w:rFonts w:ascii="Arial" w:hAnsi="Arial" w:cs="Arial"/>
          <w:sz w:val="24"/>
          <w:szCs w:val="24"/>
        </w:rPr>
        <w:t>Pamidimukkala</w:t>
      </w:r>
      <w:proofErr w:type="spellEnd"/>
      <w:r w:rsidRPr="00EB0834">
        <w:rPr>
          <w:rFonts w:ascii="Arial" w:hAnsi="Arial" w:cs="Arial"/>
          <w:sz w:val="24"/>
          <w:szCs w:val="24"/>
        </w:rPr>
        <w:t xml:space="preserve">, A. </w:t>
      </w:r>
      <w:r w:rsidRPr="00EB0834">
        <w:rPr>
          <w:rFonts w:ascii="Arial" w:hAnsi="Arial" w:cs="Arial"/>
          <w:i/>
          <w:iCs/>
          <w:sz w:val="24"/>
          <w:szCs w:val="24"/>
        </w:rPr>
        <w:t>et al.</w:t>
      </w:r>
      <w:r w:rsidRPr="00EB0834">
        <w:rPr>
          <w:rFonts w:ascii="Arial" w:hAnsi="Arial" w:cs="Arial"/>
          <w:sz w:val="24"/>
          <w:szCs w:val="24"/>
        </w:rPr>
        <w:t xml:space="preserve"> (2024) “Barriers and motivators to the adoption of electric vehicles: A global review,” </w:t>
      </w:r>
      <w:r w:rsidRPr="00EB0834">
        <w:rPr>
          <w:rFonts w:ascii="Arial" w:hAnsi="Arial" w:cs="Arial"/>
          <w:i/>
          <w:iCs/>
          <w:sz w:val="24"/>
          <w:szCs w:val="24"/>
        </w:rPr>
        <w:t>Green Energy and Intelligent Transportation</w:t>
      </w:r>
      <w:r w:rsidRPr="00EB0834">
        <w:rPr>
          <w:rFonts w:ascii="Arial" w:hAnsi="Arial" w:cs="Arial"/>
          <w:sz w:val="24"/>
          <w:szCs w:val="24"/>
        </w:rPr>
        <w:t xml:space="preserve">, 3(2). Available at: </w:t>
      </w:r>
      <w:hyperlink r:id="rId14" w:history="1">
        <w:r w:rsidRPr="00EB0834">
          <w:rPr>
            <w:rStyle w:val="Hyperlink"/>
            <w:rFonts w:ascii="Arial" w:hAnsi="Arial" w:cs="Arial"/>
            <w:sz w:val="24"/>
            <w:szCs w:val="24"/>
          </w:rPr>
          <w:t>https://doi.org/10.1016/j.geits.2024.100153</w:t>
        </w:r>
      </w:hyperlink>
      <w:r w:rsidRPr="00EB0834">
        <w:rPr>
          <w:rFonts w:ascii="Arial" w:hAnsi="Arial" w:cs="Arial"/>
          <w:sz w:val="24"/>
          <w:szCs w:val="24"/>
        </w:rPr>
        <w:t>.</w:t>
      </w:r>
    </w:p>
    <w:p w14:paraId="5082E7DC" w14:textId="77777777" w:rsidR="0034637C" w:rsidRPr="0034637C" w:rsidRDefault="0034637C" w:rsidP="00C443CB">
      <w:pPr>
        <w:pStyle w:val="NormalWeb"/>
        <w:spacing w:after="240"/>
        <w:rPr>
          <w:rFonts w:ascii="Arial" w:hAnsi="Arial" w:cs="Arial"/>
        </w:rPr>
      </w:pPr>
      <w:r w:rsidRPr="00C443CB">
        <w:rPr>
          <w:rFonts w:ascii="Arial" w:hAnsi="Arial" w:cs="Arial"/>
        </w:rPr>
        <w:t>Teece, D.J. (2017) “Dynamic Capabilities and (Digital) Platform Lifecycles.”</w:t>
      </w:r>
    </w:p>
    <w:p w14:paraId="4905B904" w14:textId="77777777" w:rsidR="0034637C" w:rsidRPr="00C443CB" w:rsidRDefault="0034637C" w:rsidP="0034637C">
      <w:pPr>
        <w:pStyle w:val="NormalWeb"/>
        <w:spacing w:after="240" w:line="360" w:lineRule="auto"/>
        <w:rPr>
          <w:rFonts w:ascii="Arial" w:hAnsi="Arial" w:cs="Arial"/>
        </w:rPr>
      </w:pPr>
      <w:r w:rsidRPr="00C443CB">
        <w:rPr>
          <w:rFonts w:ascii="Arial" w:hAnsi="Arial" w:cs="Arial"/>
        </w:rPr>
        <w:t xml:space="preserve">Thakur, J., Martins Leite de Almeida, C. and Baskar, A.G. (2022) “Electric vehicle batteries for a circular economy: Second life batteries as residential stationary storage,” </w:t>
      </w:r>
      <w:r w:rsidRPr="00C443CB">
        <w:rPr>
          <w:rFonts w:ascii="Arial" w:hAnsi="Arial" w:cs="Arial"/>
          <w:i/>
          <w:iCs/>
        </w:rPr>
        <w:t>Journal of cleaner production</w:t>
      </w:r>
      <w:r w:rsidRPr="00C443CB">
        <w:rPr>
          <w:rFonts w:ascii="Arial" w:hAnsi="Arial" w:cs="Arial"/>
        </w:rPr>
        <w:t>, 375. Available at: https://doi.org/10.1016/j.jclepro.2022.134066.</w:t>
      </w:r>
    </w:p>
    <w:p w14:paraId="7B979CFA" w14:textId="77777777" w:rsidR="0034637C" w:rsidRPr="0034637C" w:rsidRDefault="0034637C" w:rsidP="0034637C">
      <w:pPr>
        <w:spacing w:after="0" w:line="360" w:lineRule="auto"/>
        <w:rPr>
          <w:rFonts w:ascii="Arial" w:eastAsia="Times New Roman" w:hAnsi="Arial" w:cs="Arial"/>
          <w:kern w:val="0"/>
          <w:sz w:val="24"/>
          <w:szCs w:val="24"/>
          <w:lang w:eastAsia="en-GB"/>
          <w14:ligatures w14:val="none"/>
        </w:rPr>
      </w:pPr>
      <w:proofErr w:type="spellStart"/>
      <w:r w:rsidRPr="0034637C">
        <w:rPr>
          <w:rFonts w:ascii="Arial" w:eastAsia="Times New Roman" w:hAnsi="Arial" w:cs="Arial"/>
          <w:kern w:val="0"/>
          <w:sz w:val="24"/>
          <w:szCs w:val="24"/>
          <w:lang w:eastAsia="en-GB"/>
          <w14:ligatures w14:val="none"/>
        </w:rPr>
        <w:t>Toorajipour</w:t>
      </w:r>
      <w:proofErr w:type="spellEnd"/>
      <w:r w:rsidRPr="0034637C">
        <w:rPr>
          <w:rFonts w:ascii="Arial" w:eastAsia="Times New Roman" w:hAnsi="Arial" w:cs="Arial"/>
          <w:kern w:val="0"/>
          <w:sz w:val="24"/>
          <w:szCs w:val="24"/>
          <w:lang w:eastAsia="en-GB"/>
          <w14:ligatures w14:val="none"/>
        </w:rPr>
        <w:t xml:space="preserve">, R. </w:t>
      </w:r>
      <w:r w:rsidRPr="0034637C">
        <w:rPr>
          <w:rFonts w:ascii="Arial" w:eastAsia="Times New Roman" w:hAnsi="Arial" w:cs="Arial"/>
          <w:i/>
          <w:iCs/>
          <w:kern w:val="0"/>
          <w:sz w:val="24"/>
          <w:szCs w:val="24"/>
          <w:lang w:eastAsia="en-GB"/>
          <w14:ligatures w14:val="none"/>
        </w:rPr>
        <w:t>et al.</w:t>
      </w:r>
      <w:r w:rsidRPr="0034637C">
        <w:rPr>
          <w:rFonts w:ascii="Arial" w:eastAsia="Times New Roman" w:hAnsi="Arial" w:cs="Arial"/>
          <w:kern w:val="0"/>
          <w:sz w:val="24"/>
          <w:szCs w:val="24"/>
          <w:lang w:eastAsia="en-GB"/>
          <w14:ligatures w14:val="none"/>
        </w:rPr>
        <w:t xml:space="preserve"> (2024) “Implementing circular business models for the second</w:t>
      </w:r>
      <w:r w:rsidRPr="0034637C">
        <w:rPr>
          <w:rFonts w:ascii="Cambria Math" w:eastAsia="Times New Roman" w:hAnsi="Cambria Math" w:cs="Cambria Math"/>
          <w:kern w:val="0"/>
          <w:sz w:val="24"/>
          <w:szCs w:val="24"/>
          <w:lang w:eastAsia="en-GB"/>
          <w14:ligatures w14:val="none"/>
        </w:rPr>
        <w:t>‐</w:t>
      </w:r>
      <w:r w:rsidRPr="0034637C">
        <w:rPr>
          <w:rFonts w:ascii="Arial" w:eastAsia="Times New Roman" w:hAnsi="Arial" w:cs="Arial"/>
          <w:kern w:val="0"/>
          <w:sz w:val="24"/>
          <w:szCs w:val="24"/>
          <w:lang w:eastAsia="en-GB"/>
          <w14:ligatures w14:val="none"/>
        </w:rPr>
        <w:t xml:space="preserve">life battery of electric vehicles: Challenges and enablers from an ecosystem perspective,” </w:t>
      </w:r>
      <w:r w:rsidRPr="0034637C">
        <w:rPr>
          <w:rFonts w:ascii="Arial" w:eastAsia="Times New Roman" w:hAnsi="Arial" w:cs="Arial"/>
          <w:i/>
          <w:iCs/>
          <w:kern w:val="0"/>
          <w:sz w:val="24"/>
          <w:szCs w:val="24"/>
          <w:lang w:eastAsia="en-GB"/>
          <w14:ligatures w14:val="none"/>
        </w:rPr>
        <w:t>Business strategy and the environment</w:t>
      </w:r>
      <w:r w:rsidRPr="0034637C">
        <w:rPr>
          <w:rFonts w:ascii="Arial" w:eastAsia="Times New Roman" w:hAnsi="Arial" w:cs="Arial"/>
          <w:kern w:val="0"/>
          <w:sz w:val="24"/>
          <w:szCs w:val="24"/>
          <w:lang w:eastAsia="en-GB"/>
          <w14:ligatures w14:val="none"/>
        </w:rPr>
        <w:t>, 33(8), pp. 8637–8655. Available at: https://doi.org/10.1002/bse.3941.</w:t>
      </w:r>
    </w:p>
    <w:p w14:paraId="026E0A73" w14:textId="77777777" w:rsidR="0034637C" w:rsidRPr="0034637C" w:rsidRDefault="0034637C" w:rsidP="0034637C">
      <w:pPr>
        <w:pStyle w:val="NormalWeb"/>
        <w:spacing w:after="240" w:line="360" w:lineRule="auto"/>
        <w:rPr>
          <w:rFonts w:ascii="Arial" w:hAnsi="Arial" w:cs="Arial"/>
        </w:rPr>
      </w:pPr>
      <w:r w:rsidRPr="00C83DC6">
        <w:rPr>
          <w:rFonts w:ascii="Arial" w:hAnsi="Arial" w:cs="Arial"/>
        </w:rPr>
        <w:t xml:space="preserve">Weil, K.E. (1985) “PORTER, Competitive advantage, creating and sustaining superior performance,” </w:t>
      </w:r>
      <w:r w:rsidRPr="00C83DC6">
        <w:rPr>
          <w:rFonts w:ascii="Arial" w:hAnsi="Arial" w:cs="Arial"/>
          <w:i/>
          <w:iCs/>
        </w:rPr>
        <w:t xml:space="preserve">Revista de </w:t>
      </w:r>
      <w:proofErr w:type="spellStart"/>
      <w:r w:rsidRPr="00C83DC6">
        <w:rPr>
          <w:rFonts w:ascii="Arial" w:hAnsi="Arial" w:cs="Arial"/>
          <w:i/>
          <w:iCs/>
        </w:rPr>
        <w:t>administração</w:t>
      </w:r>
      <w:proofErr w:type="spellEnd"/>
      <w:r w:rsidRPr="00C83DC6">
        <w:rPr>
          <w:rFonts w:ascii="Arial" w:hAnsi="Arial" w:cs="Arial"/>
          <w:i/>
          <w:iCs/>
        </w:rPr>
        <w:t xml:space="preserve"> de </w:t>
      </w:r>
      <w:proofErr w:type="spellStart"/>
      <w:r w:rsidRPr="00C83DC6">
        <w:rPr>
          <w:rFonts w:ascii="Arial" w:hAnsi="Arial" w:cs="Arial"/>
          <w:i/>
          <w:iCs/>
        </w:rPr>
        <w:t>emprêsas</w:t>
      </w:r>
      <w:proofErr w:type="spellEnd"/>
      <w:r w:rsidRPr="00C83DC6">
        <w:rPr>
          <w:rFonts w:ascii="Arial" w:hAnsi="Arial" w:cs="Arial"/>
        </w:rPr>
        <w:t xml:space="preserve">, 25(2), pp. 82–84. Available at: </w:t>
      </w:r>
      <w:hyperlink r:id="rId15" w:history="1">
        <w:r w:rsidRPr="00C83DC6">
          <w:rPr>
            <w:rStyle w:val="Hyperlink"/>
            <w:rFonts w:ascii="Arial" w:hAnsi="Arial" w:cs="Arial"/>
          </w:rPr>
          <w:t>https://doi.org/10.1590/S0034</w:t>
        </w:r>
        <w:r w:rsidRPr="00C83DC6">
          <w:rPr>
            <w:rStyle w:val="Hyperlink"/>
            <w:rFonts w:ascii="Arial" w:hAnsi="Arial" w:cs="Arial"/>
          </w:rPr>
          <w:t>-</w:t>
        </w:r>
        <w:r w:rsidRPr="00C83DC6">
          <w:rPr>
            <w:rStyle w:val="Hyperlink"/>
            <w:rFonts w:ascii="Arial" w:hAnsi="Arial" w:cs="Arial"/>
          </w:rPr>
          <w:t>75901985000200009</w:t>
        </w:r>
      </w:hyperlink>
      <w:r w:rsidRPr="00C83DC6">
        <w:rPr>
          <w:rFonts w:ascii="Arial" w:hAnsi="Arial" w:cs="Arial"/>
        </w:rPr>
        <w:t>.</w:t>
      </w:r>
    </w:p>
    <w:p w14:paraId="51AE81DA" w14:textId="741133DE" w:rsidR="006D1FE8" w:rsidRPr="006D1FE8" w:rsidRDefault="006D1FE8" w:rsidP="006D1FE8">
      <w:pPr>
        <w:tabs>
          <w:tab w:val="left" w:pos="2970"/>
        </w:tabs>
      </w:pPr>
    </w:p>
    <w:sectPr w:rsidR="006D1FE8" w:rsidRPr="006D1F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D45F5"/>
    <w:multiLevelType w:val="multilevel"/>
    <w:tmpl w:val="3C6437DE"/>
    <w:lvl w:ilvl="0">
      <w:start w:val="5"/>
      <w:numFmt w:val="none"/>
      <w:lvlText w:val="6."/>
      <w:lvlJc w:val="left"/>
      <w:pPr>
        <w:ind w:left="360" w:hanging="360"/>
      </w:pPr>
      <w:rPr>
        <w:rFonts w:hint="default"/>
      </w:rPr>
    </w:lvl>
    <w:lvl w:ilvl="1">
      <w:start w:val="1"/>
      <w:numFmt w:val="none"/>
      <w:lvlText w:val="6.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41544A0"/>
    <w:multiLevelType w:val="hybridMultilevel"/>
    <w:tmpl w:val="CFDA7B3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586EC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E9359C"/>
    <w:multiLevelType w:val="multilevel"/>
    <w:tmpl w:val="0809001F"/>
    <w:styleLink w:val="Style1"/>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654AB9"/>
    <w:multiLevelType w:val="hybridMultilevel"/>
    <w:tmpl w:val="D602AC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90101C"/>
    <w:multiLevelType w:val="multilevel"/>
    <w:tmpl w:val="9286BD58"/>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0D5F19E7"/>
    <w:multiLevelType w:val="multilevel"/>
    <w:tmpl w:val="0809001D"/>
    <w:numStyleLink w:val="Style4"/>
  </w:abstractNum>
  <w:abstractNum w:abstractNumId="7" w15:restartNumberingAfterBreak="0">
    <w:nsid w:val="116032AD"/>
    <w:multiLevelType w:val="multilevel"/>
    <w:tmpl w:val="96664840"/>
    <w:lvl w:ilvl="0">
      <w:start w:val="4"/>
      <w:numFmt w:val="decimal"/>
      <w:lvlText w:val="%1"/>
      <w:lvlJc w:val="left"/>
      <w:pPr>
        <w:ind w:left="432" w:hanging="432"/>
      </w:pPr>
      <w:rPr>
        <w:rFonts w:hint="default"/>
      </w:rPr>
    </w:lvl>
    <w:lvl w:ilvl="1">
      <w:start w:val="1"/>
      <w:numFmt w:val="none"/>
      <w:lvlText w:val="5.1"/>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177650B0"/>
    <w:multiLevelType w:val="multilevel"/>
    <w:tmpl w:val="C8749C0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1A2117E9"/>
    <w:multiLevelType w:val="multilevel"/>
    <w:tmpl w:val="3A880780"/>
    <w:lvl w:ilvl="0">
      <w:start w:val="3"/>
      <w:numFmt w:val="decimal"/>
      <w:lvlText w:val="%1."/>
      <w:lvlJc w:val="left"/>
      <w:pPr>
        <w:ind w:left="720" w:hanging="360"/>
      </w:pPr>
      <w:rPr>
        <w:rFonts w:hint="default"/>
      </w:rPr>
    </w:lvl>
    <w:lvl w:ilvl="1">
      <w:start w:val="1"/>
      <w:numFmt w:val="none"/>
      <w:isLgl/>
      <w:lvlText w:val="3.3"/>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1ACE15FA"/>
    <w:multiLevelType w:val="multilevel"/>
    <w:tmpl w:val="DCAC417C"/>
    <w:lvl w:ilvl="0">
      <w:start w:val="5"/>
      <w:numFmt w:val="none"/>
      <w:lvlText w:val="6."/>
      <w:lvlJc w:val="left"/>
      <w:pPr>
        <w:ind w:left="360" w:hanging="360"/>
      </w:pPr>
      <w:rPr>
        <w:rFonts w:hint="default"/>
      </w:rPr>
    </w:lvl>
    <w:lvl w:ilvl="1">
      <w:start w:val="1"/>
      <w:numFmt w:val="none"/>
      <w:lvlText w:val="6.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C8F4C3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CE0050D"/>
    <w:multiLevelType w:val="multilevel"/>
    <w:tmpl w:val="0809001F"/>
    <w:numStyleLink w:val="Style1"/>
  </w:abstractNum>
  <w:abstractNum w:abstractNumId="13" w15:restartNumberingAfterBreak="0">
    <w:nsid w:val="1DB13651"/>
    <w:multiLevelType w:val="multilevel"/>
    <w:tmpl w:val="0809001D"/>
    <w:styleLink w:val="Style4"/>
    <w:lvl w:ilvl="0">
      <w:start w:val="6"/>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E49052C"/>
    <w:multiLevelType w:val="multilevel"/>
    <w:tmpl w:val="AE543C32"/>
    <w:lvl w:ilvl="0">
      <w:start w:val="5"/>
      <w:numFmt w:val="none"/>
      <w:lvlText w:val="6."/>
      <w:lvlJc w:val="left"/>
      <w:pPr>
        <w:ind w:left="360" w:hanging="360"/>
      </w:pPr>
      <w:rPr>
        <w:rFonts w:hint="default"/>
      </w:rPr>
    </w:lvl>
    <w:lvl w:ilvl="1">
      <w:start w:val="1"/>
      <w:numFmt w:val="none"/>
      <w:lvlText w:val="6.3"/>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1B00ACA"/>
    <w:multiLevelType w:val="hybridMultilevel"/>
    <w:tmpl w:val="4956E01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F275A8"/>
    <w:multiLevelType w:val="hybridMultilevel"/>
    <w:tmpl w:val="E0162DF2"/>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7" w15:restartNumberingAfterBreak="0">
    <w:nsid w:val="238D0E51"/>
    <w:multiLevelType w:val="multilevel"/>
    <w:tmpl w:val="AAA63286"/>
    <w:numStyleLink w:val="Style2"/>
  </w:abstractNum>
  <w:abstractNum w:abstractNumId="18" w15:restartNumberingAfterBreak="0">
    <w:nsid w:val="2F4107B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350361F"/>
    <w:multiLevelType w:val="multilevel"/>
    <w:tmpl w:val="0809001F"/>
    <w:numStyleLink w:val="Style1"/>
  </w:abstractNum>
  <w:abstractNum w:abstractNumId="20" w15:restartNumberingAfterBreak="0">
    <w:nsid w:val="3AB57158"/>
    <w:multiLevelType w:val="multilevel"/>
    <w:tmpl w:val="7F742754"/>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3DA5230E"/>
    <w:multiLevelType w:val="multilevel"/>
    <w:tmpl w:val="DCAC417C"/>
    <w:lvl w:ilvl="0">
      <w:start w:val="5"/>
      <w:numFmt w:val="none"/>
      <w:lvlText w:val="6."/>
      <w:lvlJc w:val="left"/>
      <w:pPr>
        <w:ind w:left="360" w:hanging="360"/>
      </w:pPr>
      <w:rPr>
        <w:rFonts w:hint="default"/>
      </w:rPr>
    </w:lvl>
    <w:lvl w:ilvl="1">
      <w:start w:val="1"/>
      <w:numFmt w:val="none"/>
      <w:lvlText w:val="6.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A2128E8"/>
    <w:multiLevelType w:val="multilevel"/>
    <w:tmpl w:val="9EEE925E"/>
    <w:lvl w:ilvl="0">
      <w:start w:val="4"/>
      <w:numFmt w:val="decimal"/>
      <w:pStyle w:val="Heading1"/>
      <w:lvlText w:val="%1"/>
      <w:lvlJc w:val="left"/>
      <w:pPr>
        <w:ind w:left="432" w:hanging="432"/>
      </w:pPr>
      <w:rPr>
        <w:b/>
        <w:bCs/>
      </w:rPr>
    </w:lvl>
    <w:lvl w:ilvl="1">
      <w:start w:val="4"/>
      <w:numFmt w:val="decimal"/>
      <w:lvlText w:val="%2.1"/>
      <w:lvlJc w:val="left"/>
      <w:pPr>
        <w:ind w:left="360" w:hanging="360"/>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3" w15:restartNumberingAfterBreak="0">
    <w:nsid w:val="4A542D3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DAC031B"/>
    <w:multiLevelType w:val="multilevel"/>
    <w:tmpl w:val="EDE29D22"/>
    <w:numStyleLink w:val="Style3"/>
  </w:abstractNum>
  <w:abstractNum w:abstractNumId="25" w15:restartNumberingAfterBreak="0">
    <w:nsid w:val="4F8724FF"/>
    <w:multiLevelType w:val="hybridMultilevel"/>
    <w:tmpl w:val="E5BC18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314FE"/>
    <w:multiLevelType w:val="multilevel"/>
    <w:tmpl w:val="7F742754"/>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51445D54"/>
    <w:multiLevelType w:val="multilevel"/>
    <w:tmpl w:val="EDE29D22"/>
    <w:styleLink w:val="Style3"/>
    <w:lvl w:ilvl="0">
      <w:start w:val="5"/>
      <w:numFmt w:val="decimal"/>
      <w:lvlText w:val="%1."/>
      <w:lvlJc w:val="left"/>
      <w:pPr>
        <w:ind w:left="360" w:hanging="360"/>
      </w:pPr>
      <w:rPr>
        <w:rFonts w:hint="default"/>
      </w:rPr>
    </w:lvl>
    <w:lvl w:ilvl="1">
      <w:start w:val="1"/>
      <w:numFmt w:val="none"/>
      <w:lvlText w:val="5.3"/>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7923A85"/>
    <w:multiLevelType w:val="multilevel"/>
    <w:tmpl w:val="AAA63286"/>
    <w:styleLink w:val="Style2"/>
    <w:lvl w:ilvl="0">
      <w:start w:val="2"/>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5A3D2D20"/>
    <w:multiLevelType w:val="multilevel"/>
    <w:tmpl w:val="EC1467F8"/>
    <w:lvl w:ilvl="0">
      <w:start w:val="1"/>
      <w:numFmt w:val="decimal"/>
      <w:lvlText w:val="%1."/>
      <w:lvlJc w:val="left"/>
      <w:pPr>
        <w:ind w:left="720" w:hanging="360"/>
      </w:pPr>
    </w:lvl>
    <w:lvl w:ilvl="1">
      <w:start w:val="1"/>
      <w:numFmt w:val="decimal"/>
      <w:isLgl/>
      <w:lvlText w:val="%1.%2"/>
      <w:lvlJc w:val="left"/>
      <w:pPr>
        <w:ind w:left="840" w:hanging="480"/>
      </w:pPr>
      <w:rPr>
        <w:rFonts w:asciiTheme="majorHAnsi" w:eastAsiaTheme="majorEastAsia" w:hAnsiTheme="majorHAnsi" w:cstheme="majorBidi" w:hint="default"/>
        <w:b w:val="0"/>
        <w:sz w:val="32"/>
      </w:rPr>
    </w:lvl>
    <w:lvl w:ilvl="2">
      <w:start w:val="1"/>
      <w:numFmt w:val="decimal"/>
      <w:isLgl/>
      <w:lvlText w:val="%1.%2.%3"/>
      <w:lvlJc w:val="left"/>
      <w:pPr>
        <w:ind w:left="1080" w:hanging="720"/>
      </w:pPr>
      <w:rPr>
        <w:rFonts w:asciiTheme="majorHAnsi" w:eastAsiaTheme="majorEastAsia" w:hAnsiTheme="majorHAnsi" w:cstheme="majorBidi" w:hint="default"/>
        <w:b w:val="0"/>
        <w:sz w:val="32"/>
      </w:rPr>
    </w:lvl>
    <w:lvl w:ilvl="3">
      <w:start w:val="1"/>
      <w:numFmt w:val="decimal"/>
      <w:isLgl/>
      <w:lvlText w:val="%1.%2.%3.%4"/>
      <w:lvlJc w:val="left"/>
      <w:pPr>
        <w:ind w:left="1080" w:hanging="720"/>
      </w:pPr>
      <w:rPr>
        <w:rFonts w:asciiTheme="majorHAnsi" w:eastAsiaTheme="majorEastAsia" w:hAnsiTheme="majorHAnsi" w:cstheme="majorBidi" w:hint="default"/>
        <w:b w:val="0"/>
        <w:sz w:val="32"/>
      </w:rPr>
    </w:lvl>
    <w:lvl w:ilvl="4">
      <w:start w:val="1"/>
      <w:numFmt w:val="decimal"/>
      <w:isLgl/>
      <w:lvlText w:val="%1.%2.%3.%4.%5"/>
      <w:lvlJc w:val="left"/>
      <w:pPr>
        <w:ind w:left="1440" w:hanging="1080"/>
      </w:pPr>
      <w:rPr>
        <w:rFonts w:asciiTheme="majorHAnsi" w:eastAsiaTheme="majorEastAsia" w:hAnsiTheme="majorHAnsi" w:cstheme="majorBidi" w:hint="default"/>
        <w:b w:val="0"/>
        <w:sz w:val="32"/>
      </w:rPr>
    </w:lvl>
    <w:lvl w:ilvl="5">
      <w:start w:val="1"/>
      <w:numFmt w:val="decimal"/>
      <w:isLgl/>
      <w:lvlText w:val="%1.%2.%3.%4.%5.%6"/>
      <w:lvlJc w:val="left"/>
      <w:pPr>
        <w:ind w:left="1440" w:hanging="1080"/>
      </w:pPr>
      <w:rPr>
        <w:rFonts w:asciiTheme="majorHAnsi" w:eastAsiaTheme="majorEastAsia" w:hAnsiTheme="majorHAnsi" w:cstheme="majorBidi" w:hint="default"/>
        <w:b w:val="0"/>
        <w:sz w:val="32"/>
      </w:rPr>
    </w:lvl>
    <w:lvl w:ilvl="6">
      <w:start w:val="1"/>
      <w:numFmt w:val="decimal"/>
      <w:isLgl/>
      <w:lvlText w:val="%1.%2.%3.%4.%5.%6.%7"/>
      <w:lvlJc w:val="left"/>
      <w:pPr>
        <w:ind w:left="1800" w:hanging="1440"/>
      </w:pPr>
      <w:rPr>
        <w:rFonts w:asciiTheme="majorHAnsi" w:eastAsiaTheme="majorEastAsia" w:hAnsiTheme="majorHAnsi" w:cstheme="majorBidi" w:hint="default"/>
        <w:b w:val="0"/>
        <w:sz w:val="32"/>
      </w:rPr>
    </w:lvl>
    <w:lvl w:ilvl="7">
      <w:start w:val="1"/>
      <w:numFmt w:val="decimal"/>
      <w:isLgl/>
      <w:lvlText w:val="%1.%2.%3.%4.%5.%6.%7.%8"/>
      <w:lvlJc w:val="left"/>
      <w:pPr>
        <w:ind w:left="1800" w:hanging="1440"/>
      </w:pPr>
      <w:rPr>
        <w:rFonts w:asciiTheme="majorHAnsi" w:eastAsiaTheme="majorEastAsia" w:hAnsiTheme="majorHAnsi" w:cstheme="majorBidi" w:hint="default"/>
        <w:b w:val="0"/>
        <w:sz w:val="32"/>
      </w:rPr>
    </w:lvl>
    <w:lvl w:ilvl="8">
      <w:start w:val="1"/>
      <w:numFmt w:val="decimal"/>
      <w:isLgl/>
      <w:lvlText w:val="%1.%2.%3.%4.%5.%6.%7.%8.%9"/>
      <w:lvlJc w:val="left"/>
      <w:pPr>
        <w:ind w:left="2160" w:hanging="1800"/>
      </w:pPr>
      <w:rPr>
        <w:rFonts w:asciiTheme="majorHAnsi" w:eastAsiaTheme="majorEastAsia" w:hAnsiTheme="majorHAnsi" w:cstheme="majorBidi" w:hint="default"/>
        <w:b w:val="0"/>
        <w:sz w:val="32"/>
      </w:rPr>
    </w:lvl>
  </w:abstractNum>
  <w:abstractNum w:abstractNumId="30" w15:restartNumberingAfterBreak="0">
    <w:nsid w:val="5DC7732A"/>
    <w:multiLevelType w:val="multilevel"/>
    <w:tmpl w:val="170EEA42"/>
    <w:lvl w:ilvl="0">
      <w:start w:val="5"/>
      <w:numFmt w:val="none"/>
      <w:lvlText w:val="6."/>
      <w:lvlJc w:val="left"/>
      <w:pPr>
        <w:ind w:left="360" w:hanging="360"/>
      </w:pPr>
      <w:rPr>
        <w:rFonts w:hint="default"/>
      </w:rPr>
    </w:lvl>
    <w:lvl w:ilvl="1">
      <w:start w:val="1"/>
      <w:numFmt w:val="none"/>
      <w:lvlText w:val="6.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F592BB9"/>
    <w:multiLevelType w:val="multilevel"/>
    <w:tmpl w:val="0809001F"/>
    <w:numStyleLink w:val="Style1"/>
  </w:abstractNum>
  <w:abstractNum w:abstractNumId="32" w15:restartNumberingAfterBreak="0">
    <w:nsid w:val="659547F1"/>
    <w:multiLevelType w:val="multilevel"/>
    <w:tmpl w:val="2116BDA2"/>
    <w:lvl w:ilvl="0">
      <w:start w:val="5"/>
      <w:numFmt w:val="decimal"/>
      <w:lvlText w:val="%1."/>
      <w:lvlJc w:val="left"/>
      <w:pPr>
        <w:ind w:left="360" w:hanging="360"/>
      </w:pPr>
      <w:rPr>
        <w:rFonts w:hint="default"/>
      </w:rPr>
    </w:lvl>
    <w:lvl w:ilvl="1">
      <w:start w:val="1"/>
      <w:numFmt w:val="none"/>
      <w:lvlText w:val="5.4"/>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704640E"/>
    <w:multiLevelType w:val="multilevel"/>
    <w:tmpl w:val="4904A8C6"/>
    <w:lvl w:ilvl="0">
      <w:start w:val="3"/>
      <w:numFmt w:val="decimal"/>
      <w:lvlText w:val="%1."/>
      <w:lvlJc w:val="left"/>
      <w:pPr>
        <w:ind w:left="360" w:hanging="360"/>
      </w:pPr>
      <w:rPr>
        <w:rFonts w:hint="default"/>
      </w:rPr>
    </w:lvl>
    <w:lvl w:ilvl="1">
      <w:start w:val="1"/>
      <w:numFmt w:val="none"/>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D872A4E"/>
    <w:multiLevelType w:val="multilevel"/>
    <w:tmpl w:val="1DB03C06"/>
    <w:lvl w:ilvl="0">
      <w:start w:val="1"/>
      <w:numFmt w:val="decimal"/>
      <w:lvlText w:val="%1."/>
      <w:lvlJc w:val="left"/>
      <w:pPr>
        <w:ind w:left="720" w:hanging="360"/>
      </w:pPr>
      <w:rPr>
        <w:rFonts w:hint="default"/>
      </w:rPr>
    </w:lvl>
    <w:lvl w:ilvl="1">
      <w:start w:val="1"/>
      <w:numFmt w:val="none"/>
      <w:isLgl/>
      <w:lvlText w:val="2.2"/>
      <w:lvlJc w:val="left"/>
      <w:pPr>
        <w:ind w:left="750" w:hanging="480"/>
      </w:pPr>
      <w:rPr>
        <w:rFonts w:asciiTheme="majorHAnsi" w:eastAsiaTheme="majorEastAsia" w:hAnsiTheme="majorHAnsi" w:cstheme="majorBidi" w:hint="default"/>
        <w:b w:val="0"/>
        <w:sz w:val="32"/>
      </w:rPr>
    </w:lvl>
    <w:lvl w:ilvl="2">
      <w:start w:val="1"/>
      <w:numFmt w:val="decimal"/>
      <w:isLgl/>
      <w:lvlText w:val="%1.%2.%3"/>
      <w:lvlJc w:val="left"/>
      <w:pPr>
        <w:ind w:left="1080" w:hanging="720"/>
      </w:pPr>
      <w:rPr>
        <w:rFonts w:asciiTheme="majorHAnsi" w:eastAsiaTheme="majorEastAsia" w:hAnsiTheme="majorHAnsi" w:cstheme="majorBidi" w:hint="default"/>
        <w:b w:val="0"/>
        <w:sz w:val="32"/>
      </w:rPr>
    </w:lvl>
    <w:lvl w:ilvl="3">
      <w:start w:val="1"/>
      <w:numFmt w:val="decimal"/>
      <w:isLgl/>
      <w:lvlText w:val="%1.%2.%3.%4"/>
      <w:lvlJc w:val="left"/>
      <w:pPr>
        <w:ind w:left="1080" w:hanging="720"/>
      </w:pPr>
      <w:rPr>
        <w:rFonts w:asciiTheme="majorHAnsi" w:eastAsiaTheme="majorEastAsia" w:hAnsiTheme="majorHAnsi" w:cstheme="majorBidi" w:hint="default"/>
        <w:b w:val="0"/>
        <w:sz w:val="32"/>
      </w:rPr>
    </w:lvl>
    <w:lvl w:ilvl="4">
      <w:start w:val="1"/>
      <w:numFmt w:val="decimal"/>
      <w:isLgl/>
      <w:lvlText w:val="%1.%2.%3.%4.%5"/>
      <w:lvlJc w:val="left"/>
      <w:pPr>
        <w:ind w:left="1440" w:hanging="1080"/>
      </w:pPr>
      <w:rPr>
        <w:rFonts w:asciiTheme="majorHAnsi" w:eastAsiaTheme="majorEastAsia" w:hAnsiTheme="majorHAnsi" w:cstheme="majorBidi" w:hint="default"/>
        <w:b w:val="0"/>
        <w:sz w:val="32"/>
      </w:rPr>
    </w:lvl>
    <w:lvl w:ilvl="5">
      <w:start w:val="1"/>
      <w:numFmt w:val="decimal"/>
      <w:isLgl/>
      <w:lvlText w:val="%1.%2.%3.%4.%5.%6"/>
      <w:lvlJc w:val="left"/>
      <w:pPr>
        <w:ind w:left="1440" w:hanging="1080"/>
      </w:pPr>
      <w:rPr>
        <w:rFonts w:asciiTheme="majorHAnsi" w:eastAsiaTheme="majorEastAsia" w:hAnsiTheme="majorHAnsi" w:cstheme="majorBidi" w:hint="default"/>
        <w:b w:val="0"/>
        <w:sz w:val="32"/>
      </w:rPr>
    </w:lvl>
    <w:lvl w:ilvl="6">
      <w:start w:val="1"/>
      <w:numFmt w:val="decimal"/>
      <w:isLgl/>
      <w:lvlText w:val="%1.%2.%3.%4.%5.%6.%7"/>
      <w:lvlJc w:val="left"/>
      <w:pPr>
        <w:ind w:left="1800" w:hanging="1440"/>
      </w:pPr>
      <w:rPr>
        <w:rFonts w:asciiTheme="majorHAnsi" w:eastAsiaTheme="majorEastAsia" w:hAnsiTheme="majorHAnsi" w:cstheme="majorBidi" w:hint="default"/>
        <w:b w:val="0"/>
        <w:sz w:val="32"/>
      </w:rPr>
    </w:lvl>
    <w:lvl w:ilvl="7">
      <w:start w:val="1"/>
      <w:numFmt w:val="decimal"/>
      <w:isLgl/>
      <w:lvlText w:val="%1.%2.%3.%4.%5.%6.%7.%8"/>
      <w:lvlJc w:val="left"/>
      <w:pPr>
        <w:ind w:left="1800" w:hanging="1440"/>
      </w:pPr>
      <w:rPr>
        <w:rFonts w:asciiTheme="majorHAnsi" w:eastAsiaTheme="majorEastAsia" w:hAnsiTheme="majorHAnsi" w:cstheme="majorBidi" w:hint="default"/>
        <w:b w:val="0"/>
        <w:sz w:val="32"/>
      </w:rPr>
    </w:lvl>
    <w:lvl w:ilvl="8">
      <w:start w:val="1"/>
      <w:numFmt w:val="decimal"/>
      <w:isLgl/>
      <w:lvlText w:val="%1.%2.%3.%4.%5.%6.%7.%8.%9"/>
      <w:lvlJc w:val="left"/>
      <w:pPr>
        <w:ind w:left="2160" w:hanging="1800"/>
      </w:pPr>
      <w:rPr>
        <w:rFonts w:asciiTheme="majorHAnsi" w:eastAsiaTheme="majorEastAsia" w:hAnsiTheme="majorHAnsi" w:cstheme="majorBidi" w:hint="default"/>
        <w:b w:val="0"/>
        <w:sz w:val="32"/>
      </w:rPr>
    </w:lvl>
  </w:abstractNum>
  <w:abstractNum w:abstractNumId="35" w15:restartNumberingAfterBreak="0">
    <w:nsid w:val="704F5F80"/>
    <w:multiLevelType w:val="multilevel"/>
    <w:tmpl w:val="0809001F"/>
    <w:numStyleLink w:val="Style1"/>
  </w:abstractNum>
  <w:abstractNum w:abstractNumId="36" w15:restartNumberingAfterBreak="0">
    <w:nsid w:val="71315DCA"/>
    <w:multiLevelType w:val="multilevel"/>
    <w:tmpl w:val="D2104F10"/>
    <w:lvl w:ilvl="0">
      <w:start w:val="1"/>
      <w:numFmt w:val="decimal"/>
      <w:lvlText w:val="%1."/>
      <w:lvlJc w:val="left"/>
      <w:pPr>
        <w:tabs>
          <w:tab w:val="num" w:pos="0"/>
        </w:tabs>
        <w:ind w:left="480" w:hanging="480"/>
      </w:p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start w:val="1"/>
      <w:numFmt w:val="decimal"/>
      <w:lvlText w:val="%8."/>
      <w:lvlJc w:val="left"/>
      <w:pPr>
        <w:tabs>
          <w:tab w:val="num" w:pos="5040"/>
        </w:tabs>
        <w:ind w:left="5520" w:hanging="480"/>
      </w:pPr>
    </w:lvl>
    <w:lvl w:ilvl="8">
      <w:start w:val="1"/>
      <w:numFmt w:val="decimal"/>
      <w:lvlText w:val="%9."/>
      <w:lvlJc w:val="left"/>
      <w:pPr>
        <w:tabs>
          <w:tab w:val="num" w:pos="5760"/>
        </w:tabs>
        <w:ind w:left="6240" w:hanging="480"/>
      </w:pPr>
    </w:lvl>
  </w:abstractNum>
  <w:abstractNum w:abstractNumId="37" w15:restartNumberingAfterBreak="0">
    <w:nsid w:val="72FF7029"/>
    <w:multiLevelType w:val="multilevel"/>
    <w:tmpl w:val="C8749C0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73111B86"/>
    <w:multiLevelType w:val="multilevel"/>
    <w:tmpl w:val="0809001F"/>
    <w:numStyleLink w:val="Style1"/>
  </w:abstractNum>
  <w:abstractNum w:abstractNumId="39" w15:restartNumberingAfterBreak="0">
    <w:nsid w:val="74AF312B"/>
    <w:multiLevelType w:val="multilevel"/>
    <w:tmpl w:val="0809001F"/>
    <w:numStyleLink w:val="Style1"/>
  </w:abstractNum>
  <w:abstractNum w:abstractNumId="40" w15:restartNumberingAfterBreak="0">
    <w:nsid w:val="798C3034"/>
    <w:multiLevelType w:val="multilevel"/>
    <w:tmpl w:val="11B25E46"/>
    <w:lvl w:ilvl="0">
      <w:start w:val="5"/>
      <w:numFmt w:val="decimal"/>
      <w:lvlText w:val="%1."/>
      <w:lvlJc w:val="left"/>
      <w:pPr>
        <w:ind w:left="360" w:hanging="360"/>
      </w:pPr>
      <w:rPr>
        <w:rFonts w:hint="default"/>
      </w:rPr>
    </w:lvl>
    <w:lvl w:ilvl="1">
      <w:start w:val="1"/>
      <w:numFmt w:val="none"/>
      <w:lvlText w:val="5.4"/>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D9E62F7"/>
    <w:multiLevelType w:val="multilevel"/>
    <w:tmpl w:val="F9586EB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16cid:durableId="1789080508">
    <w:abstractNumId w:val="34"/>
  </w:num>
  <w:num w:numId="2" w16cid:durableId="374693754">
    <w:abstractNumId w:val="4"/>
  </w:num>
  <w:num w:numId="3" w16cid:durableId="2133860928">
    <w:abstractNumId w:val="18"/>
  </w:num>
  <w:num w:numId="4" w16cid:durableId="447283718">
    <w:abstractNumId w:val="29"/>
  </w:num>
  <w:num w:numId="5" w16cid:durableId="386497624">
    <w:abstractNumId w:val="16"/>
  </w:num>
  <w:num w:numId="6" w16cid:durableId="530386073">
    <w:abstractNumId w:val="5"/>
  </w:num>
  <w:num w:numId="7" w16cid:durableId="1276405017">
    <w:abstractNumId w:val="22"/>
  </w:num>
  <w:num w:numId="8" w16cid:durableId="424687183">
    <w:abstractNumId w:val="22"/>
  </w:num>
  <w:num w:numId="9" w16cid:durableId="1846822614">
    <w:abstractNumId w:val="22"/>
  </w:num>
  <w:num w:numId="10" w16cid:durableId="4126317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1531541">
    <w:abstractNumId w:val="39"/>
  </w:num>
  <w:num w:numId="12" w16cid:durableId="1542086666">
    <w:abstractNumId w:val="3"/>
  </w:num>
  <w:num w:numId="13" w16cid:durableId="2083335133">
    <w:abstractNumId w:val="38"/>
  </w:num>
  <w:num w:numId="14" w16cid:durableId="1839418856">
    <w:abstractNumId w:val="35"/>
  </w:num>
  <w:num w:numId="15" w16cid:durableId="1775855389">
    <w:abstractNumId w:val="12"/>
  </w:num>
  <w:num w:numId="16" w16cid:durableId="908002190">
    <w:abstractNumId w:val="2"/>
  </w:num>
  <w:num w:numId="17" w16cid:durableId="323894380">
    <w:abstractNumId w:val="19"/>
  </w:num>
  <w:num w:numId="18" w16cid:durableId="1055736284">
    <w:abstractNumId w:val="8"/>
  </w:num>
  <w:num w:numId="19" w16cid:durableId="1294798731">
    <w:abstractNumId w:val="37"/>
  </w:num>
  <w:num w:numId="20" w16cid:durableId="2105804915">
    <w:abstractNumId w:val="17"/>
  </w:num>
  <w:num w:numId="21" w16cid:durableId="792603846">
    <w:abstractNumId w:val="28"/>
  </w:num>
  <w:num w:numId="22" w16cid:durableId="1822648356">
    <w:abstractNumId w:val="41"/>
  </w:num>
  <w:num w:numId="23" w16cid:durableId="2082021099">
    <w:abstractNumId w:val="26"/>
  </w:num>
  <w:num w:numId="24" w16cid:durableId="1028915830">
    <w:abstractNumId w:val="9"/>
  </w:num>
  <w:num w:numId="25" w16cid:durableId="705104849">
    <w:abstractNumId w:val="20"/>
  </w:num>
  <w:num w:numId="26" w16cid:durableId="372735558">
    <w:abstractNumId w:val="15"/>
  </w:num>
  <w:num w:numId="27" w16cid:durableId="220018381">
    <w:abstractNumId w:val="7"/>
  </w:num>
  <w:num w:numId="28" w16cid:durableId="1762949974">
    <w:abstractNumId w:val="31"/>
  </w:num>
  <w:num w:numId="29" w16cid:durableId="1734237309">
    <w:abstractNumId w:val="33"/>
  </w:num>
  <w:num w:numId="30" w16cid:durableId="1629970466">
    <w:abstractNumId w:val="24"/>
  </w:num>
  <w:num w:numId="31" w16cid:durableId="499346591">
    <w:abstractNumId w:val="27"/>
  </w:num>
  <w:num w:numId="32" w16cid:durableId="1557159433">
    <w:abstractNumId w:val="23"/>
  </w:num>
  <w:num w:numId="33" w16cid:durableId="1157184788">
    <w:abstractNumId w:val="32"/>
  </w:num>
  <w:num w:numId="34" w16cid:durableId="417530302">
    <w:abstractNumId w:val="40"/>
  </w:num>
  <w:num w:numId="35" w16cid:durableId="2137214191">
    <w:abstractNumId w:val="21"/>
  </w:num>
  <w:num w:numId="36" w16cid:durableId="1123959003">
    <w:abstractNumId w:val="30"/>
  </w:num>
  <w:num w:numId="37" w16cid:durableId="330645451">
    <w:abstractNumId w:val="13"/>
  </w:num>
  <w:num w:numId="38" w16cid:durableId="211692526">
    <w:abstractNumId w:val="6"/>
  </w:num>
  <w:num w:numId="39" w16cid:durableId="1573543708">
    <w:abstractNumId w:val="0"/>
  </w:num>
  <w:num w:numId="40" w16cid:durableId="1421750683">
    <w:abstractNumId w:val="11"/>
  </w:num>
  <w:num w:numId="41" w16cid:durableId="1834253677">
    <w:abstractNumId w:val="10"/>
  </w:num>
  <w:num w:numId="42" w16cid:durableId="311326836">
    <w:abstractNumId w:val="25"/>
  </w:num>
  <w:num w:numId="43" w16cid:durableId="1691372195">
    <w:abstractNumId w:val="14"/>
  </w:num>
  <w:num w:numId="44" w16cid:durableId="1623461501">
    <w:abstractNumId w:val="1"/>
  </w:num>
  <w:num w:numId="45" w16cid:durableId="12112264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CB7"/>
    <w:rsid w:val="0005662D"/>
    <w:rsid w:val="00065605"/>
    <w:rsid w:val="00073623"/>
    <w:rsid w:val="00076237"/>
    <w:rsid w:val="000A22CA"/>
    <w:rsid w:val="00121CB7"/>
    <w:rsid w:val="00157D61"/>
    <w:rsid w:val="00176E28"/>
    <w:rsid w:val="001B3BBE"/>
    <w:rsid w:val="001D3811"/>
    <w:rsid w:val="001D4946"/>
    <w:rsid w:val="00206D02"/>
    <w:rsid w:val="00210338"/>
    <w:rsid w:val="0023346E"/>
    <w:rsid w:val="00256C92"/>
    <w:rsid w:val="002662B0"/>
    <w:rsid w:val="002723DC"/>
    <w:rsid w:val="00273190"/>
    <w:rsid w:val="002D0EF9"/>
    <w:rsid w:val="0031772F"/>
    <w:rsid w:val="00331EB6"/>
    <w:rsid w:val="0034637C"/>
    <w:rsid w:val="00382384"/>
    <w:rsid w:val="00395B45"/>
    <w:rsid w:val="00396814"/>
    <w:rsid w:val="003C663C"/>
    <w:rsid w:val="003E50B5"/>
    <w:rsid w:val="00430B60"/>
    <w:rsid w:val="00443D22"/>
    <w:rsid w:val="004610BB"/>
    <w:rsid w:val="004637B1"/>
    <w:rsid w:val="00475EDB"/>
    <w:rsid w:val="004C4FE8"/>
    <w:rsid w:val="00502939"/>
    <w:rsid w:val="0051600F"/>
    <w:rsid w:val="0057692D"/>
    <w:rsid w:val="005F21E0"/>
    <w:rsid w:val="00620A5F"/>
    <w:rsid w:val="00620E17"/>
    <w:rsid w:val="00661F78"/>
    <w:rsid w:val="00682536"/>
    <w:rsid w:val="00683BBC"/>
    <w:rsid w:val="00690248"/>
    <w:rsid w:val="006916AF"/>
    <w:rsid w:val="006A0501"/>
    <w:rsid w:val="006D1FE8"/>
    <w:rsid w:val="00705F4F"/>
    <w:rsid w:val="0071762A"/>
    <w:rsid w:val="00751D49"/>
    <w:rsid w:val="007D1566"/>
    <w:rsid w:val="0080675D"/>
    <w:rsid w:val="00827A97"/>
    <w:rsid w:val="008423A8"/>
    <w:rsid w:val="00844D18"/>
    <w:rsid w:val="00847B96"/>
    <w:rsid w:val="00894417"/>
    <w:rsid w:val="008A67A4"/>
    <w:rsid w:val="008B2C07"/>
    <w:rsid w:val="008E5541"/>
    <w:rsid w:val="00947FC1"/>
    <w:rsid w:val="00995A54"/>
    <w:rsid w:val="009A2FE5"/>
    <w:rsid w:val="009C743F"/>
    <w:rsid w:val="009E6D62"/>
    <w:rsid w:val="00A12800"/>
    <w:rsid w:val="00A177CC"/>
    <w:rsid w:val="00A22447"/>
    <w:rsid w:val="00A44273"/>
    <w:rsid w:val="00A46BA9"/>
    <w:rsid w:val="00A80385"/>
    <w:rsid w:val="00AC5E2E"/>
    <w:rsid w:val="00B102D3"/>
    <w:rsid w:val="00B3308C"/>
    <w:rsid w:val="00B6043D"/>
    <w:rsid w:val="00B635D2"/>
    <w:rsid w:val="00B7393D"/>
    <w:rsid w:val="00B91D86"/>
    <w:rsid w:val="00BB1117"/>
    <w:rsid w:val="00BF196D"/>
    <w:rsid w:val="00BF5FFC"/>
    <w:rsid w:val="00C0347B"/>
    <w:rsid w:val="00C27EC5"/>
    <w:rsid w:val="00C443CB"/>
    <w:rsid w:val="00C54E08"/>
    <w:rsid w:val="00C6340A"/>
    <w:rsid w:val="00C70C3C"/>
    <w:rsid w:val="00C72B40"/>
    <w:rsid w:val="00C750B0"/>
    <w:rsid w:val="00C83DC6"/>
    <w:rsid w:val="00C94CC1"/>
    <w:rsid w:val="00C97059"/>
    <w:rsid w:val="00CA3150"/>
    <w:rsid w:val="00CA6D55"/>
    <w:rsid w:val="00CE5E3D"/>
    <w:rsid w:val="00D43FAC"/>
    <w:rsid w:val="00DD0EC7"/>
    <w:rsid w:val="00DE6CC3"/>
    <w:rsid w:val="00DF17DD"/>
    <w:rsid w:val="00E16242"/>
    <w:rsid w:val="00E27A9A"/>
    <w:rsid w:val="00E3692E"/>
    <w:rsid w:val="00E54A89"/>
    <w:rsid w:val="00E611F7"/>
    <w:rsid w:val="00E61AF6"/>
    <w:rsid w:val="00EB0834"/>
    <w:rsid w:val="00EC2930"/>
    <w:rsid w:val="00EE2C5F"/>
    <w:rsid w:val="00EF27B3"/>
    <w:rsid w:val="00F0033E"/>
    <w:rsid w:val="00F31E35"/>
    <w:rsid w:val="00F36332"/>
    <w:rsid w:val="00F66433"/>
    <w:rsid w:val="00F735FE"/>
    <w:rsid w:val="00F74EE7"/>
    <w:rsid w:val="00F800DE"/>
    <w:rsid w:val="00FA0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3B0C4"/>
  <w15:chartTrackingRefBased/>
  <w15:docId w15:val="{7B7B2E02-B421-4FD3-ACAB-5761B4E17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5D2"/>
  </w:style>
  <w:style w:type="paragraph" w:styleId="Heading1">
    <w:name w:val="heading 1"/>
    <w:basedOn w:val="Normal"/>
    <w:next w:val="Normal"/>
    <w:link w:val="Heading1Char"/>
    <w:uiPriority w:val="9"/>
    <w:qFormat/>
    <w:rsid w:val="00121CB7"/>
    <w:pPr>
      <w:keepNext/>
      <w:keepLines/>
      <w:numPr>
        <w:numId w:val="8"/>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21C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21CB7"/>
    <w:pPr>
      <w:keepNext/>
      <w:keepLines/>
      <w:numPr>
        <w:ilvl w:val="2"/>
        <w:numId w:val="8"/>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1CB7"/>
    <w:pPr>
      <w:keepNext/>
      <w:keepLines/>
      <w:numPr>
        <w:ilvl w:val="3"/>
        <w:numId w:val="8"/>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1CB7"/>
    <w:pPr>
      <w:keepNext/>
      <w:keepLines/>
      <w:numPr>
        <w:ilvl w:val="4"/>
        <w:numId w:val="8"/>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1CB7"/>
    <w:pPr>
      <w:keepNext/>
      <w:keepLines/>
      <w:numPr>
        <w:ilvl w:val="5"/>
        <w:numId w:val="8"/>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1CB7"/>
    <w:pPr>
      <w:keepNext/>
      <w:keepLines/>
      <w:numPr>
        <w:ilvl w:val="6"/>
        <w:numId w:val="8"/>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1CB7"/>
    <w:pPr>
      <w:keepNext/>
      <w:keepLines/>
      <w:numPr>
        <w:ilvl w:val="7"/>
        <w:numId w:val="8"/>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1CB7"/>
    <w:pPr>
      <w:keepNext/>
      <w:keepLines/>
      <w:numPr>
        <w:ilvl w:val="8"/>
        <w:numId w:val="8"/>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1C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21C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21C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1C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1C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1C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1C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1C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1CB7"/>
    <w:rPr>
      <w:rFonts w:eastAsiaTheme="majorEastAsia" w:cstheme="majorBidi"/>
      <w:color w:val="272727" w:themeColor="text1" w:themeTint="D8"/>
    </w:rPr>
  </w:style>
  <w:style w:type="paragraph" w:styleId="Title">
    <w:name w:val="Title"/>
    <w:basedOn w:val="Normal"/>
    <w:next w:val="Normal"/>
    <w:link w:val="TitleChar"/>
    <w:uiPriority w:val="10"/>
    <w:qFormat/>
    <w:rsid w:val="00121C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1C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1C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1C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1CB7"/>
    <w:pPr>
      <w:spacing w:before="160"/>
      <w:jc w:val="center"/>
    </w:pPr>
    <w:rPr>
      <w:i/>
      <w:iCs/>
      <w:color w:val="404040" w:themeColor="text1" w:themeTint="BF"/>
    </w:rPr>
  </w:style>
  <w:style w:type="character" w:customStyle="1" w:styleId="QuoteChar">
    <w:name w:val="Quote Char"/>
    <w:basedOn w:val="DefaultParagraphFont"/>
    <w:link w:val="Quote"/>
    <w:uiPriority w:val="29"/>
    <w:rsid w:val="00121CB7"/>
    <w:rPr>
      <w:i/>
      <w:iCs/>
      <w:color w:val="404040" w:themeColor="text1" w:themeTint="BF"/>
    </w:rPr>
  </w:style>
  <w:style w:type="paragraph" w:styleId="ListParagraph">
    <w:name w:val="List Paragraph"/>
    <w:basedOn w:val="Normal"/>
    <w:uiPriority w:val="34"/>
    <w:qFormat/>
    <w:rsid w:val="00121CB7"/>
    <w:pPr>
      <w:ind w:left="720"/>
      <w:contextualSpacing/>
    </w:pPr>
  </w:style>
  <w:style w:type="character" w:styleId="IntenseEmphasis">
    <w:name w:val="Intense Emphasis"/>
    <w:basedOn w:val="DefaultParagraphFont"/>
    <w:uiPriority w:val="21"/>
    <w:qFormat/>
    <w:rsid w:val="00121CB7"/>
    <w:rPr>
      <w:i/>
      <w:iCs/>
      <w:color w:val="0F4761" w:themeColor="accent1" w:themeShade="BF"/>
    </w:rPr>
  </w:style>
  <w:style w:type="paragraph" w:styleId="IntenseQuote">
    <w:name w:val="Intense Quote"/>
    <w:basedOn w:val="Normal"/>
    <w:next w:val="Normal"/>
    <w:link w:val="IntenseQuoteChar"/>
    <w:uiPriority w:val="30"/>
    <w:qFormat/>
    <w:rsid w:val="00121C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1CB7"/>
    <w:rPr>
      <w:i/>
      <w:iCs/>
      <w:color w:val="0F4761" w:themeColor="accent1" w:themeShade="BF"/>
    </w:rPr>
  </w:style>
  <w:style w:type="character" w:styleId="IntenseReference">
    <w:name w:val="Intense Reference"/>
    <w:basedOn w:val="DefaultParagraphFont"/>
    <w:uiPriority w:val="32"/>
    <w:qFormat/>
    <w:rsid w:val="00121CB7"/>
    <w:rPr>
      <w:b/>
      <w:bCs/>
      <w:smallCaps/>
      <w:color w:val="0F4761" w:themeColor="accent1" w:themeShade="BF"/>
      <w:spacing w:val="5"/>
    </w:rPr>
  </w:style>
  <w:style w:type="table" w:styleId="TableGrid">
    <w:name w:val="Table Grid"/>
    <w:basedOn w:val="TableNormal"/>
    <w:uiPriority w:val="39"/>
    <w:rsid w:val="00827A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610BB"/>
    <w:rPr>
      <w:color w:val="467886" w:themeColor="hyperlink"/>
      <w:u w:val="single"/>
    </w:rPr>
  </w:style>
  <w:style w:type="character" w:styleId="UnresolvedMention">
    <w:name w:val="Unresolved Mention"/>
    <w:basedOn w:val="DefaultParagraphFont"/>
    <w:uiPriority w:val="99"/>
    <w:semiHidden/>
    <w:unhideWhenUsed/>
    <w:rsid w:val="004610BB"/>
    <w:rPr>
      <w:color w:val="605E5C"/>
      <w:shd w:val="clear" w:color="auto" w:fill="E1DFDD"/>
    </w:rPr>
  </w:style>
  <w:style w:type="character" w:styleId="FollowedHyperlink">
    <w:name w:val="FollowedHyperlink"/>
    <w:basedOn w:val="DefaultParagraphFont"/>
    <w:uiPriority w:val="99"/>
    <w:semiHidden/>
    <w:unhideWhenUsed/>
    <w:rsid w:val="00430B60"/>
    <w:rPr>
      <w:color w:val="96607D" w:themeColor="followedHyperlink"/>
      <w:u w:val="single"/>
    </w:rPr>
  </w:style>
  <w:style w:type="paragraph" w:styleId="TOCHeading">
    <w:name w:val="TOC Heading"/>
    <w:basedOn w:val="Heading1"/>
    <w:next w:val="Normal"/>
    <w:uiPriority w:val="39"/>
    <w:unhideWhenUsed/>
    <w:qFormat/>
    <w:rsid w:val="00F0033E"/>
    <w:pPr>
      <w:numPr>
        <w:numId w:val="0"/>
      </w:num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F0033E"/>
    <w:pPr>
      <w:spacing w:after="100"/>
    </w:pPr>
  </w:style>
  <w:style w:type="paragraph" w:styleId="TOC2">
    <w:name w:val="toc 2"/>
    <w:basedOn w:val="Normal"/>
    <w:next w:val="Normal"/>
    <w:autoRedefine/>
    <w:uiPriority w:val="39"/>
    <w:unhideWhenUsed/>
    <w:rsid w:val="00F0033E"/>
    <w:pPr>
      <w:spacing w:after="100"/>
      <w:ind w:left="220"/>
    </w:pPr>
  </w:style>
  <w:style w:type="paragraph" w:styleId="TOC3">
    <w:name w:val="toc 3"/>
    <w:basedOn w:val="Normal"/>
    <w:next w:val="Normal"/>
    <w:autoRedefine/>
    <w:uiPriority w:val="39"/>
    <w:unhideWhenUsed/>
    <w:rsid w:val="00F0033E"/>
    <w:pPr>
      <w:spacing w:after="100"/>
      <w:ind w:left="440"/>
    </w:pPr>
  </w:style>
  <w:style w:type="paragraph" w:customStyle="1" w:styleId="MdHeading1">
    <w:name w:val="MdHeading1"/>
    <w:qFormat/>
    <w:rsid w:val="00661F78"/>
    <w:pPr>
      <w:keepNext/>
      <w:spacing w:before="480" w:after="240" w:line="240" w:lineRule="auto"/>
      <w:outlineLvl w:val="0"/>
    </w:pPr>
    <w:rPr>
      <w:rFonts w:ascii="Times New Roman" w:eastAsia="Times New Roman" w:hAnsi="Times New Roman" w:cs="Times New Roman"/>
      <w:b/>
      <w:bCs/>
      <w:kern w:val="0"/>
      <w:sz w:val="36"/>
      <w:szCs w:val="36"/>
      <w:lang w:eastAsia="en-GB"/>
      <w14:ligatures w14:val="none"/>
    </w:rPr>
  </w:style>
  <w:style w:type="paragraph" w:styleId="NormalWeb">
    <w:name w:val="Normal (Web)"/>
    <w:basedOn w:val="Normal"/>
    <w:uiPriority w:val="99"/>
    <w:unhideWhenUsed/>
    <w:rsid w:val="006916A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numbering" w:customStyle="1" w:styleId="Style1">
    <w:name w:val="Style1"/>
    <w:uiPriority w:val="99"/>
    <w:rsid w:val="006916AF"/>
    <w:pPr>
      <w:numPr>
        <w:numId w:val="12"/>
      </w:numPr>
    </w:pPr>
  </w:style>
  <w:style w:type="numbering" w:customStyle="1" w:styleId="Style2">
    <w:name w:val="Style2"/>
    <w:uiPriority w:val="99"/>
    <w:rsid w:val="006916AF"/>
    <w:pPr>
      <w:numPr>
        <w:numId w:val="21"/>
      </w:numPr>
    </w:pPr>
  </w:style>
  <w:style w:type="character" w:customStyle="1" w:styleId="hoverbg-blue-100">
    <w:name w:val="hover:bg-blue-100"/>
    <w:basedOn w:val="DefaultParagraphFont"/>
    <w:rsid w:val="006916AF"/>
  </w:style>
  <w:style w:type="numbering" w:customStyle="1" w:styleId="Style3">
    <w:name w:val="Style3"/>
    <w:uiPriority w:val="99"/>
    <w:rsid w:val="00690248"/>
    <w:pPr>
      <w:numPr>
        <w:numId w:val="31"/>
      </w:numPr>
    </w:pPr>
  </w:style>
  <w:style w:type="paragraph" w:styleId="NoSpacing">
    <w:name w:val="No Spacing"/>
    <w:uiPriority w:val="1"/>
    <w:qFormat/>
    <w:rsid w:val="00EC2930"/>
    <w:pPr>
      <w:spacing w:after="0" w:line="240" w:lineRule="auto"/>
    </w:pPr>
  </w:style>
  <w:style w:type="paragraph" w:customStyle="1" w:styleId="FirstParagraph">
    <w:name w:val="First Paragraph"/>
    <w:basedOn w:val="BodyText"/>
    <w:next w:val="BodyText"/>
    <w:qFormat/>
    <w:rsid w:val="00EC2930"/>
    <w:pPr>
      <w:spacing w:before="180" w:after="180" w:line="240" w:lineRule="auto"/>
    </w:pPr>
    <w:rPr>
      <w:kern w:val="0"/>
      <w:sz w:val="24"/>
      <w:szCs w:val="24"/>
      <w:lang w:val="en-US"/>
      <w14:ligatures w14:val="none"/>
    </w:rPr>
  </w:style>
  <w:style w:type="paragraph" w:styleId="BodyText">
    <w:name w:val="Body Text"/>
    <w:basedOn w:val="Normal"/>
    <w:link w:val="BodyTextChar"/>
    <w:uiPriority w:val="99"/>
    <w:unhideWhenUsed/>
    <w:rsid w:val="00EC2930"/>
    <w:pPr>
      <w:spacing w:after="120"/>
    </w:pPr>
  </w:style>
  <w:style w:type="character" w:customStyle="1" w:styleId="BodyTextChar">
    <w:name w:val="Body Text Char"/>
    <w:basedOn w:val="DefaultParagraphFont"/>
    <w:link w:val="BodyText"/>
    <w:uiPriority w:val="99"/>
    <w:rsid w:val="00EC2930"/>
  </w:style>
  <w:style w:type="numbering" w:customStyle="1" w:styleId="Style4">
    <w:name w:val="Style4"/>
    <w:uiPriority w:val="99"/>
    <w:rsid w:val="00E16242"/>
    <w:pPr>
      <w:numPr>
        <w:numId w:val="37"/>
      </w:numPr>
    </w:pPr>
  </w:style>
  <w:style w:type="paragraph" w:customStyle="1" w:styleId="Compact">
    <w:name w:val="Compact"/>
    <w:basedOn w:val="BodyText"/>
    <w:qFormat/>
    <w:rsid w:val="00947FC1"/>
    <w:pPr>
      <w:spacing w:before="36" w:after="36" w:line="240" w:lineRule="auto"/>
    </w:pPr>
    <w:rPr>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1016/j.rser.2024.115216"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gov.uk/government/news/nissan-launches-450m-next-generation-leafin-major-vote-of-confidence-in-uks-industrial-strateg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77/014920639101700108" TargetMode="External"/><Relationship Id="rId5" Type="http://schemas.openxmlformats.org/officeDocument/2006/relationships/webSettings" Target="webSettings.xml"/><Relationship Id="rId15" Type="http://schemas.openxmlformats.org/officeDocument/2006/relationships/hyperlink" Target="https://doi.org/10.1590/S0034-75901985000200009" TargetMode="Externa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doi.org/10.1016/j.geits.2024.1001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DEE46D-962C-4181-A3BE-CA715BFD8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3104</Words>
  <Characters>19996</Characters>
  <Application>Microsoft Office Word</Application>
  <DocSecurity>0</DocSecurity>
  <Lines>487</Lines>
  <Paragraphs>316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cecile abuzour</dc:creator>
  <cp:keywords/>
  <dc:description/>
  <cp:lastModifiedBy>cecile Abuzour</cp:lastModifiedBy>
  <cp:revision>2</cp:revision>
  <dcterms:created xsi:type="dcterms:W3CDTF">2026-04-23T23:14:00Z</dcterms:created>
  <dcterms:modified xsi:type="dcterms:W3CDTF">2026-04-23T23:14:00Z</dcterms:modified>
</cp:coreProperties>
</file>