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2536D" w14:textId="4FC6C36E" w:rsidR="00BF0CAE" w:rsidRDefault="00BF0CAE" w:rsidP="135EC6F1">
      <w:pPr>
        <w:spacing w:line="360" w:lineRule="auto"/>
        <w:jc w:val="both"/>
      </w:pPr>
      <w:r>
        <w:t>Part A – poster</w:t>
      </w:r>
    </w:p>
    <w:p w14:paraId="41F9BE5B" w14:textId="7296EC9A" w:rsidR="00BF0CAE" w:rsidRDefault="00BF0CAE" w:rsidP="135EC6F1">
      <w:pPr>
        <w:spacing w:line="360" w:lineRule="auto"/>
        <w:jc w:val="both"/>
      </w:pPr>
      <w:r w:rsidRPr="00BF0CAE">
        <w:drawing>
          <wp:inline distT="0" distB="0" distL="0" distR="0" wp14:anchorId="22FFBAA5" wp14:editId="163A8E0A">
            <wp:extent cx="5731510" cy="3808730"/>
            <wp:effectExtent l="0" t="0" r="2540" b="1270"/>
            <wp:docPr id="1525277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77403" name=""/>
                    <pic:cNvPicPr/>
                  </pic:nvPicPr>
                  <pic:blipFill>
                    <a:blip r:embed="rId4"/>
                    <a:stretch>
                      <a:fillRect/>
                    </a:stretch>
                  </pic:blipFill>
                  <pic:spPr>
                    <a:xfrm>
                      <a:off x="0" y="0"/>
                      <a:ext cx="5731510" cy="3808730"/>
                    </a:xfrm>
                    <a:prstGeom prst="rect">
                      <a:avLst/>
                    </a:prstGeom>
                  </pic:spPr>
                </pic:pic>
              </a:graphicData>
            </a:graphic>
          </wp:inline>
        </w:drawing>
      </w:r>
    </w:p>
    <w:p w14:paraId="2B97AEDD" w14:textId="77777777" w:rsidR="00BF0CAE" w:rsidRDefault="00BF0CAE" w:rsidP="135EC6F1">
      <w:pPr>
        <w:spacing w:line="360" w:lineRule="auto"/>
        <w:jc w:val="both"/>
      </w:pPr>
    </w:p>
    <w:p w14:paraId="5E5787A5" w14:textId="4D074966" w:rsidR="00F952D6" w:rsidRDefault="69129CD4" w:rsidP="135EC6F1">
      <w:pPr>
        <w:spacing w:line="360" w:lineRule="auto"/>
        <w:jc w:val="both"/>
      </w:pPr>
      <w:r w:rsidRPr="135EC6F1">
        <w:t>Part B – Reflection on Feedback</w:t>
      </w:r>
    </w:p>
    <w:p w14:paraId="6B14B73E" w14:textId="02D16BC3" w:rsidR="135EC6F1" w:rsidRDefault="135EC6F1" w:rsidP="135EC6F1">
      <w:pPr>
        <w:spacing w:line="360" w:lineRule="auto"/>
        <w:jc w:val="both"/>
      </w:pPr>
    </w:p>
    <w:p w14:paraId="3A957373" w14:textId="4A679F61" w:rsidR="1FCDAF8D" w:rsidRDefault="1FCDAF8D" w:rsidP="135EC6F1">
      <w:pPr>
        <w:spacing w:line="360" w:lineRule="auto"/>
        <w:jc w:val="both"/>
      </w:pPr>
      <w:r w:rsidRPr="135EC6F1">
        <w:t xml:space="preserve">The comments from my lecturer and classmates were useful to validate my project proposal, and to highlight some aspects that can be improved before I finalise my project management plan. The overall comments pointed out that the project has a firm base but that </w:t>
      </w:r>
      <w:r w:rsidR="5239508F" w:rsidRPr="135EC6F1">
        <w:t>needs</w:t>
      </w:r>
      <w:r w:rsidRPr="135EC6F1">
        <w:t xml:space="preserve"> to be worked harder particularly in the application of known project management tools and techniques, to enhance planning, stakeholder management and project control. This reflective evaluation </w:t>
      </w:r>
      <w:r w:rsidR="2B222D2E" w:rsidRPr="135EC6F1">
        <w:t>helped</w:t>
      </w:r>
      <w:r w:rsidRPr="135EC6F1">
        <w:t xml:space="preserve"> me to decide what revisions for the final that I should put them.</w:t>
      </w:r>
    </w:p>
    <w:p w14:paraId="2543D212" w14:textId="2D48A495" w:rsidR="1FCDAF8D" w:rsidRDefault="1FCDAF8D" w:rsidP="135EC6F1">
      <w:pPr>
        <w:spacing w:line="360" w:lineRule="auto"/>
        <w:jc w:val="both"/>
      </w:pPr>
      <w:r w:rsidRPr="135EC6F1">
        <w:t xml:space="preserve">As mentioned in the poster, one of the main positive points that arose was the project background and rationale and this really resonated with the room. While the proposal became immediately apparent for the conditions of the transport disruption, the lecturer agreed that it was providing sound support, in a sustained manner, for the rationale for a redevelopment programme that was </w:t>
      </w:r>
      <w:r w:rsidR="52979A6F" w:rsidRPr="135EC6F1">
        <w:t>sustainable (</w:t>
      </w:r>
      <w:r w:rsidRPr="135EC6F1">
        <w:t>APM, 2019).</w:t>
      </w:r>
    </w:p>
    <w:p w14:paraId="0AFE2C95" w14:textId="5EC6216E" w:rsidR="1FCDAF8D" w:rsidRDefault="1FCDAF8D" w:rsidP="135EC6F1">
      <w:pPr>
        <w:spacing w:line="360" w:lineRule="auto"/>
        <w:jc w:val="both"/>
      </w:pPr>
      <w:r w:rsidRPr="135EC6F1">
        <w:lastRenderedPageBreak/>
        <w:t>The lecturer also praised the project aim and the objectives which showed how in a logical manner the objectives supported the overall aim and how the desired effects were to be achieved in a structured manner. The project scope was dealt with in a similar way as it clearly identified what was in the project and what was purposely out of the project</w:t>
      </w:r>
      <w:proofErr w:type="gramStart"/>
      <w:r w:rsidRPr="135EC6F1">
        <w:t xml:space="preserve">.  </w:t>
      </w:r>
      <w:proofErr w:type="gramEnd"/>
      <w:r w:rsidRPr="135EC6F1">
        <w:t>(PMI, 2021).</w:t>
      </w:r>
    </w:p>
    <w:p w14:paraId="7BDFA657" w14:textId="69D67704" w:rsidR="1FCDAF8D" w:rsidRDefault="1FCDAF8D" w:rsidP="135EC6F1">
      <w:pPr>
        <w:spacing w:line="360" w:lineRule="auto"/>
        <w:jc w:val="both"/>
      </w:pPr>
      <w:r w:rsidRPr="135EC6F1">
        <w:t xml:space="preserve">A positive result that was identified was the first round of stakeholders' identification. The lecturer made some valid points about the poster lacking detail and not being as advanced as it should be, as the main organisations and groups affected by the project are covered, but the final report should include more than this. Rather, it should conduct a proper analysis of the various stakeholders and be less cumbersome. Freeman (1984) states that it is not enough for organisations to treat all the stakeholders equally, as it relies on understanding each stakeholder's relative influence and level of interest. The final project plan will therefore include a Power–Interest Matrix to differentiate stakeholders, </w:t>
      </w:r>
      <w:r w:rsidR="24F8A447" w:rsidRPr="135EC6F1">
        <w:t>since</w:t>
      </w:r>
      <w:r w:rsidRPr="135EC6F1">
        <w:t xml:space="preserve"> their power and the level of engagement </w:t>
      </w:r>
      <w:r w:rsidR="24807843" w:rsidRPr="135EC6F1">
        <w:t>needed</w:t>
      </w:r>
      <w:r w:rsidRPr="135EC6F1">
        <w:t xml:space="preserve"> in the project. (PMI, 2021).</w:t>
      </w:r>
    </w:p>
    <w:p w14:paraId="421DB831" w14:textId="798BC854" w:rsidR="1FCDAF8D" w:rsidRDefault="1FCDAF8D" w:rsidP="135EC6F1">
      <w:pPr>
        <w:spacing w:line="360" w:lineRule="auto"/>
        <w:jc w:val="both"/>
      </w:pPr>
      <w:r w:rsidRPr="135EC6F1">
        <w:t xml:space="preserve">The lecturer further suggested that it could be useful to enhance the tracking and reporting of the </w:t>
      </w:r>
      <w:r w:rsidR="00BF0CAE" w:rsidRPr="135EC6F1">
        <w:t>project,</w:t>
      </w:r>
      <w:r w:rsidRPr="135EC6F1">
        <w:t xml:space="preserve"> with the inclusion of a complete Quad Chart. Still, although the poster did indicate connections to measures of success and the expected benefits, these should be inserted in the appropriate four-part Quad Chart, giving the stakeholders a quick and easy overview of project purpose, measures of project performance, benefits and constraints. With this, it becomes much easier for those making the decisions to keep an eye on the progress of the work and maintain governance throughout the entire duration of the project (Kerzner, 2022).</w:t>
      </w:r>
    </w:p>
    <w:p w14:paraId="179B6101" w14:textId="7B339251" w:rsidR="1FCDAF8D" w:rsidRDefault="1FCDAF8D" w:rsidP="135EC6F1">
      <w:pPr>
        <w:spacing w:line="360" w:lineRule="auto"/>
        <w:jc w:val="both"/>
      </w:pPr>
      <w:r w:rsidRPr="135EC6F1">
        <w:t xml:space="preserve">Another improvement that came to mind was around risk management, </w:t>
      </w:r>
      <w:r w:rsidR="7DDD2FFD" w:rsidRPr="135EC6F1">
        <w:t>but</w:t>
      </w:r>
      <w:r w:rsidRPr="135EC6F1">
        <w:t xml:space="preserve"> again it </w:t>
      </w:r>
      <w:r w:rsidR="0A9C8855" w:rsidRPr="135EC6F1">
        <w:t xml:space="preserve">was </w:t>
      </w:r>
      <w:r w:rsidR="00BF0CAE" w:rsidRPr="135EC6F1">
        <w:t>not finished</w:t>
      </w:r>
      <w:r w:rsidRPr="135EC6F1">
        <w:t>. The lecturer pointed out that the initial risk register had some good information: the risks were identified well and the mitigation actions made sense, but there was a need for more detail when examining each risk. The final report will address each of these risks, considering the likelihood of the risk; the actual consequences of the risk; the risk rating, and the distribution of responsibilities/what will be done in case of danger. (Hillson, 2009).</w:t>
      </w:r>
    </w:p>
    <w:p w14:paraId="358F58F8" w14:textId="0A77C40C" w:rsidR="1FCDAF8D" w:rsidRDefault="1FCDAF8D" w:rsidP="135EC6F1">
      <w:pPr>
        <w:spacing w:line="360" w:lineRule="auto"/>
        <w:jc w:val="both"/>
      </w:pPr>
      <w:r w:rsidRPr="135EC6F1">
        <w:t>Finally, the lecturer also emphasized the importance of providing a Work Breakdown Structure (WBS) and a Gantt Chart in the final report. The WBS will decompose the project into sensible work packages and will also allocate responsibility throughout the project teams, in a clearer fashion. In the meantime, the Gantt Chart illustrates the sequence of the activities, as well as the interdependencies, key milestones and general project schedules. (Kerzner, 2022; PMI, 2021).</w:t>
      </w:r>
    </w:p>
    <w:p w14:paraId="5D7D692C" w14:textId="1FBA455C" w:rsidR="135EC6F1" w:rsidRDefault="135EC6F1" w:rsidP="135EC6F1">
      <w:pPr>
        <w:spacing w:line="360" w:lineRule="auto"/>
        <w:jc w:val="both"/>
      </w:pPr>
    </w:p>
    <w:p w14:paraId="553EF10B" w14:textId="64EC9A18" w:rsidR="135EC6F1" w:rsidRDefault="135EC6F1" w:rsidP="135EC6F1">
      <w:pPr>
        <w:spacing w:line="360" w:lineRule="auto"/>
        <w:jc w:val="both"/>
      </w:pPr>
    </w:p>
    <w:p w14:paraId="029653C1" w14:textId="2EFAD6BD" w:rsidR="13FBB29D" w:rsidRDefault="13FBB29D" w:rsidP="135EC6F1">
      <w:pPr>
        <w:pStyle w:val="Heading3"/>
        <w:spacing w:before="281" w:after="281" w:line="360" w:lineRule="auto"/>
        <w:jc w:val="both"/>
        <w:rPr>
          <w:rFonts w:ascii="Times New Roman" w:eastAsia="Times New Roman" w:hAnsi="Times New Roman" w:cs="Times New Roman"/>
          <w:b/>
          <w:bCs/>
          <w:color w:val="auto"/>
          <w:sz w:val="24"/>
          <w:szCs w:val="24"/>
        </w:rPr>
      </w:pPr>
      <w:r w:rsidRPr="135EC6F1">
        <w:rPr>
          <w:rFonts w:ascii="Times New Roman" w:eastAsia="Times New Roman" w:hAnsi="Times New Roman" w:cs="Times New Roman"/>
          <w:b/>
          <w:bCs/>
          <w:color w:val="auto"/>
          <w:sz w:val="24"/>
          <w:szCs w:val="24"/>
        </w:rPr>
        <w:t>Reference List</w:t>
      </w:r>
    </w:p>
    <w:p w14:paraId="5FDC14F0" w14:textId="4E1F15C1" w:rsidR="13FBB29D" w:rsidRDefault="13FBB29D" w:rsidP="135EC6F1">
      <w:pPr>
        <w:spacing w:before="240" w:after="240" w:line="360" w:lineRule="auto"/>
        <w:jc w:val="both"/>
        <w:rPr>
          <w:rFonts w:ascii="Times New Roman" w:eastAsia="Times New Roman" w:hAnsi="Times New Roman" w:cs="Times New Roman"/>
        </w:rPr>
      </w:pPr>
      <w:r w:rsidRPr="135EC6F1">
        <w:rPr>
          <w:rFonts w:ascii="Times New Roman" w:eastAsia="Times New Roman" w:hAnsi="Times New Roman" w:cs="Times New Roman"/>
        </w:rPr>
        <w:t xml:space="preserve">Association for Project Management (APM) (2019) </w:t>
      </w:r>
      <w:r w:rsidRPr="135EC6F1">
        <w:rPr>
          <w:rFonts w:ascii="Times New Roman" w:eastAsia="Times New Roman" w:hAnsi="Times New Roman" w:cs="Times New Roman"/>
          <w:i/>
          <w:iCs/>
        </w:rPr>
        <w:t>APM Body of Knowledge</w:t>
      </w:r>
      <w:r w:rsidRPr="135EC6F1">
        <w:rPr>
          <w:rFonts w:ascii="Times New Roman" w:eastAsia="Times New Roman" w:hAnsi="Times New Roman" w:cs="Times New Roman"/>
        </w:rPr>
        <w:t>. 7th ed. Princes Risborough: Association for Project Management.</w:t>
      </w:r>
    </w:p>
    <w:p w14:paraId="0566EBA3" w14:textId="09A8765E" w:rsidR="13FBB29D" w:rsidRDefault="13FBB29D" w:rsidP="135EC6F1">
      <w:pPr>
        <w:spacing w:before="240" w:after="240" w:line="360" w:lineRule="auto"/>
        <w:jc w:val="both"/>
        <w:rPr>
          <w:rFonts w:ascii="Times New Roman" w:eastAsia="Times New Roman" w:hAnsi="Times New Roman" w:cs="Times New Roman"/>
        </w:rPr>
      </w:pPr>
      <w:r w:rsidRPr="135EC6F1">
        <w:rPr>
          <w:rFonts w:ascii="Times New Roman" w:eastAsia="Times New Roman" w:hAnsi="Times New Roman" w:cs="Times New Roman"/>
        </w:rPr>
        <w:t xml:space="preserve">Freeman, R.E. (1984) </w:t>
      </w:r>
      <w:r w:rsidRPr="135EC6F1">
        <w:rPr>
          <w:rFonts w:ascii="Times New Roman" w:eastAsia="Times New Roman" w:hAnsi="Times New Roman" w:cs="Times New Roman"/>
          <w:i/>
          <w:iCs/>
        </w:rPr>
        <w:t>Strategic Management: A Stakeholder Approach</w:t>
      </w:r>
      <w:r w:rsidRPr="135EC6F1">
        <w:rPr>
          <w:rFonts w:ascii="Times New Roman" w:eastAsia="Times New Roman" w:hAnsi="Times New Roman" w:cs="Times New Roman"/>
        </w:rPr>
        <w:t>. Boston: Pitman.</w:t>
      </w:r>
    </w:p>
    <w:p w14:paraId="0638E77A" w14:textId="23808644" w:rsidR="13FBB29D" w:rsidRDefault="13FBB29D" w:rsidP="135EC6F1">
      <w:pPr>
        <w:spacing w:before="240" w:after="240" w:line="360" w:lineRule="auto"/>
        <w:jc w:val="both"/>
        <w:rPr>
          <w:rFonts w:ascii="Times New Roman" w:eastAsia="Times New Roman" w:hAnsi="Times New Roman" w:cs="Times New Roman"/>
        </w:rPr>
      </w:pPr>
      <w:r w:rsidRPr="135EC6F1">
        <w:rPr>
          <w:rFonts w:ascii="Times New Roman" w:eastAsia="Times New Roman" w:hAnsi="Times New Roman" w:cs="Times New Roman"/>
        </w:rPr>
        <w:t xml:space="preserve">Hillson, D. (2009) </w:t>
      </w:r>
      <w:r w:rsidRPr="135EC6F1">
        <w:rPr>
          <w:rFonts w:ascii="Times New Roman" w:eastAsia="Times New Roman" w:hAnsi="Times New Roman" w:cs="Times New Roman"/>
          <w:i/>
          <w:iCs/>
        </w:rPr>
        <w:t>Managing Risk in Projects</w:t>
      </w:r>
      <w:r w:rsidRPr="135EC6F1">
        <w:rPr>
          <w:rFonts w:ascii="Times New Roman" w:eastAsia="Times New Roman" w:hAnsi="Times New Roman" w:cs="Times New Roman"/>
        </w:rPr>
        <w:t>. 2nd ed. Farnham: Gower.</w:t>
      </w:r>
    </w:p>
    <w:p w14:paraId="006A46FD" w14:textId="6FF03EE9" w:rsidR="13FBB29D" w:rsidRDefault="13FBB29D" w:rsidP="135EC6F1">
      <w:pPr>
        <w:spacing w:before="240" w:after="240" w:line="360" w:lineRule="auto"/>
        <w:jc w:val="both"/>
        <w:rPr>
          <w:rFonts w:ascii="Times New Roman" w:eastAsia="Times New Roman" w:hAnsi="Times New Roman" w:cs="Times New Roman"/>
        </w:rPr>
      </w:pPr>
      <w:r w:rsidRPr="135EC6F1">
        <w:rPr>
          <w:rFonts w:ascii="Times New Roman" w:eastAsia="Times New Roman" w:hAnsi="Times New Roman" w:cs="Times New Roman"/>
        </w:rPr>
        <w:t xml:space="preserve">Kerzner, H. (2022) </w:t>
      </w:r>
      <w:r w:rsidRPr="135EC6F1">
        <w:rPr>
          <w:rFonts w:ascii="Times New Roman" w:eastAsia="Times New Roman" w:hAnsi="Times New Roman" w:cs="Times New Roman"/>
          <w:i/>
          <w:iCs/>
        </w:rPr>
        <w:t>Project Management: A Systems Approach to Planning, Scheduling, and Controlling</w:t>
      </w:r>
      <w:r w:rsidRPr="135EC6F1">
        <w:rPr>
          <w:rFonts w:ascii="Times New Roman" w:eastAsia="Times New Roman" w:hAnsi="Times New Roman" w:cs="Times New Roman"/>
        </w:rPr>
        <w:t>. 13th ed. Hoboken: John Wiley &amp; Sons.</w:t>
      </w:r>
    </w:p>
    <w:p w14:paraId="310C6A13" w14:textId="774F3369" w:rsidR="13FBB29D" w:rsidRDefault="13FBB29D" w:rsidP="135EC6F1">
      <w:pPr>
        <w:spacing w:before="240" w:after="240" w:line="360" w:lineRule="auto"/>
        <w:jc w:val="both"/>
        <w:rPr>
          <w:rFonts w:ascii="Times New Roman" w:eastAsia="Times New Roman" w:hAnsi="Times New Roman" w:cs="Times New Roman"/>
        </w:rPr>
      </w:pPr>
      <w:r w:rsidRPr="135EC6F1">
        <w:rPr>
          <w:rFonts w:ascii="Times New Roman" w:eastAsia="Times New Roman" w:hAnsi="Times New Roman" w:cs="Times New Roman"/>
        </w:rPr>
        <w:t xml:space="preserve">Project Management Institute (PMI) (2021) </w:t>
      </w:r>
      <w:r w:rsidRPr="135EC6F1">
        <w:rPr>
          <w:rFonts w:ascii="Times New Roman" w:eastAsia="Times New Roman" w:hAnsi="Times New Roman" w:cs="Times New Roman"/>
          <w:i/>
          <w:iCs/>
        </w:rPr>
        <w:t>A Guide to the Project Management Body of Knowledge (PMBOK® Guide)</w:t>
      </w:r>
      <w:r w:rsidRPr="135EC6F1">
        <w:rPr>
          <w:rFonts w:ascii="Times New Roman" w:eastAsia="Times New Roman" w:hAnsi="Times New Roman" w:cs="Times New Roman"/>
        </w:rPr>
        <w:t>. 7th ed. Newtown Square, PA: Project Management Institute.</w:t>
      </w:r>
    </w:p>
    <w:p w14:paraId="30D3908E" w14:textId="7C424B7C" w:rsidR="135EC6F1" w:rsidRDefault="135EC6F1" w:rsidP="135EC6F1">
      <w:pPr>
        <w:spacing w:line="360" w:lineRule="auto"/>
        <w:jc w:val="both"/>
      </w:pPr>
    </w:p>
    <w:p w14:paraId="7B5200A2" w14:textId="77777777" w:rsidR="00CE77BC" w:rsidRDefault="00CE77BC" w:rsidP="135EC6F1">
      <w:pPr>
        <w:spacing w:line="360" w:lineRule="auto"/>
        <w:jc w:val="both"/>
      </w:pPr>
    </w:p>
    <w:p w14:paraId="324C0FE9" w14:textId="5EB588CD" w:rsidR="00CE77BC" w:rsidRDefault="00CE77BC" w:rsidP="00CE77BC">
      <w:pPr>
        <w:spacing w:line="360" w:lineRule="auto"/>
        <w:jc w:val="both"/>
        <w:rPr>
          <w:b/>
          <w:bCs/>
        </w:rPr>
      </w:pPr>
      <w:r w:rsidRPr="00CE77BC">
        <w:rPr>
          <w:b/>
          <w:bCs/>
        </w:rPr>
        <w:t xml:space="preserve">Part C – Project Management Plan </w:t>
      </w:r>
    </w:p>
    <w:p w14:paraId="5070C838" w14:textId="77777777" w:rsidR="00CE77BC" w:rsidRPr="00CE77BC" w:rsidRDefault="00CE77BC" w:rsidP="00CE77BC">
      <w:pPr>
        <w:spacing w:line="360" w:lineRule="auto"/>
        <w:jc w:val="both"/>
        <w:rPr>
          <w:b/>
          <w:bCs/>
        </w:rPr>
      </w:pPr>
    </w:p>
    <w:p w14:paraId="2B0B3D41" w14:textId="77777777" w:rsidR="00CE77BC" w:rsidRPr="00CE77BC" w:rsidRDefault="00CE77BC" w:rsidP="00CE77BC">
      <w:pPr>
        <w:spacing w:line="360" w:lineRule="auto"/>
        <w:jc w:val="both"/>
      </w:pPr>
      <w:r w:rsidRPr="00CE77BC">
        <w:t>1. Introduction</w:t>
      </w:r>
    </w:p>
    <w:p w14:paraId="0BF991A8" w14:textId="6C94D63A" w:rsidR="00CE77BC" w:rsidRDefault="00CE77BC" w:rsidP="00CE77BC">
      <w:pPr>
        <w:spacing w:line="360" w:lineRule="auto"/>
        <w:jc w:val="both"/>
      </w:pPr>
      <w:r>
        <w:t xml:space="preserve">The SmartMove Recovery and Sustainable Mobility Programme has been put together because of a big transport disruption, caused by a significant fire that damaged critical transport infrastructure in a metropolitan area. As a result of the incident, accessibility was hampered, traffic congestion </w:t>
      </w:r>
      <w:r w:rsidR="00BF0CAE">
        <w:t>increases</w:t>
      </w:r>
      <w:r>
        <w:t xml:space="preserve"> and there was disruption of nearby businesses, but there were also adverse environmental impacts. The proposed programme not only restores that which is </w:t>
      </w:r>
      <w:r w:rsidR="00BF0CAE">
        <w:t>broken but</w:t>
      </w:r>
      <w:r>
        <w:t xml:space="preserve"> also promotes the strategic regeneration approach by combining infrastructure rehabilitation projects with sustainable transportation infrastructure, smart digital technologies and inclusive urban design. </w:t>
      </w:r>
      <w:r w:rsidR="00BF0CAE">
        <w:t>Such</w:t>
      </w:r>
      <w:r>
        <w:t xml:space="preserve"> an approach contributes to the immediate relief of transport services, while also creating long-term city resilience.</w:t>
      </w:r>
    </w:p>
    <w:p w14:paraId="00559527" w14:textId="77777777" w:rsidR="00CE77BC" w:rsidRDefault="00CE77BC" w:rsidP="00CE77BC">
      <w:pPr>
        <w:spacing w:line="360" w:lineRule="auto"/>
        <w:jc w:val="both"/>
      </w:pPr>
      <w:r>
        <w:t xml:space="preserve">When you are working on </w:t>
      </w:r>
      <w:proofErr w:type="gramStart"/>
      <w:r>
        <w:t>very big</w:t>
      </w:r>
      <w:proofErr w:type="gramEnd"/>
      <w:r>
        <w:t xml:space="preserve"> infrastructure schemes, with a whole host of stakeholders, large financial budgets and a critical spotlight on your performance, it is vital that you're </w:t>
      </w:r>
      <w:r>
        <w:lastRenderedPageBreak/>
        <w:t>managing projects well. When it comes to managing costs, schedules, stakeholder expectations, and risk management, larger public sector projects tend to encounter issues. As a result, popular approaches to project management provide a more systematic process for managing activities such as planning, doing the work, monitoring work progress, directing and controlling project activities so that the project is delivered on schedule (Project Management Institute (PMI), 2021).</w:t>
      </w:r>
    </w:p>
    <w:p w14:paraId="6E47B8B4" w14:textId="762FCCB9" w:rsidR="00CE77BC" w:rsidRDefault="00CE77BC" w:rsidP="00CE77BC">
      <w:pPr>
        <w:spacing w:line="360" w:lineRule="auto"/>
        <w:jc w:val="both"/>
      </w:pPr>
      <w:r>
        <w:t xml:space="preserve">This plan for project management was based on the recognised principles of the PMBOK® Guide (PMI, 2021), the Association for Project Management Body of Knowledge (APM, 2019) and the Kerzner's (2022) project management framework. Structured Planning Technique such as Work Breakdown Structure (WBS), Quad Chart, Gantt Chart, stakeholder analysis and risk management, </w:t>
      </w:r>
      <w:r w:rsidR="00BF0CAE">
        <w:t>illustrates</w:t>
      </w:r>
      <w:r>
        <w:t xml:space="preserve"> how to apply the technique so that the regeneration programme will be delivered successfully. </w:t>
      </w:r>
    </w:p>
    <w:p w14:paraId="5085D2CB" w14:textId="77777777" w:rsidR="00CE77BC" w:rsidRDefault="00CE77BC" w:rsidP="00CE77BC">
      <w:pPr>
        <w:spacing w:line="360" w:lineRule="auto"/>
        <w:jc w:val="both"/>
      </w:pPr>
      <w:r>
        <w:t>The goal of the project management plan is to provide a baseline that each project participating in the SmartMove Recovery and Sustainable Mobility Programme will adhere to when delivering its project in the context of its agreed cost, time and quality parameters in order to add value to the social, environmental and economic outcomes.</w:t>
      </w:r>
    </w:p>
    <w:p w14:paraId="38F49249" w14:textId="77777777" w:rsidR="00CE77BC" w:rsidRDefault="00CE77BC" w:rsidP="00CE77BC">
      <w:pPr>
        <w:spacing w:line="360" w:lineRule="auto"/>
        <w:jc w:val="both"/>
      </w:pPr>
    </w:p>
    <w:p w14:paraId="199CBA83" w14:textId="77777777" w:rsidR="00CE77BC" w:rsidRDefault="00CE77BC" w:rsidP="00CE77BC">
      <w:pPr>
        <w:spacing w:line="360" w:lineRule="auto"/>
        <w:jc w:val="both"/>
      </w:pPr>
      <w:r>
        <w:t>2. Project Description</w:t>
      </w:r>
    </w:p>
    <w:p w14:paraId="2CABEBB6" w14:textId="77777777" w:rsidR="00CE77BC" w:rsidRDefault="00CE77BC" w:rsidP="00CE77BC">
      <w:pPr>
        <w:spacing w:line="360" w:lineRule="auto"/>
        <w:jc w:val="both"/>
      </w:pPr>
    </w:p>
    <w:p w14:paraId="5A7E80D4" w14:textId="77777777" w:rsidR="00CE77BC" w:rsidRDefault="00CE77BC" w:rsidP="00CE77BC">
      <w:pPr>
        <w:spacing w:line="360" w:lineRule="auto"/>
        <w:jc w:val="both"/>
      </w:pPr>
      <w:r>
        <w:t>A major urban regeneration project, the SmartMove Recovery and Sustainable Mobility Programme has been set up to restore and modernise transport infrastructure severely damaged by a metropolitan transport fire. The programme in practice convenes sections for reconstruction of infrastructure, sustainable mobility and public spaces, and digital transport. The aim is to create a more environmentally friendly, safer, resilient transport system. Restoring them isn't just a question of physical repair; it's also about redesigning the way people move and how services will operate.</w:t>
      </w:r>
    </w:p>
    <w:p w14:paraId="42212B71" w14:textId="77777777" w:rsidR="00CE77BC" w:rsidRDefault="00CE77BC" w:rsidP="00CE77BC">
      <w:pPr>
        <w:spacing w:line="360" w:lineRule="auto"/>
        <w:jc w:val="both"/>
      </w:pPr>
      <w:r>
        <w:t xml:space="preserve">It is not a 'lift it and shift it' reconstruction strategy but a strategy for 'all round regeneration'. On the ground, the project includes the reconstruction of main transport corridors, roadway infrastructure enhancement, repair junctions and bridges, implementation of intelligent traffic control systems, pedestrian access improvements in general and the development of bicycle infrastructure. It also does so by on-boarding electric bus infrastructure for the transition </w:t>
      </w:r>
      <w:r>
        <w:lastRenderedPageBreak/>
        <w:t>towards lower carbon public transport and for supporting the national sustainability ambitions (Department for Transport, 2023).</w:t>
      </w:r>
    </w:p>
    <w:p w14:paraId="0D8C7382" w14:textId="77777777" w:rsidR="00CE77BC" w:rsidRDefault="00CE77BC" w:rsidP="00CE77BC">
      <w:pPr>
        <w:spacing w:line="360" w:lineRule="auto"/>
        <w:jc w:val="both"/>
      </w:pPr>
      <w:r>
        <w:t>Digital innovation ends up being one notable part of the programme. Intelligent traffic lights, real time traffic monitoring and a data-based approach in the management of transportation will make traffic move better, reduce gridlock and improve the emergency response capacity. Smart transport tools are increasingly important in the infrastructure of modern metropolises, as they provide more efficient daily operations, reduce emissions and travel delays (PMI, 2021).</w:t>
      </w:r>
    </w:p>
    <w:p w14:paraId="6037F374" w14:textId="77777777" w:rsidR="00CE77BC" w:rsidRDefault="00CE77BC" w:rsidP="00CE77BC">
      <w:pPr>
        <w:spacing w:line="360" w:lineRule="auto"/>
        <w:jc w:val="both"/>
      </w:pPr>
      <w:r>
        <w:t>Programme also heavily relies on stakeholder engagement. Public consultation exercises will be conducted throughout the entire project to ensure that local community organisations, enterprises and members can contribute to the project's planning decisions. Early stakeholder engagement can reduce resistance to change and make better decisions, and increase public acceptance of infrastructure projects (Freeman, 1984).</w:t>
      </w:r>
    </w:p>
    <w:p w14:paraId="5D838FF1" w14:textId="3070F9E4" w:rsidR="00CE77BC" w:rsidRDefault="00CE77BC" w:rsidP="00CE77BC">
      <w:pPr>
        <w:spacing w:line="360" w:lineRule="auto"/>
        <w:jc w:val="both"/>
      </w:pPr>
      <w:r>
        <w:t xml:space="preserve">The anticipated benefits reach past recovery of the transport network. Enhanced connectivity is expected to stimulate local economic activity and attract additional investment, reduce travel time and improve access of vulnerable groups. Additional environmental benefits such as lower emissions of greenhouse gases, better air quality, and increased walking and cycling, due to improved pedestrian and bicycle facilities. These findings align with the UK's overall transport decarbonisation efforts and the goals of sustainable urban development </w:t>
      </w:r>
      <w:r w:rsidR="00BF0CAE">
        <w:t>(Department</w:t>
      </w:r>
      <w:r>
        <w:t xml:space="preserve"> for Transport, </w:t>
      </w:r>
      <w:r w:rsidR="00BF0CAE">
        <w:t>2023)</w:t>
      </w:r>
      <w:r>
        <w:t>.</w:t>
      </w:r>
    </w:p>
    <w:p w14:paraId="7FA44207" w14:textId="77777777" w:rsidR="00CE77BC" w:rsidRDefault="00CE77BC" w:rsidP="00CE77BC">
      <w:pPr>
        <w:spacing w:line="360" w:lineRule="auto"/>
        <w:jc w:val="both"/>
      </w:pPr>
    </w:p>
    <w:p w14:paraId="5B861594" w14:textId="77777777" w:rsidR="00CE77BC" w:rsidRDefault="00CE77BC" w:rsidP="00CE77BC">
      <w:pPr>
        <w:spacing w:line="360" w:lineRule="auto"/>
        <w:jc w:val="both"/>
      </w:pPr>
      <w:r>
        <w:t>3. Project Scope</w:t>
      </w:r>
    </w:p>
    <w:p w14:paraId="41F6C587" w14:textId="77777777" w:rsidR="00CE77BC" w:rsidRDefault="00CE77BC" w:rsidP="00CE77BC">
      <w:pPr>
        <w:spacing w:line="360" w:lineRule="auto"/>
        <w:jc w:val="both"/>
      </w:pPr>
    </w:p>
    <w:p w14:paraId="3304A210" w14:textId="797B947B" w:rsidR="00CE77BC" w:rsidRDefault="00CE77BC" w:rsidP="00CE77BC">
      <w:pPr>
        <w:spacing w:line="360" w:lineRule="auto"/>
        <w:jc w:val="both"/>
      </w:pPr>
      <w:r>
        <w:t xml:space="preserve">In today's world, it is possible to project manage a project successfully without a clear delineation of the project scope, which sets the boundaries of the </w:t>
      </w:r>
      <w:r w:rsidR="00BF0CAE">
        <w:t>project. However</w:t>
      </w:r>
      <w:r>
        <w:t>, the statement here that a project can be successfully project managed without a clear delineation of projects scope is incorrect because the statement describes the boundaries of the project, helps to control the expectations of the stakeholders and reduces the likelihood of scope creep (PMI, 2021). It is also said that for large infrastructure projects with many stakeholders an unclear scope will increase costs, cause delays and potential contractual disputes (Kerzner, 2022). So, the SmartMove programme, lays out what is in and what is out already during the planning stage.</w:t>
      </w:r>
    </w:p>
    <w:p w14:paraId="53CA075E" w14:textId="77777777" w:rsidR="00CE77BC" w:rsidRDefault="00CE77BC" w:rsidP="00CE77BC">
      <w:pPr>
        <w:spacing w:line="360" w:lineRule="auto"/>
        <w:jc w:val="both"/>
      </w:pPr>
    </w:p>
    <w:p w14:paraId="08898CE6" w14:textId="77777777" w:rsidR="00CE77BC" w:rsidRDefault="00CE77BC" w:rsidP="00CE77BC">
      <w:pPr>
        <w:spacing w:line="360" w:lineRule="auto"/>
        <w:jc w:val="both"/>
      </w:pPr>
      <w:r>
        <w:t>Project Inclusions</w:t>
      </w:r>
    </w:p>
    <w:p w14:paraId="1FEF0EAD" w14:textId="77777777" w:rsidR="00CE77BC" w:rsidRDefault="00CE77BC" w:rsidP="00CE77BC">
      <w:pPr>
        <w:spacing w:line="360" w:lineRule="auto"/>
        <w:jc w:val="both"/>
      </w:pPr>
    </w:p>
    <w:p w14:paraId="3112C263" w14:textId="28A9721D" w:rsidR="00CE77BC" w:rsidRDefault="00CE77BC" w:rsidP="00CE77BC">
      <w:pPr>
        <w:spacing w:line="360" w:lineRule="auto"/>
        <w:jc w:val="both"/>
      </w:pPr>
      <w:r>
        <w:t xml:space="preserve">This project will </w:t>
      </w:r>
      <w:r w:rsidR="00BF0CAE">
        <w:t>include:</w:t>
      </w:r>
    </w:p>
    <w:p w14:paraId="37B82B01" w14:textId="77777777" w:rsidR="00CE77BC" w:rsidRDefault="00CE77BC" w:rsidP="00CE77BC">
      <w:pPr>
        <w:spacing w:line="360" w:lineRule="auto"/>
        <w:jc w:val="both"/>
      </w:pPr>
      <w:r>
        <w:t>Restoration of disrupted roads and other transportation facilities.</w:t>
      </w:r>
    </w:p>
    <w:p w14:paraId="2F569371" w14:textId="77777777" w:rsidR="00CE77BC" w:rsidRDefault="00CE77BC" w:rsidP="00CE77BC">
      <w:pPr>
        <w:spacing w:line="360" w:lineRule="auto"/>
        <w:jc w:val="both"/>
      </w:pPr>
      <w:r>
        <w:t>Bridge, Junction and Key Intersection repairs and upgrade.</w:t>
      </w:r>
    </w:p>
    <w:p w14:paraId="276313DE" w14:textId="77777777" w:rsidR="00CE77BC" w:rsidRDefault="00CE77BC" w:rsidP="00CE77BC">
      <w:pPr>
        <w:spacing w:line="360" w:lineRule="auto"/>
        <w:jc w:val="both"/>
      </w:pPr>
      <w:r>
        <w:t>Smart traffic control and traffic data sensing technologies.</w:t>
      </w:r>
    </w:p>
    <w:p w14:paraId="1EFDFFDF" w14:textId="77777777" w:rsidR="00CE77BC" w:rsidRDefault="00CE77BC" w:rsidP="00CE77BC">
      <w:pPr>
        <w:spacing w:line="360" w:lineRule="auto"/>
        <w:jc w:val="both"/>
      </w:pPr>
      <w:r>
        <w:t>Building infrastructure for charging of electric buses.</w:t>
      </w:r>
    </w:p>
    <w:p w14:paraId="114DC7C9" w14:textId="77777777" w:rsidR="00CE77BC" w:rsidRDefault="00CE77BC" w:rsidP="00CE77BC">
      <w:pPr>
        <w:spacing w:line="360" w:lineRule="auto"/>
        <w:jc w:val="both"/>
      </w:pPr>
      <w:r>
        <w:t>New cycle lanes &amp; improvements to pedestrian routes.</w:t>
      </w:r>
    </w:p>
    <w:p w14:paraId="6FF61F37" w14:textId="77777777" w:rsidR="00CE77BC" w:rsidRDefault="00CE77BC" w:rsidP="00CE77BC">
      <w:pPr>
        <w:spacing w:line="360" w:lineRule="auto"/>
        <w:jc w:val="both"/>
      </w:pPr>
      <w:r>
        <w:t>Works for sustainable landscaping and improving the environment.</w:t>
      </w:r>
    </w:p>
    <w:p w14:paraId="50187FD5" w14:textId="2CDCEC7C" w:rsidR="00CE77BC" w:rsidRDefault="00CE77BC" w:rsidP="00CE77BC">
      <w:pPr>
        <w:spacing w:line="360" w:lineRule="auto"/>
        <w:jc w:val="both"/>
      </w:pPr>
      <w:r>
        <w:t>Through the entire project lifetime</w:t>
      </w:r>
      <w:r w:rsidR="00BF0CAE">
        <w:t xml:space="preserve"> public</w:t>
      </w:r>
      <w:r>
        <w:t xml:space="preserve"> consultation and stakeholder's involvement.</w:t>
      </w:r>
    </w:p>
    <w:p w14:paraId="56ECFC26" w14:textId="373E3EBC" w:rsidR="00CE77BC" w:rsidRDefault="00BF0CAE" w:rsidP="00CE77BC">
      <w:pPr>
        <w:spacing w:line="360" w:lineRule="auto"/>
        <w:jc w:val="both"/>
      </w:pPr>
      <w:r>
        <w:t>Plus,</w:t>
      </w:r>
      <w:r w:rsidR="00CE77BC">
        <w:t xml:space="preserve"> environmental compliance monitoring and quality assurance testing.</w:t>
      </w:r>
    </w:p>
    <w:p w14:paraId="5C921B9D" w14:textId="77777777" w:rsidR="00CE77BC" w:rsidRDefault="00CE77BC" w:rsidP="00CE77BC">
      <w:pPr>
        <w:spacing w:line="360" w:lineRule="auto"/>
        <w:jc w:val="both"/>
      </w:pPr>
    </w:p>
    <w:p w14:paraId="6C3A3FC2" w14:textId="77777777" w:rsidR="00CE77BC" w:rsidRDefault="00CE77BC" w:rsidP="00CE77BC">
      <w:pPr>
        <w:spacing w:line="360" w:lineRule="auto"/>
        <w:jc w:val="both"/>
      </w:pPr>
      <w:r>
        <w:t>These activities directly contribute to the resumption of transportation operations, and the longer-term sustainability goals and capability to respond to any future disruption to the infrastructure.</w:t>
      </w:r>
    </w:p>
    <w:p w14:paraId="11ACDAA2" w14:textId="77777777" w:rsidR="00CE77BC" w:rsidRDefault="00CE77BC" w:rsidP="00CE77BC">
      <w:pPr>
        <w:spacing w:line="360" w:lineRule="auto"/>
        <w:jc w:val="both"/>
      </w:pPr>
    </w:p>
    <w:p w14:paraId="2F4C34B8" w14:textId="77777777" w:rsidR="00CE77BC" w:rsidRDefault="00CE77BC" w:rsidP="00CE77BC">
      <w:pPr>
        <w:spacing w:line="360" w:lineRule="auto"/>
        <w:jc w:val="both"/>
      </w:pPr>
      <w:r>
        <w:t>Project Exclusions</w:t>
      </w:r>
    </w:p>
    <w:p w14:paraId="198F55B5" w14:textId="77777777" w:rsidR="00CE77BC" w:rsidRDefault="00CE77BC" w:rsidP="00CE77BC">
      <w:pPr>
        <w:spacing w:line="360" w:lineRule="auto"/>
        <w:jc w:val="both"/>
      </w:pPr>
    </w:p>
    <w:p w14:paraId="2AD7B295" w14:textId="77777777" w:rsidR="00CE77BC" w:rsidRDefault="00CE77BC" w:rsidP="00CE77BC">
      <w:pPr>
        <w:spacing w:line="360" w:lineRule="auto"/>
        <w:jc w:val="both"/>
      </w:pPr>
      <w:r>
        <w:t>The activities listed below stay out of the project scope:</w:t>
      </w:r>
    </w:p>
    <w:p w14:paraId="2FEACFF4" w14:textId="77777777" w:rsidR="00CE77BC" w:rsidRDefault="00CE77BC" w:rsidP="00CE77BC">
      <w:pPr>
        <w:spacing w:line="360" w:lineRule="auto"/>
        <w:jc w:val="both"/>
      </w:pPr>
      <w:r>
        <w:t>Residential housing developments.</w:t>
      </w:r>
    </w:p>
    <w:p w14:paraId="5E38849A" w14:textId="77777777" w:rsidR="00CE77BC" w:rsidRDefault="00CE77BC" w:rsidP="00CE77BC">
      <w:pPr>
        <w:spacing w:line="360" w:lineRule="auto"/>
        <w:jc w:val="both"/>
      </w:pPr>
      <w:r>
        <w:t>Commercial retail developments.</w:t>
      </w:r>
    </w:p>
    <w:p w14:paraId="3943F44B" w14:textId="77777777" w:rsidR="00CE77BC" w:rsidRDefault="00CE77BC" w:rsidP="00CE77BC">
      <w:pPr>
        <w:spacing w:line="360" w:lineRule="auto"/>
        <w:jc w:val="both"/>
      </w:pPr>
      <w:r>
        <w:t>Funding or money for privately owned transport facilities.</w:t>
      </w:r>
    </w:p>
    <w:p w14:paraId="7EFFADBF" w14:textId="77777777" w:rsidR="00CE77BC" w:rsidRDefault="00CE77BC" w:rsidP="00CE77BC">
      <w:pPr>
        <w:spacing w:line="360" w:lineRule="auto"/>
        <w:jc w:val="both"/>
      </w:pPr>
      <w:r>
        <w:t>Operational maintenance after the end of the project.</w:t>
      </w:r>
    </w:p>
    <w:p w14:paraId="31B963AF" w14:textId="77777777" w:rsidR="00CE77BC" w:rsidRDefault="00CE77BC" w:rsidP="00CE77BC">
      <w:pPr>
        <w:spacing w:line="360" w:lineRule="auto"/>
        <w:jc w:val="both"/>
      </w:pPr>
      <w:r>
        <w:t>Utility infrastructure works not related to transport facilities.</w:t>
      </w:r>
    </w:p>
    <w:p w14:paraId="30320E9C" w14:textId="77777777" w:rsidR="00CE77BC" w:rsidRDefault="00CE77BC" w:rsidP="00CE77BC">
      <w:pPr>
        <w:spacing w:line="360" w:lineRule="auto"/>
        <w:jc w:val="both"/>
      </w:pPr>
      <w:r>
        <w:lastRenderedPageBreak/>
        <w:t>Future developments outside the area of regeneration.</w:t>
      </w:r>
    </w:p>
    <w:p w14:paraId="0B674EF1" w14:textId="77777777" w:rsidR="00CE77BC" w:rsidRDefault="00CE77BC" w:rsidP="00CE77BC">
      <w:pPr>
        <w:spacing w:line="360" w:lineRule="auto"/>
        <w:jc w:val="both"/>
      </w:pPr>
    </w:p>
    <w:p w14:paraId="154C25FB" w14:textId="715182B6" w:rsidR="00CE77BC" w:rsidRDefault="00CE77BC" w:rsidP="00CE77BC">
      <w:pPr>
        <w:spacing w:line="360" w:lineRule="auto"/>
        <w:jc w:val="both"/>
      </w:pPr>
      <w:r>
        <w:t xml:space="preserve">By suspending these </w:t>
      </w:r>
      <w:r w:rsidR="00BF0CAE">
        <w:t>activities,</w:t>
      </w:r>
      <w:r>
        <w:t xml:space="preserve"> a project team will be able to concentrate the resources that is actually available on achieving the aims of the programme and avoiding uncontrolled project expansion. Maintaining boundaries of the scope is also part of cost management and schedule control when implementing the project (APM, 2019).</w:t>
      </w:r>
    </w:p>
    <w:p w14:paraId="2559CB07" w14:textId="77777777" w:rsidR="00CE77BC" w:rsidRDefault="00CE77BC" w:rsidP="00CE77BC">
      <w:pPr>
        <w:spacing w:line="360" w:lineRule="auto"/>
        <w:jc w:val="both"/>
      </w:pPr>
    </w:p>
    <w:p w14:paraId="00CE91E8" w14:textId="77777777" w:rsidR="00CE77BC" w:rsidRDefault="00CE77BC" w:rsidP="00CE77BC">
      <w:pPr>
        <w:spacing w:line="360" w:lineRule="auto"/>
        <w:jc w:val="both"/>
      </w:pPr>
      <w:r>
        <w:t>Project deliverables</w:t>
      </w:r>
    </w:p>
    <w:p w14:paraId="0FC013E7" w14:textId="77777777" w:rsidR="00CE77BC" w:rsidRDefault="00CE77BC" w:rsidP="00CE77BC">
      <w:pPr>
        <w:spacing w:line="360" w:lineRule="auto"/>
        <w:jc w:val="both"/>
      </w:pPr>
    </w:p>
    <w:p w14:paraId="56C8353F" w14:textId="1822EF70" w:rsidR="00CE77BC" w:rsidRDefault="00CE77BC" w:rsidP="00CE77BC">
      <w:pPr>
        <w:spacing w:line="360" w:lineRule="auto"/>
        <w:jc w:val="both"/>
      </w:pPr>
      <w:r>
        <w:t xml:space="preserve">The main outputs will be fully </w:t>
      </w:r>
      <w:r w:rsidR="00BF0CAE">
        <w:t>rebuilt</w:t>
      </w:r>
      <w:r>
        <w:t xml:space="preserve"> transport infrastructure, operational intelligent traffic management systems, public transport infrastructure complete, cycling and pedestrian complete, environmental enhancement works complete, stakeholder consultations report complete, project documentation complete and handover to local authority complete.</w:t>
      </w:r>
    </w:p>
    <w:p w14:paraId="59AF9D4C" w14:textId="77777777" w:rsidR="00CE77BC" w:rsidRDefault="00CE77BC" w:rsidP="00CE77BC">
      <w:pPr>
        <w:spacing w:line="360" w:lineRule="auto"/>
        <w:jc w:val="both"/>
      </w:pPr>
      <w:r>
        <w:t>Project success will be judged by meeting agreed Key Performance Indicators which are defined as: Obtaining overall completion of the project within approved budgets and on schedule; decreasing average journey times by public transport; increasing time spent using public transport by passengers; increasing cycling participation; reducing carbon emissions; maintaining a high level of stakeholder satisfaction. Once measurable performance indicators are developed, it is easier to track the content as well as evidence-based decision making is supported throughout the project life cycle (PMI, 2021).</w:t>
      </w:r>
    </w:p>
    <w:p w14:paraId="5A5B1A4D" w14:textId="25C08050" w:rsidR="00CE77BC" w:rsidRDefault="00CE77BC" w:rsidP="00CE77BC">
      <w:pPr>
        <w:spacing w:line="360" w:lineRule="auto"/>
        <w:jc w:val="both"/>
      </w:pPr>
      <w:r>
        <w:t>A structured Work Breakdown Structure (WBS), Quad Chart and Gantt Chart will be worked through during the planning stage to identify break down the agreed scope into work packages. Meanwhile, they support in responsibility allocation and can assist in creating realistic project schedules. (Kerzner, 2022).</w:t>
      </w:r>
    </w:p>
    <w:p w14:paraId="2C5688D6" w14:textId="77777777" w:rsidR="00CE77BC" w:rsidRDefault="00CE77BC" w:rsidP="00CE77BC">
      <w:pPr>
        <w:spacing w:line="360" w:lineRule="auto"/>
        <w:jc w:val="both"/>
      </w:pPr>
    </w:p>
    <w:p w14:paraId="5044C613" w14:textId="6A6C019C" w:rsidR="00CE77BC" w:rsidRDefault="00CE77BC" w:rsidP="00CE77BC">
      <w:pPr>
        <w:spacing w:line="360" w:lineRule="auto"/>
        <w:jc w:val="both"/>
      </w:pPr>
      <w:r w:rsidRPr="00CE77BC">
        <w:t>4. Work Breakdown Structure (WBS)</w:t>
      </w:r>
    </w:p>
    <w:p w14:paraId="2EB8E16A" w14:textId="73E14FD4" w:rsidR="00CE77BC" w:rsidRDefault="00CE77BC" w:rsidP="00CE77BC">
      <w:pPr>
        <w:spacing w:line="360" w:lineRule="auto"/>
        <w:jc w:val="both"/>
      </w:pPr>
      <w:r>
        <w:t xml:space="preserve">Work Breakdown Structure (WBS) is a sort of hierarchical decomposition of overall project scope into smaller and more manageable ‘work packages'. The Project Management Institute (PMI, 2021) states that the WBS provides the foundation for planning, scheduling, budgeting </w:t>
      </w:r>
      <w:r>
        <w:lastRenderedPageBreak/>
        <w:t>and assigning responsibility. In practice, the project managers can better track the progress of the SmartMove Recovery and Sustainable Mobility Programme and estimate resources with greater accuracy and reduce the risk of essential tasks being overlooked by splitting it up into sensible parts.</w:t>
      </w:r>
    </w:p>
    <w:p w14:paraId="05AC5922" w14:textId="77777777" w:rsidR="00CE77BC" w:rsidRDefault="00CE77BC" w:rsidP="00CE77BC">
      <w:pPr>
        <w:spacing w:line="360" w:lineRule="auto"/>
        <w:jc w:val="both"/>
      </w:pPr>
      <w:r>
        <w:t>For this project, the WBS has been developed around the big phases of the regeneration programme. The whole project is divided into planning, design, procurement, construction, implementation, testing and project closure that is located on the upper level. Each phase has smaller work packages, which you can assign to specialist teams and review, based on negotiated milestones. This type of approach creates a sense of responsibility, as well as fostering interaction between the contractors consultants and project sponsor (Kerzner, 2022).</w:t>
      </w:r>
    </w:p>
    <w:p w14:paraId="3FE4149D" w14:textId="77777777" w:rsidR="00CE77BC" w:rsidRDefault="00CE77BC" w:rsidP="00CE77BC">
      <w:pPr>
        <w:spacing w:line="360" w:lineRule="auto"/>
        <w:jc w:val="both"/>
      </w:pPr>
    </w:p>
    <w:p w14:paraId="2BF7ABC5" w14:textId="77777777" w:rsidR="00CE77BC" w:rsidRDefault="00CE77BC" w:rsidP="00CE77BC">
      <w:pPr>
        <w:spacing w:line="360" w:lineRule="auto"/>
        <w:jc w:val="both"/>
      </w:pPr>
      <w:r>
        <w:t>Figure 1. Work Breakdown Structure</w:t>
      </w: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3119"/>
        <w:gridCol w:w="1843"/>
        <w:gridCol w:w="4110"/>
      </w:tblGrid>
      <w:tr w:rsidR="00CE77BC" w:rsidRPr="00CE77BC" w14:paraId="6AB725DB" w14:textId="77777777" w:rsidTr="00CE77BC">
        <w:trPr>
          <w:tblCellSpacing w:w="15" w:type="dxa"/>
        </w:trPr>
        <w:tc>
          <w:tcPr>
            <w:tcW w:w="3074" w:type="dxa"/>
            <w:vAlign w:val="center"/>
            <w:hideMark/>
          </w:tcPr>
          <w:p w14:paraId="675C59F0" w14:textId="77777777" w:rsidR="00CE77BC" w:rsidRPr="00CE77BC" w:rsidRDefault="00CE77BC" w:rsidP="00CE77BC">
            <w:pPr>
              <w:spacing w:line="360" w:lineRule="auto"/>
              <w:jc w:val="both"/>
              <w:rPr>
                <w:b/>
                <w:bCs/>
              </w:rPr>
            </w:pPr>
            <w:r w:rsidRPr="00CE77BC">
              <w:rPr>
                <w:b/>
                <w:bCs/>
              </w:rPr>
              <w:t>Level 1</w:t>
            </w:r>
          </w:p>
        </w:tc>
        <w:tc>
          <w:tcPr>
            <w:tcW w:w="1813" w:type="dxa"/>
            <w:vAlign w:val="center"/>
            <w:hideMark/>
          </w:tcPr>
          <w:p w14:paraId="5CF34D70" w14:textId="77777777" w:rsidR="00CE77BC" w:rsidRPr="00CE77BC" w:rsidRDefault="00CE77BC" w:rsidP="00CE77BC">
            <w:pPr>
              <w:spacing w:line="360" w:lineRule="auto"/>
              <w:jc w:val="both"/>
              <w:rPr>
                <w:b/>
                <w:bCs/>
              </w:rPr>
            </w:pPr>
            <w:r w:rsidRPr="00CE77BC">
              <w:rPr>
                <w:b/>
                <w:bCs/>
              </w:rPr>
              <w:t>Level 2</w:t>
            </w:r>
          </w:p>
        </w:tc>
        <w:tc>
          <w:tcPr>
            <w:tcW w:w="4065" w:type="dxa"/>
            <w:vAlign w:val="center"/>
            <w:hideMark/>
          </w:tcPr>
          <w:p w14:paraId="7CEEA830" w14:textId="77777777" w:rsidR="00CE77BC" w:rsidRPr="00CE77BC" w:rsidRDefault="00CE77BC" w:rsidP="00CE77BC">
            <w:pPr>
              <w:spacing w:line="360" w:lineRule="auto"/>
              <w:jc w:val="both"/>
              <w:rPr>
                <w:b/>
                <w:bCs/>
              </w:rPr>
            </w:pPr>
            <w:r w:rsidRPr="00CE77BC">
              <w:rPr>
                <w:b/>
                <w:bCs/>
              </w:rPr>
              <w:t>Level 3</w:t>
            </w:r>
          </w:p>
        </w:tc>
      </w:tr>
    </w:tbl>
    <w:p w14:paraId="0F343C78" w14:textId="77777777" w:rsidR="00CE77BC" w:rsidRPr="00CE77BC" w:rsidRDefault="00CE77BC" w:rsidP="00CE77BC">
      <w:pPr>
        <w:spacing w:line="360" w:lineRule="auto"/>
        <w:jc w:val="both"/>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57"/>
        <w:gridCol w:w="1900"/>
        <w:gridCol w:w="4059"/>
      </w:tblGrid>
      <w:tr w:rsidR="00CE77BC" w:rsidRPr="00CE77BC" w14:paraId="65F499E6" w14:textId="77777777" w:rsidTr="00CE77BC">
        <w:trPr>
          <w:tblCellSpacing w:w="15" w:type="dxa"/>
        </w:trPr>
        <w:tc>
          <w:tcPr>
            <w:tcW w:w="0" w:type="auto"/>
            <w:vAlign w:val="center"/>
            <w:hideMark/>
          </w:tcPr>
          <w:p w14:paraId="62008F60" w14:textId="77777777" w:rsidR="00CE77BC" w:rsidRPr="00CE77BC" w:rsidRDefault="00CE77BC" w:rsidP="00CE77BC">
            <w:pPr>
              <w:spacing w:line="360" w:lineRule="auto"/>
              <w:jc w:val="both"/>
            </w:pPr>
            <w:r w:rsidRPr="00CE77BC">
              <w:t>SmartMove Recovery Programme</w:t>
            </w:r>
          </w:p>
        </w:tc>
        <w:tc>
          <w:tcPr>
            <w:tcW w:w="1870" w:type="dxa"/>
            <w:vAlign w:val="center"/>
            <w:hideMark/>
          </w:tcPr>
          <w:p w14:paraId="4A89302A" w14:textId="77777777" w:rsidR="00CE77BC" w:rsidRPr="00CE77BC" w:rsidRDefault="00CE77BC" w:rsidP="00CE77BC">
            <w:pPr>
              <w:spacing w:line="360" w:lineRule="auto"/>
              <w:jc w:val="both"/>
            </w:pPr>
            <w:r w:rsidRPr="00CE77BC">
              <w:t>Project Initiation</w:t>
            </w:r>
          </w:p>
        </w:tc>
        <w:tc>
          <w:tcPr>
            <w:tcW w:w="4014" w:type="dxa"/>
            <w:vAlign w:val="center"/>
            <w:hideMark/>
          </w:tcPr>
          <w:p w14:paraId="0C099061" w14:textId="77777777" w:rsidR="00CE77BC" w:rsidRPr="00CE77BC" w:rsidRDefault="00CE77BC" w:rsidP="00CE77BC">
            <w:pPr>
              <w:spacing w:line="360" w:lineRule="auto"/>
              <w:jc w:val="both"/>
            </w:pPr>
            <w:r w:rsidRPr="00CE77BC">
              <w:t>Business case, approvals, stakeholder consultation</w:t>
            </w:r>
          </w:p>
        </w:tc>
      </w:tr>
    </w:tbl>
    <w:p w14:paraId="73C10363" w14:textId="77777777" w:rsidR="00CE77BC" w:rsidRPr="00CE77BC" w:rsidRDefault="00CE77BC" w:rsidP="00CE77BC">
      <w:pPr>
        <w:spacing w:line="360" w:lineRule="auto"/>
        <w:jc w:val="both"/>
        <w:rPr>
          <w:vanish/>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3119"/>
        <w:gridCol w:w="1843"/>
        <w:gridCol w:w="4110"/>
      </w:tblGrid>
      <w:tr w:rsidR="00CE77BC" w:rsidRPr="00CE77BC" w14:paraId="280F07D9" w14:textId="77777777" w:rsidTr="00CE77BC">
        <w:trPr>
          <w:tblCellSpacing w:w="15" w:type="dxa"/>
        </w:trPr>
        <w:tc>
          <w:tcPr>
            <w:tcW w:w="3074" w:type="dxa"/>
            <w:vAlign w:val="center"/>
            <w:hideMark/>
          </w:tcPr>
          <w:p w14:paraId="4EABF050" w14:textId="77777777" w:rsidR="00CE77BC" w:rsidRPr="00CE77BC" w:rsidRDefault="00CE77BC" w:rsidP="00CE77BC">
            <w:pPr>
              <w:spacing w:line="360" w:lineRule="auto"/>
              <w:jc w:val="both"/>
            </w:pPr>
          </w:p>
        </w:tc>
        <w:tc>
          <w:tcPr>
            <w:tcW w:w="1813" w:type="dxa"/>
            <w:vAlign w:val="center"/>
            <w:hideMark/>
          </w:tcPr>
          <w:p w14:paraId="352F16F0" w14:textId="77777777" w:rsidR="00CE77BC" w:rsidRPr="00CE77BC" w:rsidRDefault="00CE77BC" w:rsidP="00CE77BC">
            <w:pPr>
              <w:spacing w:line="360" w:lineRule="auto"/>
              <w:jc w:val="both"/>
            </w:pPr>
            <w:r w:rsidRPr="00CE77BC">
              <w:t>Planning and Design</w:t>
            </w:r>
          </w:p>
        </w:tc>
        <w:tc>
          <w:tcPr>
            <w:tcW w:w="4065" w:type="dxa"/>
            <w:vAlign w:val="center"/>
            <w:hideMark/>
          </w:tcPr>
          <w:p w14:paraId="6A8FC1E9" w14:textId="77777777" w:rsidR="00CE77BC" w:rsidRPr="00CE77BC" w:rsidRDefault="00CE77BC" w:rsidP="00CE77BC">
            <w:pPr>
              <w:spacing w:line="360" w:lineRule="auto"/>
              <w:jc w:val="both"/>
            </w:pPr>
            <w:r w:rsidRPr="00CE77BC">
              <w:t>Engineering design, environmental assessments, permits</w:t>
            </w:r>
          </w:p>
        </w:tc>
      </w:tr>
    </w:tbl>
    <w:p w14:paraId="63ACE181" w14:textId="77777777" w:rsidR="00CE77BC" w:rsidRPr="00CE77BC" w:rsidRDefault="00CE77BC" w:rsidP="00CE77BC">
      <w:pPr>
        <w:spacing w:line="360" w:lineRule="auto"/>
        <w:jc w:val="both"/>
        <w:rPr>
          <w:vanish/>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3119"/>
        <w:gridCol w:w="1843"/>
        <w:gridCol w:w="4110"/>
      </w:tblGrid>
      <w:tr w:rsidR="00CE77BC" w:rsidRPr="00CE77BC" w14:paraId="6B8794E6" w14:textId="77777777" w:rsidTr="00BF0CAE">
        <w:trPr>
          <w:tblCellSpacing w:w="15" w:type="dxa"/>
        </w:trPr>
        <w:tc>
          <w:tcPr>
            <w:tcW w:w="3074" w:type="dxa"/>
            <w:vAlign w:val="center"/>
            <w:hideMark/>
          </w:tcPr>
          <w:p w14:paraId="7A53EB40" w14:textId="77777777" w:rsidR="00CE77BC" w:rsidRPr="00CE77BC" w:rsidRDefault="00CE77BC" w:rsidP="00CE77BC">
            <w:pPr>
              <w:spacing w:line="360" w:lineRule="auto"/>
              <w:jc w:val="both"/>
            </w:pPr>
          </w:p>
        </w:tc>
        <w:tc>
          <w:tcPr>
            <w:tcW w:w="1813" w:type="dxa"/>
            <w:vAlign w:val="center"/>
            <w:hideMark/>
          </w:tcPr>
          <w:p w14:paraId="0074EAD8" w14:textId="77777777" w:rsidR="00CE77BC" w:rsidRPr="00CE77BC" w:rsidRDefault="00CE77BC" w:rsidP="00CE77BC">
            <w:pPr>
              <w:spacing w:line="360" w:lineRule="auto"/>
              <w:jc w:val="both"/>
            </w:pPr>
            <w:r w:rsidRPr="00CE77BC">
              <w:t>Procurement</w:t>
            </w:r>
          </w:p>
        </w:tc>
        <w:tc>
          <w:tcPr>
            <w:tcW w:w="4065" w:type="dxa"/>
            <w:vAlign w:val="center"/>
            <w:hideMark/>
          </w:tcPr>
          <w:p w14:paraId="206205DC" w14:textId="77777777" w:rsidR="00CE77BC" w:rsidRPr="00CE77BC" w:rsidRDefault="00CE77BC" w:rsidP="00CE77BC">
            <w:pPr>
              <w:spacing w:line="360" w:lineRule="auto"/>
              <w:jc w:val="both"/>
            </w:pPr>
            <w:r w:rsidRPr="00CE77BC">
              <w:t>Contractor selection, supplier contracts, procurement planning</w:t>
            </w:r>
          </w:p>
        </w:tc>
      </w:tr>
    </w:tbl>
    <w:p w14:paraId="4B6827F0" w14:textId="77777777" w:rsidR="00CE77BC" w:rsidRPr="00CE77BC" w:rsidRDefault="00CE77BC" w:rsidP="00CE77BC">
      <w:pPr>
        <w:spacing w:line="360" w:lineRule="auto"/>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19"/>
        <w:gridCol w:w="1843"/>
        <w:gridCol w:w="3959"/>
      </w:tblGrid>
      <w:tr w:rsidR="00CE77BC" w:rsidRPr="00CE77BC" w14:paraId="157C195D" w14:textId="77777777" w:rsidTr="00BF0CAE">
        <w:trPr>
          <w:tblCellSpacing w:w="15" w:type="dxa"/>
        </w:trPr>
        <w:tc>
          <w:tcPr>
            <w:tcW w:w="3074" w:type="dxa"/>
            <w:vAlign w:val="center"/>
            <w:hideMark/>
          </w:tcPr>
          <w:p w14:paraId="75D10577" w14:textId="77777777" w:rsidR="00CE77BC" w:rsidRPr="00CE77BC" w:rsidRDefault="00CE77BC" w:rsidP="00CE77BC">
            <w:pPr>
              <w:spacing w:line="360" w:lineRule="auto"/>
              <w:jc w:val="both"/>
            </w:pPr>
          </w:p>
        </w:tc>
        <w:tc>
          <w:tcPr>
            <w:tcW w:w="1813" w:type="dxa"/>
            <w:vAlign w:val="center"/>
            <w:hideMark/>
          </w:tcPr>
          <w:p w14:paraId="6ECB99EB" w14:textId="77777777" w:rsidR="00CE77BC" w:rsidRPr="00CE77BC" w:rsidRDefault="00CE77BC" w:rsidP="00CE77BC">
            <w:pPr>
              <w:spacing w:line="360" w:lineRule="auto"/>
              <w:jc w:val="both"/>
            </w:pPr>
            <w:r w:rsidRPr="00CE77BC">
              <w:t>Infrastructure Construction</w:t>
            </w:r>
          </w:p>
        </w:tc>
        <w:tc>
          <w:tcPr>
            <w:tcW w:w="3914" w:type="dxa"/>
            <w:vAlign w:val="center"/>
            <w:hideMark/>
          </w:tcPr>
          <w:p w14:paraId="13DCB799" w14:textId="77777777" w:rsidR="00CE77BC" w:rsidRPr="00CE77BC" w:rsidRDefault="00CE77BC" w:rsidP="00CE77BC">
            <w:pPr>
              <w:spacing w:line="360" w:lineRule="auto"/>
              <w:jc w:val="both"/>
            </w:pPr>
            <w:r w:rsidRPr="00CE77BC">
              <w:t>Highway reconstruction, bridge repairs, junction improvements</w:t>
            </w:r>
          </w:p>
        </w:tc>
      </w:tr>
    </w:tbl>
    <w:p w14:paraId="54E5C1C7" w14:textId="77777777" w:rsidR="00CE77BC" w:rsidRPr="00CE77BC" w:rsidRDefault="00CE77BC" w:rsidP="00CE77BC">
      <w:pPr>
        <w:spacing w:line="360" w:lineRule="auto"/>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19"/>
        <w:gridCol w:w="1843"/>
        <w:gridCol w:w="4064"/>
      </w:tblGrid>
      <w:tr w:rsidR="00CE77BC" w:rsidRPr="00CE77BC" w14:paraId="18AD8A43" w14:textId="77777777" w:rsidTr="00BF0CAE">
        <w:trPr>
          <w:tblCellSpacing w:w="15" w:type="dxa"/>
        </w:trPr>
        <w:tc>
          <w:tcPr>
            <w:tcW w:w="3074" w:type="dxa"/>
            <w:vAlign w:val="center"/>
            <w:hideMark/>
          </w:tcPr>
          <w:p w14:paraId="0D47C397" w14:textId="77777777" w:rsidR="00CE77BC" w:rsidRPr="00CE77BC" w:rsidRDefault="00CE77BC" w:rsidP="00CE77BC">
            <w:pPr>
              <w:spacing w:line="360" w:lineRule="auto"/>
              <w:jc w:val="both"/>
            </w:pPr>
          </w:p>
        </w:tc>
        <w:tc>
          <w:tcPr>
            <w:tcW w:w="1813" w:type="dxa"/>
            <w:vAlign w:val="center"/>
            <w:hideMark/>
          </w:tcPr>
          <w:p w14:paraId="15273899" w14:textId="77777777" w:rsidR="00CE77BC" w:rsidRPr="00CE77BC" w:rsidRDefault="00CE77BC" w:rsidP="00CE77BC">
            <w:pPr>
              <w:spacing w:line="360" w:lineRule="auto"/>
              <w:jc w:val="both"/>
            </w:pPr>
            <w:r w:rsidRPr="00CE77BC">
              <w:t>Smart Transport Systems</w:t>
            </w:r>
          </w:p>
        </w:tc>
        <w:tc>
          <w:tcPr>
            <w:tcW w:w="4019" w:type="dxa"/>
            <w:vAlign w:val="center"/>
            <w:hideMark/>
          </w:tcPr>
          <w:p w14:paraId="1CB2F6AA" w14:textId="77777777" w:rsidR="00CE77BC" w:rsidRPr="00CE77BC" w:rsidRDefault="00CE77BC" w:rsidP="00CE77BC">
            <w:pPr>
              <w:spacing w:line="360" w:lineRule="auto"/>
              <w:jc w:val="both"/>
            </w:pPr>
            <w:r w:rsidRPr="00CE77BC">
              <w:t>Intelligent traffic signals, monitoring systems, digital infrastructure</w:t>
            </w:r>
          </w:p>
        </w:tc>
      </w:tr>
    </w:tbl>
    <w:p w14:paraId="549DF026" w14:textId="77777777" w:rsidR="00CE77BC" w:rsidRPr="00CE77BC" w:rsidRDefault="00CE77BC" w:rsidP="00CE77BC">
      <w:pPr>
        <w:spacing w:line="360" w:lineRule="auto"/>
        <w:jc w:val="both"/>
        <w:rPr>
          <w:vanish/>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3119"/>
        <w:gridCol w:w="1843"/>
        <w:gridCol w:w="4110"/>
      </w:tblGrid>
      <w:tr w:rsidR="00CE77BC" w:rsidRPr="00CE77BC" w14:paraId="59DC85C4" w14:textId="77777777" w:rsidTr="00BF0CAE">
        <w:trPr>
          <w:tblCellSpacing w:w="15" w:type="dxa"/>
        </w:trPr>
        <w:tc>
          <w:tcPr>
            <w:tcW w:w="3074" w:type="dxa"/>
            <w:vAlign w:val="center"/>
            <w:hideMark/>
          </w:tcPr>
          <w:p w14:paraId="4A12CA67" w14:textId="77777777" w:rsidR="00CE77BC" w:rsidRPr="00CE77BC" w:rsidRDefault="00CE77BC" w:rsidP="00CE77BC">
            <w:pPr>
              <w:spacing w:line="360" w:lineRule="auto"/>
              <w:jc w:val="both"/>
            </w:pPr>
          </w:p>
        </w:tc>
        <w:tc>
          <w:tcPr>
            <w:tcW w:w="1813" w:type="dxa"/>
            <w:vAlign w:val="center"/>
            <w:hideMark/>
          </w:tcPr>
          <w:p w14:paraId="4DEBC123" w14:textId="77777777" w:rsidR="00CE77BC" w:rsidRPr="00CE77BC" w:rsidRDefault="00CE77BC" w:rsidP="00CE77BC">
            <w:pPr>
              <w:spacing w:line="360" w:lineRule="auto"/>
              <w:jc w:val="both"/>
            </w:pPr>
            <w:r w:rsidRPr="00CE77BC">
              <w:t>Sustainable Mobility</w:t>
            </w:r>
          </w:p>
        </w:tc>
        <w:tc>
          <w:tcPr>
            <w:tcW w:w="4065" w:type="dxa"/>
            <w:vAlign w:val="center"/>
            <w:hideMark/>
          </w:tcPr>
          <w:p w14:paraId="685D2EE2" w14:textId="77777777" w:rsidR="00CE77BC" w:rsidRPr="00CE77BC" w:rsidRDefault="00CE77BC" w:rsidP="00CE77BC">
            <w:pPr>
              <w:spacing w:line="360" w:lineRule="auto"/>
              <w:jc w:val="both"/>
            </w:pPr>
            <w:r w:rsidRPr="00CE77BC">
              <w:t>Cycle lanes, pedestrian routes, electric bus infrastructure</w:t>
            </w:r>
          </w:p>
        </w:tc>
      </w:tr>
    </w:tbl>
    <w:p w14:paraId="7C049F18" w14:textId="77777777" w:rsidR="00CE77BC" w:rsidRPr="00CE77BC" w:rsidRDefault="00CE77BC" w:rsidP="00CE77BC">
      <w:pPr>
        <w:spacing w:line="360" w:lineRule="auto"/>
        <w:jc w:val="both"/>
        <w:rPr>
          <w:vanish/>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3119"/>
        <w:gridCol w:w="1843"/>
        <w:gridCol w:w="4110"/>
      </w:tblGrid>
      <w:tr w:rsidR="00CE77BC" w:rsidRPr="00CE77BC" w14:paraId="37463F42" w14:textId="77777777" w:rsidTr="00BF0CAE">
        <w:trPr>
          <w:tblCellSpacing w:w="15" w:type="dxa"/>
        </w:trPr>
        <w:tc>
          <w:tcPr>
            <w:tcW w:w="3074" w:type="dxa"/>
            <w:vAlign w:val="center"/>
            <w:hideMark/>
          </w:tcPr>
          <w:p w14:paraId="58585554" w14:textId="77777777" w:rsidR="00CE77BC" w:rsidRPr="00CE77BC" w:rsidRDefault="00CE77BC" w:rsidP="00CE77BC">
            <w:pPr>
              <w:spacing w:line="360" w:lineRule="auto"/>
              <w:jc w:val="both"/>
            </w:pPr>
          </w:p>
        </w:tc>
        <w:tc>
          <w:tcPr>
            <w:tcW w:w="1813" w:type="dxa"/>
            <w:vAlign w:val="center"/>
            <w:hideMark/>
          </w:tcPr>
          <w:p w14:paraId="4FCE49DC" w14:textId="77777777" w:rsidR="00CE77BC" w:rsidRPr="00CE77BC" w:rsidRDefault="00CE77BC" w:rsidP="00CE77BC">
            <w:pPr>
              <w:spacing w:line="360" w:lineRule="auto"/>
              <w:jc w:val="both"/>
            </w:pPr>
            <w:r w:rsidRPr="00CE77BC">
              <w:t>Testing and Commissioning</w:t>
            </w:r>
          </w:p>
        </w:tc>
        <w:tc>
          <w:tcPr>
            <w:tcW w:w="4065" w:type="dxa"/>
            <w:vAlign w:val="center"/>
            <w:hideMark/>
          </w:tcPr>
          <w:p w14:paraId="37F46EAA" w14:textId="77777777" w:rsidR="00CE77BC" w:rsidRPr="00CE77BC" w:rsidRDefault="00CE77BC" w:rsidP="00CE77BC">
            <w:pPr>
              <w:spacing w:line="360" w:lineRule="auto"/>
              <w:jc w:val="both"/>
            </w:pPr>
            <w:r w:rsidRPr="00CE77BC">
              <w:t>Safety inspections, system testing, quality assurance</w:t>
            </w:r>
          </w:p>
        </w:tc>
      </w:tr>
    </w:tbl>
    <w:p w14:paraId="1CF5961A" w14:textId="77777777" w:rsidR="00CE77BC" w:rsidRPr="00CE77BC" w:rsidRDefault="00CE77BC" w:rsidP="00CE77BC">
      <w:pPr>
        <w:spacing w:line="360" w:lineRule="auto"/>
        <w:jc w:val="both"/>
        <w:rPr>
          <w:vanish/>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3119"/>
        <w:gridCol w:w="1843"/>
        <w:gridCol w:w="4110"/>
      </w:tblGrid>
      <w:tr w:rsidR="00CE77BC" w:rsidRPr="00CE77BC" w14:paraId="7F58628F" w14:textId="77777777" w:rsidTr="00BF0CAE">
        <w:trPr>
          <w:tblCellSpacing w:w="15" w:type="dxa"/>
        </w:trPr>
        <w:tc>
          <w:tcPr>
            <w:tcW w:w="3074" w:type="dxa"/>
            <w:vAlign w:val="center"/>
            <w:hideMark/>
          </w:tcPr>
          <w:p w14:paraId="148C3618" w14:textId="77777777" w:rsidR="00CE77BC" w:rsidRPr="00CE77BC" w:rsidRDefault="00CE77BC" w:rsidP="00CE77BC">
            <w:pPr>
              <w:spacing w:line="360" w:lineRule="auto"/>
              <w:jc w:val="both"/>
            </w:pPr>
          </w:p>
        </w:tc>
        <w:tc>
          <w:tcPr>
            <w:tcW w:w="1813" w:type="dxa"/>
            <w:vAlign w:val="center"/>
            <w:hideMark/>
          </w:tcPr>
          <w:p w14:paraId="6203F79B" w14:textId="77777777" w:rsidR="00CE77BC" w:rsidRPr="00CE77BC" w:rsidRDefault="00CE77BC" w:rsidP="00CE77BC">
            <w:pPr>
              <w:spacing w:line="360" w:lineRule="auto"/>
              <w:jc w:val="both"/>
            </w:pPr>
            <w:r w:rsidRPr="00CE77BC">
              <w:t>Project Closure</w:t>
            </w:r>
          </w:p>
        </w:tc>
        <w:tc>
          <w:tcPr>
            <w:tcW w:w="4065" w:type="dxa"/>
            <w:vAlign w:val="center"/>
            <w:hideMark/>
          </w:tcPr>
          <w:p w14:paraId="4D3EDAB0" w14:textId="77777777" w:rsidR="00CE77BC" w:rsidRPr="00CE77BC" w:rsidRDefault="00CE77BC" w:rsidP="00CE77BC">
            <w:pPr>
              <w:spacing w:line="360" w:lineRule="auto"/>
              <w:jc w:val="both"/>
            </w:pPr>
            <w:r w:rsidRPr="00CE77BC">
              <w:t>Final inspection, documentation, handover, post-project review</w:t>
            </w:r>
          </w:p>
        </w:tc>
      </w:tr>
    </w:tbl>
    <w:p w14:paraId="57856B26" w14:textId="77777777" w:rsidR="00CE77BC" w:rsidRDefault="00CE77BC" w:rsidP="00CE77BC">
      <w:pPr>
        <w:spacing w:line="360" w:lineRule="auto"/>
        <w:jc w:val="both"/>
      </w:pPr>
    </w:p>
    <w:p w14:paraId="2AC3F8B5" w14:textId="7F978BF6" w:rsidR="00CE77BC" w:rsidRDefault="00CE77BC" w:rsidP="00CE77BC">
      <w:pPr>
        <w:spacing w:line="360" w:lineRule="auto"/>
        <w:jc w:val="both"/>
      </w:pPr>
      <w:r>
        <w:t xml:space="preserve">The WBS also helps good cost management as each work package can be allocated its own budget and then managed separately. To add to this later on, the assignment of responsibility for every activity can be linked in the Responsibility Assignment Matrix (RACI) to keep ownership and responsibility in view. </w:t>
      </w:r>
    </w:p>
    <w:p w14:paraId="3B290AB3" w14:textId="77777777" w:rsidR="00CE77BC" w:rsidRDefault="00CE77BC" w:rsidP="00CE77BC">
      <w:pPr>
        <w:spacing w:line="360" w:lineRule="auto"/>
        <w:jc w:val="both"/>
      </w:pPr>
    </w:p>
    <w:p w14:paraId="308C51CA" w14:textId="77777777" w:rsidR="00CE77BC" w:rsidRDefault="00CE77BC" w:rsidP="00CE77BC">
      <w:pPr>
        <w:spacing w:line="360" w:lineRule="auto"/>
        <w:jc w:val="both"/>
      </w:pPr>
      <w:r>
        <w:t>5. Quad Chart</w:t>
      </w:r>
    </w:p>
    <w:p w14:paraId="122A8748" w14:textId="77777777" w:rsidR="00CE77BC" w:rsidRDefault="00CE77BC" w:rsidP="00CE77BC">
      <w:pPr>
        <w:spacing w:line="360" w:lineRule="auto"/>
        <w:jc w:val="both"/>
      </w:pPr>
    </w:p>
    <w:p w14:paraId="049480EB" w14:textId="77777777" w:rsidR="00CE77BC" w:rsidRDefault="00CE77BC" w:rsidP="00CE77BC">
      <w:pPr>
        <w:spacing w:line="360" w:lineRule="auto"/>
        <w:jc w:val="both"/>
      </w:pPr>
      <w:r>
        <w:t>The Quad Chart is a tight project management tool, which gives senior stakeholders an overview of the project’s key details on just one page. It encompasses the goals, outcomes timeline and criteria for success and supports swift decision making and effective governance throughout the entire spectrum of a project's lifecycle (APM, 2019).</w:t>
      </w:r>
    </w:p>
    <w:p w14:paraId="53DCD354" w14:textId="77777777" w:rsidR="00CE77BC" w:rsidRDefault="00CE77BC" w:rsidP="00CE77BC">
      <w:pPr>
        <w:spacing w:line="360" w:lineRule="auto"/>
        <w:jc w:val="both"/>
      </w:pPr>
    </w:p>
    <w:p w14:paraId="59A431E1" w14:textId="77777777" w:rsidR="00CE77BC" w:rsidRDefault="00CE77BC" w:rsidP="00CE77BC">
      <w:pPr>
        <w:spacing w:line="360" w:lineRule="auto"/>
        <w:jc w:val="both"/>
      </w:pPr>
      <w:r>
        <w:t>Figure 2. Project Quad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51"/>
        <w:gridCol w:w="4675"/>
      </w:tblGrid>
      <w:tr w:rsidR="00BF0CAE" w:rsidRPr="00BF0CAE" w14:paraId="7BCFAD03" w14:textId="77777777">
        <w:trPr>
          <w:tblCellSpacing w:w="15" w:type="dxa"/>
        </w:trPr>
        <w:tc>
          <w:tcPr>
            <w:tcW w:w="0" w:type="auto"/>
            <w:vAlign w:val="center"/>
            <w:hideMark/>
          </w:tcPr>
          <w:p w14:paraId="6208B508" w14:textId="77777777" w:rsidR="00BF0CAE" w:rsidRPr="00BF0CAE" w:rsidRDefault="00BF0CAE" w:rsidP="00BF0CAE">
            <w:pPr>
              <w:spacing w:line="360" w:lineRule="auto"/>
              <w:jc w:val="both"/>
            </w:pPr>
            <w:r w:rsidRPr="00BF0CAE">
              <w:t>Objectives</w:t>
            </w:r>
          </w:p>
        </w:tc>
        <w:tc>
          <w:tcPr>
            <w:tcW w:w="0" w:type="auto"/>
            <w:vAlign w:val="center"/>
            <w:hideMark/>
          </w:tcPr>
          <w:p w14:paraId="0315F11E" w14:textId="77777777" w:rsidR="00BF0CAE" w:rsidRPr="00BF0CAE" w:rsidRDefault="00BF0CAE" w:rsidP="00BF0CAE">
            <w:pPr>
              <w:spacing w:line="360" w:lineRule="auto"/>
              <w:jc w:val="both"/>
            </w:pPr>
            <w:r w:rsidRPr="00BF0CAE">
              <w:t>Deliverables</w:t>
            </w:r>
          </w:p>
        </w:tc>
      </w:tr>
      <w:tr w:rsidR="00BF0CAE" w:rsidRPr="00BF0CAE" w14:paraId="2648AF19" w14:textId="77777777">
        <w:trPr>
          <w:tblCellSpacing w:w="15" w:type="dxa"/>
        </w:trPr>
        <w:tc>
          <w:tcPr>
            <w:tcW w:w="0" w:type="auto"/>
            <w:vAlign w:val="center"/>
            <w:hideMark/>
          </w:tcPr>
          <w:p w14:paraId="692D573B" w14:textId="77777777" w:rsidR="00BF0CAE" w:rsidRPr="00BF0CAE" w:rsidRDefault="00BF0CAE" w:rsidP="00BF0CAE">
            <w:pPr>
              <w:spacing w:line="360" w:lineRule="auto"/>
              <w:jc w:val="both"/>
            </w:pPr>
            <w:r w:rsidRPr="00BF0CAE">
              <w:t>Restore damaged transport infrastructure. Improve sustainable mobility. Reduce congestion and emissions. Increase transport resilience through digital technologies.</w:t>
            </w:r>
          </w:p>
        </w:tc>
        <w:tc>
          <w:tcPr>
            <w:tcW w:w="0" w:type="auto"/>
            <w:vAlign w:val="center"/>
            <w:hideMark/>
          </w:tcPr>
          <w:p w14:paraId="0B786F0B" w14:textId="77777777" w:rsidR="00BF0CAE" w:rsidRPr="00BF0CAE" w:rsidRDefault="00BF0CAE" w:rsidP="00BF0CAE">
            <w:pPr>
              <w:spacing w:line="360" w:lineRule="auto"/>
              <w:jc w:val="both"/>
            </w:pPr>
            <w:r w:rsidRPr="00BF0CAE">
              <w:t>Reconstructed highways and bridges. Intelligent traffic management systems. Electric bus infrastructure. Cycle lanes and pedestrian facilities. Environmental enhancement works.</w:t>
            </w:r>
          </w:p>
        </w:tc>
      </w:tr>
    </w:tbl>
    <w:p w14:paraId="4D720B1A" w14:textId="77777777" w:rsidR="00BF0CAE" w:rsidRPr="00BF0CAE" w:rsidRDefault="00BF0CAE" w:rsidP="00BF0CAE">
      <w:pPr>
        <w:spacing w:line="360" w:lineRule="auto"/>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95"/>
        <w:gridCol w:w="4631"/>
      </w:tblGrid>
      <w:tr w:rsidR="00BF0CAE" w:rsidRPr="00BF0CAE" w14:paraId="2AAB3E66" w14:textId="77777777" w:rsidTr="00BF0CAE">
        <w:trPr>
          <w:tblCellSpacing w:w="15" w:type="dxa"/>
        </w:trPr>
        <w:tc>
          <w:tcPr>
            <w:tcW w:w="4350" w:type="dxa"/>
            <w:vAlign w:val="center"/>
            <w:hideMark/>
          </w:tcPr>
          <w:p w14:paraId="2B20C70D" w14:textId="77777777" w:rsidR="00BF0CAE" w:rsidRPr="00BF0CAE" w:rsidRDefault="00BF0CAE" w:rsidP="00BF0CAE">
            <w:pPr>
              <w:spacing w:line="360" w:lineRule="auto"/>
              <w:jc w:val="both"/>
            </w:pPr>
            <w:r w:rsidRPr="00BF0CAE">
              <w:t>Schedule</w:t>
            </w:r>
          </w:p>
        </w:tc>
        <w:tc>
          <w:tcPr>
            <w:tcW w:w="4586" w:type="dxa"/>
            <w:vAlign w:val="center"/>
            <w:hideMark/>
          </w:tcPr>
          <w:p w14:paraId="23811910" w14:textId="77777777" w:rsidR="00BF0CAE" w:rsidRPr="00BF0CAE" w:rsidRDefault="00BF0CAE" w:rsidP="00BF0CAE">
            <w:pPr>
              <w:spacing w:line="360" w:lineRule="auto"/>
              <w:jc w:val="both"/>
            </w:pPr>
            <w:r w:rsidRPr="00BF0CAE">
              <w:t>Success Measures</w:t>
            </w:r>
          </w:p>
        </w:tc>
      </w:tr>
      <w:tr w:rsidR="00BF0CAE" w:rsidRPr="00BF0CAE" w14:paraId="4BC44EA4" w14:textId="77777777" w:rsidTr="00BF0CAE">
        <w:trPr>
          <w:tblCellSpacing w:w="15" w:type="dxa"/>
        </w:trPr>
        <w:tc>
          <w:tcPr>
            <w:tcW w:w="4350" w:type="dxa"/>
            <w:vAlign w:val="center"/>
            <w:hideMark/>
          </w:tcPr>
          <w:p w14:paraId="0685A2C1" w14:textId="77777777" w:rsidR="00BF0CAE" w:rsidRPr="00BF0CAE" w:rsidRDefault="00BF0CAE" w:rsidP="00BF0CAE">
            <w:pPr>
              <w:spacing w:line="360" w:lineRule="auto"/>
              <w:jc w:val="both"/>
            </w:pPr>
            <w:r w:rsidRPr="00BF0CAE">
              <w:t>Estimated duration: 24 months. Milestones include planning approval, procurement, construction completion, system commissioning and project handover.</w:t>
            </w:r>
          </w:p>
        </w:tc>
        <w:tc>
          <w:tcPr>
            <w:tcW w:w="4586" w:type="dxa"/>
            <w:vAlign w:val="center"/>
            <w:hideMark/>
          </w:tcPr>
          <w:p w14:paraId="4FC17578" w14:textId="77777777" w:rsidR="00BF0CAE" w:rsidRPr="00BF0CAE" w:rsidRDefault="00BF0CAE" w:rsidP="00BF0CAE">
            <w:pPr>
              <w:spacing w:line="360" w:lineRule="auto"/>
              <w:jc w:val="both"/>
            </w:pPr>
            <w:r w:rsidRPr="00BF0CAE">
              <w:t>Project completed within approved budget (±10%). Infrastructure delivered on schedule. Reduction in average journey times. Increased public transport usage. Higher stakeholder satisfaction. Reduced carbon emissions.</w:t>
            </w:r>
          </w:p>
        </w:tc>
      </w:tr>
    </w:tbl>
    <w:p w14:paraId="18CBF6D0" w14:textId="77777777" w:rsidR="00CE77BC" w:rsidRDefault="00CE77BC" w:rsidP="00CE77BC">
      <w:pPr>
        <w:spacing w:line="360" w:lineRule="auto"/>
        <w:jc w:val="both"/>
      </w:pPr>
      <w:r>
        <w:lastRenderedPageBreak/>
        <w:t>The Quad Chart will be reviewed throughout the programme to monitor progress of the project, and will be shared with the Local Authority, Department for Transport (DfT) and key stakeholders. Projects develop and sustain a transparent governance system with ongoing updates and, if necessary, the ability to take corrective action when a project deviates from what had been agreed upon as the goals of the project (PMI, 2021).</w:t>
      </w:r>
    </w:p>
    <w:p w14:paraId="63C84BB9" w14:textId="77777777" w:rsidR="00CE77BC" w:rsidRDefault="00CE77BC" w:rsidP="00CE77BC">
      <w:pPr>
        <w:spacing w:line="360" w:lineRule="auto"/>
        <w:jc w:val="both"/>
      </w:pPr>
    </w:p>
    <w:p w14:paraId="160DE0F6" w14:textId="77777777" w:rsidR="00CE77BC" w:rsidRDefault="00CE77BC" w:rsidP="00CE77BC">
      <w:pPr>
        <w:spacing w:line="360" w:lineRule="auto"/>
        <w:jc w:val="both"/>
      </w:pPr>
      <w:r>
        <w:t>6. Gantt Chart</w:t>
      </w:r>
    </w:p>
    <w:p w14:paraId="2D7BEE4C" w14:textId="77777777" w:rsidR="00CE77BC" w:rsidRDefault="00CE77BC" w:rsidP="00CE77BC">
      <w:pPr>
        <w:spacing w:line="360" w:lineRule="auto"/>
        <w:jc w:val="both"/>
      </w:pPr>
    </w:p>
    <w:p w14:paraId="0671A48B" w14:textId="01A3AFAF" w:rsidR="00CE77BC" w:rsidRDefault="00CE77BC" w:rsidP="00CE77BC">
      <w:pPr>
        <w:spacing w:line="360" w:lineRule="auto"/>
        <w:jc w:val="both"/>
      </w:pPr>
      <w:r>
        <w:t xml:space="preserve">A Gantt Chart shows work in a project in a graphical format with durations, milestones, and work dependency. It is considered as one of the most commonly used scheduling methods as it enables the project manager to track the progress, identify any critical tasks, and coordinate multiple teams working concurrently (Kerzner, 2022). </w:t>
      </w:r>
    </w:p>
    <w:p w14:paraId="50C20E2F" w14:textId="5BD47BF1" w:rsidR="00CE77BC" w:rsidRDefault="00CE77BC" w:rsidP="00CE77BC">
      <w:pPr>
        <w:spacing w:line="360" w:lineRule="auto"/>
        <w:jc w:val="both"/>
      </w:pPr>
      <w:r>
        <w:t>The proposed Project period is 24 months, to allow sufficient time for project planning, procurement, construction, commissioning and project closing</w:t>
      </w:r>
      <w:r w:rsidR="00BF0CAE">
        <w:t>.</w:t>
      </w:r>
    </w:p>
    <w:p w14:paraId="3FA708ED" w14:textId="77777777" w:rsidR="00CE77BC" w:rsidRDefault="00CE77BC" w:rsidP="00CE77BC">
      <w:pPr>
        <w:spacing w:line="360" w:lineRule="auto"/>
        <w:jc w:val="both"/>
      </w:pPr>
    </w:p>
    <w:p w14:paraId="060E3C80" w14:textId="77777777" w:rsidR="00CE77BC" w:rsidRDefault="00CE77BC" w:rsidP="00CE77BC">
      <w:pPr>
        <w:spacing w:line="360" w:lineRule="auto"/>
        <w:jc w:val="both"/>
      </w:pPr>
      <w:r>
        <w:t>Figure 3. High Level Gantt Chart</w:t>
      </w:r>
    </w:p>
    <w:p w14:paraId="344201E7" w14:textId="77777777" w:rsidR="00BF0CAE" w:rsidRDefault="00BF0CAE" w:rsidP="00BF0CAE">
      <w:pPr>
        <w:spacing w:line="360" w:lineRule="auto"/>
        <w:jc w:val="both"/>
      </w:pPr>
      <w:r>
        <w:t>Activity</w:t>
      </w:r>
      <w:r>
        <w:tab/>
        <w:t>Months</w:t>
      </w:r>
    </w:p>
    <w:p w14:paraId="634FBA75" w14:textId="77777777" w:rsidR="00BF0CAE" w:rsidRDefault="00BF0CAE" w:rsidP="00BF0CAE">
      <w:pPr>
        <w:spacing w:line="360" w:lineRule="auto"/>
        <w:jc w:val="both"/>
      </w:pPr>
      <w:r>
        <w:t>Project initiation and approvals</w:t>
      </w:r>
      <w:r>
        <w:tab/>
        <w:t>1–2</w:t>
      </w:r>
    </w:p>
    <w:p w14:paraId="04B0F58C" w14:textId="77777777" w:rsidR="00BF0CAE" w:rsidRDefault="00BF0CAE" w:rsidP="00BF0CAE">
      <w:pPr>
        <w:spacing w:line="360" w:lineRule="auto"/>
        <w:jc w:val="both"/>
      </w:pPr>
      <w:r>
        <w:t>Stakeholder consultation</w:t>
      </w:r>
      <w:r>
        <w:tab/>
        <w:t>1–4</w:t>
      </w:r>
    </w:p>
    <w:p w14:paraId="13C8A393" w14:textId="77777777" w:rsidR="00BF0CAE" w:rsidRDefault="00BF0CAE" w:rsidP="00BF0CAE">
      <w:pPr>
        <w:spacing w:line="360" w:lineRule="auto"/>
        <w:jc w:val="both"/>
      </w:pPr>
      <w:r>
        <w:t>Detailed engineering design</w:t>
      </w:r>
      <w:r>
        <w:tab/>
        <w:t>2–5</w:t>
      </w:r>
    </w:p>
    <w:p w14:paraId="1337FC39" w14:textId="77777777" w:rsidR="00BF0CAE" w:rsidRDefault="00BF0CAE" w:rsidP="00BF0CAE">
      <w:pPr>
        <w:spacing w:line="360" w:lineRule="auto"/>
        <w:jc w:val="both"/>
      </w:pPr>
      <w:r>
        <w:t>Procurement and contract award</w:t>
      </w:r>
      <w:r>
        <w:tab/>
        <w:t>4–6</w:t>
      </w:r>
    </w:p>
    <w:p w14:paraId="65D3C490" w14:textId="77777777" w:rsidR="00BF0CAE" w:rsidRDefault="00BF0CAE" w:rsidP="00BF0CAE">
      <w:pPr>
        <w:spacing w:line="360" w:lineRule="auto"/>
        <w:jc w:val="both"/>
      </w:pPr>
      <w:r>
        <w:t>Highway and bridge reconstruction</w:t>
      </w:r>
      <w:r>
        <w:tab/>
        <w:t>6–18</w:t>
      </w:r>
    </w:p>
    <w:p w14:paraId="0828A873" w14:textId="77777777" w:rsidR="00BF0CAE" w:rsidRDefault="00BF0CAE" w:rsidP="00BF0CAE">
      <w:pPr>
        <w:spacing w:line="360" w:lineRule="auto"/>
        <w:jc w:val="both"/>
      </w:pPr>
      <w:r>
        <w:t>Smart traffic system installation</w:t>
      </w:r>
      <w:r>
        <w:tab/>
        <w:t>12–19</w:t>
      </w:r>
    </w:p>
    <w:p w14:paraId="1AD2F8FB" w14:textId="77777777" w:rsidR="00BF0CAE" w:rsidRDefault="00BF0CAE" w:rsidP="00BF0CAE">
      <w:pPr>
        <w:spacing w:line="360" w:lineRule="auto"/>
        <w:jc w:val="both"/>
      </w:pPr>
      <w:r>
        <w:t>Electric bus infrastructure</w:t>
      </w:r>
      <w:r>
        <w:tab/>
        <w:t>13–20</w:t>
      </w:r>
    </w:p>
    <w:p w14:paraId="2AA66750" w14:textId="77777777" w:rsidR="00BF0CAE" w:rsidRDefault="00BF0CAE" w:rsidP="00BF0CAE">
      <w:pPr>
        <w:spacing w:line="360" w:lineRule="auto"/>
        <w:jc w:val="both"/>
      </w:pPr>
      <w:r>
        <w:t>Cycle lanes and pedestrian improvements</w:t>
      </w:r>
      <w:r>
        <w:tab/>
        <w:t>10–20</w:t>
      </w:r>
    </w:p>
    <w:p w14:paraId="4CD62F65" w14:textId="77777777" w:rsidR="00BF0CAE" w:rsidRDefault="00BF0CAE" w:rsidP="00BF0CAE">
      <w:pPr>
        <w:spacing w:line="360" w:lineRule="auto"/>
        <w:jc w:val="both"/>
      </w:pPr>
      <w:r>
        <w:t>Testing and commissioning</w:t>
      </w:r>
      <w:r>
        <w:tab/>
        <w:t>20–23</w:t>
      </w:r>
    </w:p>
    <w:p w14:paraId="6B33AA27" w14:textId="4FE50C88" w:rsidR="00CE77BC" w:rsidRDefault="00BF0CAE" w:rsidP="00BF0CAE">
      <w:pPr>
        <w:spacing w:line="360" w:lineRule="auto"/>
        <w:jc w:val="both"/>
      </w:pPr>
      <w:r>
        <w:t>Final handover and project closure</w:t>
      </w:r>
      <w:r>
        <w:tab/>
        <w:t>24</w:t>
      </w:r>
    </w:p>
    <w:p w14:paraId="38138817" w14:textId="77777777" w:rsidR="00CE77BC" w:rsidRDefault="00CE77BC" w:rsidP="00CE77BC">
      <w:pPr>
        <w:spacing w:line="360" w:lineRule="auto"/>
        <w:jc w:val="both"/>
      </w:pPr>
    </w:p>
    <w:p w14:paraId="60589FD0" w14:textId="77777777" w:rsidR="00CE77BC" w:rsidRDefault="00CE77BC" w:rsidP="00CE77BC">
      <w:pPr>
        <w:spacing w:line="360" w:lineRule="auto"/>
        <w:jc w:val="both"/>
      </w:pPr>
    </w:p>
    <w:p w14:paraId="42F7D703" w14:textId="640EF00F" w:rsidR="00CE77BC" w:rsidRDefault="00CE77BC" w:rsidP="00CE77BC">
      <w:pPr>
        <w:spacing w:line="360" w:lineRule="auto"/>
        <w:jc w:val="both"/>
      </w:pPr>
      <w:r>
        <w:t xml:space="preserve">The Gantt Chart also identifies project highlights such as planning approval, procurement, construction commencement, I.T.S. installation and handover for the overall project. With these milestones being tracked, the project manager can see the potential for a late </w:t>
      </w:r>
      <w:r w:rsidR="00BF0CAE">
        <w:t>start and</w:t>
      </w:r>
      <w:r>
        <w:t xml:space="preserve"> take the necessary corrective action before delays begin to disrupt the critical path.</w:t>
      </w:r>
    </w:p>
    <w:p w14:paraId="56D3171D" w14:textId="6F740DF7" w:rsidR="00CE77BC" w:rsidRDefault="00CE77BC" w:rsidP="00CE77BC">
      <w:pPr>
        <w:spacing w:line="360" w:lineRule="auto"/>
        <w:jc w:val="both"/>
      </w:pPr>
      <w:r>
        <w:t>During the construction phase task dependencies are specifically critical. For instance, general highway construction – prior to the full deployment of intelligent traffic system – must be successful for commissioning to take place. For this reason, it will be continuously monitored by employing earned value management and progress milestone updates, thereby ensuring the project remains on track with the planned completion dates (PMI, 2021).</w:t>
      </w:r>
    </w:p>
    <w:p w14:paraId="7B2AA87F" w14:textId="77777777" w:rsidR="00CE77BC" w:rsidRDefault="00CE77BC" w:rsidP="00CE77BC">
      <w:pPr>
        <w:spacing w:line="360" w:lineRule="auto"/>
        <w:jc w:val="both"/>
      </w:pPr>
    </w:p>
    <w:p w14:paraId="2E8EFEBB" w14:textId="77777777" w:rsidR="00CE77BC" w:rsidRDefault="00CE77BC" w:rsidP="00CE77BC">
      <w:pPr>
        <w:spacing w:line="360" w:lineRule="auto"/>
        <w:jc w:val="both"/>
      </w:pPr>
      <w:r>
        <w:t>7. Stakeholder involvement</w:t>
      </w:r>
    </w:p>
    <w:p w14:paraId="3ECF29AB" w14:textId="77777777" w:rsidR="00CE77BC" w:rsidRDefault="00CE77BC" w:rsidP="00CE77BC">
      <w:pPr>
        <w:spacing w:line="360" w:lineRule="auto"/>
        <w:jc w:val="both"/>
      </w:pPr>
    </w:p>
    <w:p w14:paraId="2C7E67E1" w14:textId="06012AC3" w:rsidR="00CE77BC" w:rsidRDefault="00CE77BC" w:rsidP="00CE77BC">
      <w:pPr>
        <w:spacing w:line="360" w:lineRule="auto"/>
        <w:jc w:val="both"/>
      </w:pPr>
      <w:r>
        <w:t xml:space="preserve">Yes, the ability to engage stakeholders meaningfully throughout the project life cycle, </w:t>
      </w:r>
      <w:r w:rsidR="00BF0CAE">
        <w:t>is, key</w:t>
      </w:r>
      <w:r>
        <w:t xml:space="preserve"> to the successful project implementation of the SmartMove Recovery and Sustainable Mobility Programme. Several organisations are concerned with infrastructure regeneration with different priorities and influences: The method of dealing with stakeholders is a significant success factor (Freeman, 1984). Moreover, stakeholder engagement is identified as a critical aspect of project management in the PMBOK® Guide which can enhance communication, reduce the level of conflict, and facilitate informed decision-making (PMI, 2021).</w:t>
      </w:r>
    </w:p>
    <w:p w14:paraId="0863E5A7" w14:textId="5994D6E4" w:rsidR="00CE77BC" w:rsidRDefault="00CE77BC" w:rsidP="00CE77BC">
      <w:pPr>
        <w:spacing w:line="360" w:lineRule="auto"/>
        <w:jc w:val="both"/>
      </w:pPr>
      <w:r>
        <w:t xml:space="preserve">A stakeholder Power–Interest Matrix will be put to work to decide what sort of engagement approach to use. The high power / high interest stakeholders such as Local Authority, DoT, the project sponsor will be dealt with more carefully than usual via fortnightly progress meetings, performance reporting and strategic choice workshops to ensure that the project is on track. </w:t>
      </w:r>
    </w:p>
    <w:p w14:paraId="7B6DF302" w14:textId="77777777" w:rsidR="00CE77BC" w:rsidRDefault="00CE77BC" w:rsidP="00CE77BC">
      <w:pPr>
        <w:spacing w:line="360" w:lineRule="auto"/>
        <w:jc w:val="both"/>
      </w:pPr>
      <w:r>
        <w:t>Maintaining a continuous line of communication helps to gain the confidence of stakeholders and also brings out any other concerns to be addressed at an early stage to prevent these becoming project risks. Good engagement fosters better working relationships between the technical teams, contractors and government organisations – this can lead to successful delivery (APM, 2019).</w:t>
      </w:r>
    </w:p>
    <w:p w14:paraId="44108E89" w14:textId="77777777" w:rsidR="00CE77BC" w:rsidRDefault="00CE77BC" w:rsidP="00CE77BC">
      <w:pPr>
        <w:spacing w:line="360" w:lineRule="auto"/>
        <w:jc w:val="both"/>
      </w:pPr>
    </w:p>
    <w:p w14:paraId="4A38EC85" w14:textId="77777777" w:rsidR="00CE77BC" w:rsidRDefault="00CE77BC" w:rsidP="00CE77BC">
      <w:pPr>
        <w:spacing w:line="360" w:lineRule="auto"/>
        <w:jc w:val="both"/>
      </w:pPr>
      <w:r>
        <w:t>8. Resource allocation</w:t>
      </w:r>
    </w:p>
    <w:p w14:paraId="04D6807D" w14:textId="77777777" w:rsidR="00CE77BC" w:rsidRDefault="00CE77BC" w:rsidP="00CE77BC">
      <w:pPr>
        <w:spacing w:line="360" w:lineRule="auto"/>
        <w:jc w:val="both"/>
      </w:pPr>
    </w:p>
    <w:p w14:paraId="340BEA8B" w14:textId="4A018D28" w:rsidR="00CE77BC" w:rsidRDefault="00CE77BC" w:rsidP="00CE77BC">
      <w:pPr>
        <w:spacing w:line="360" w:lineRule="auto"/>
        <w:jc w:val="both"/>
      </w:pPr>
      <w:r>
        <w:t xml:space="preserve">Allocating resources properly is crucial so that project tasks are finished efficiently, while staying inside both budget and schedule limitations. As Kerzner (2022) notes, resource planning can enable project managers to manage people, </w:t>
      </w:r>
      <w:r w:rsidR="00BF0CAE">
        <w:t>equipment’s</w:t>
      </w:r>
      <w:r>
        <w:t xml:space="preserve"> and financial resources throughout the lifetime of the project so as to make optimal use of them.</w:t>
      </w:r>
    </w:p>
    <w:p w14:paraId="483193A3" w14:textId="77777777" w:rsidR="00CE77BC" w:rsidRDefault="00CE77BC" w:rsidP="00CE77BC">
      <w:pPr>
        <w:spacing w:line="360" w:lineRule="auto"/>
        <w:jc w:val="both"/>
      </w:pPr>
      <w:r>
        <w:t>A cross functional project team will be required as part of the SmartMove program consisting of a Project Manager, Civil Engineers, Transport Planners, Environmental Specialists, Procurement Officers, Quantity Surveyors and Digital Systems Engineers. The actual building work will be done through appointed contractors and specialist consultants will assist in the environmental assessment and the implementation of the intelligent transport system, not one track.</w:t>
      </w:r>
    </w:p>
    <w:p w14:paraId="30F9B672" w14:textId="6C87BECE" w:rsidR="00CE77BC" w:rsidRDefault="00CE77BC" w:rsidP="00CE77BC">
      <w:pPr>
        <w:spacing w:line="360" w:lineRule="auto"/>
        <w:jc w:val="both"/>
      </w:pPr>
      <w:r>
        <w:t xml:space="preserve">Money will be allocated according to the project budget agreed to on the line and contingency allowed to account for unforeseen challenges such as inflation or disruption to the supply chain and construction delays. Physical resources will include charging facilities and infrastructure for electric vehicles as well as construction equipment and surveying technology and traffic management systems. </w:t>
      </w:r>
    </w:p>
    <w:p w14:paraId="76D91245" w14:textId="77777777" w:rsidR="00CE77BC" w:rsidRDefault="00CE77BC" w:rsidP="00CE77BC">
      <w:pPr>
        <w:spacing w:line="360" w:lineRule="auto"/>
        <w:jc w:val="both"/>
      </w:pPr>
    </w:p>
    <w:p w14:paraId="009EDFA0" w14:textId="77777777" w:rsidR="00CE77BC" w:rsidRDefault="00CE77BC" w:rsidP="00CE77BC">
      <w:pPr>
        <w:spacing w:line="360" w:lineRule="auto"/>
        <w:jc w:val="both"/>
      </w:pPr>
      <w:r>
        <w:t>9. Risk Analysis</w:t>
      </w:r>
    </w:p>
    <w:p w14:paraId="69F5A8A8" w14:textId="77777777" w:rsidR="00CE77BC" w:rsidRDefault="00CE77BC" w:rsidP="00CE77BC">
      <w:pPr>
        <w:spacing w:line="360" w:lineRule="auto"/>
        <w:jc w:val="both"/>
      </w:pPr>
    </w:p>
    <w:p w14:paraId="10542355" w14:textId="77777777" w:rsidR="00CE77BC" w:rsidRDefault="00CE77BC" w:rsidP="00CE77BC">
      <w:pPr>
        <w:spacing w:line="360" w:lineRule="auto"/>
        <w:jc w:val="both"/>
      </w:pPr>
      <w:r>
        <w:t>A basic element of infrastructure delivery is risk management, with uncertainty a true force in driving project cost, schedule and quality. There are a number of suggestions from ISO 31000 that organisations undertake things with a consistent approach by identifying, assessing and then responding systematically to risk throughout the project lifecycle (ISO, 2018). Similarly, the PMBOK® Guide also enables ongoing monitoring of risks, and active planning of risk mitigation (PMI, 2021).</w:t>
      </w:r>
    </w:p>
    <w:p w14:paraId="06DC1AD8" w14:textId="77777777" w:rsidR="00CE77BC" w:rsidRDefault="00CE77BC" w:rsidP="00CE77BC">
      <w:pPr>
        <w:spacing w:line="360" w:lineRule="auto"/>
        <w:jc w:val="both"/>
      </w:pPr>
      <w:r>
        <w:t xml:space="preserve">Key risks associated with this SmartMove programme are cost escalations, supply chain disruptions, non-compliance with the environment, construction delays and even stakeholder </w:t>
      </w:r>
      <w:r>
        <w:lastRenderedPageBreak/>
        <w:t>objections. For each risk identified it will be assessed both in terms of likelihood and degrees of impact and then a corresponding response strategy will be identified.</w:t>
      </w:r>
    </w:p>
    <w:p w14:paraId="44FE9554" w14:textId="15D5FE9F" w:rsidR="00CE77BC" w:rsidRDefault="00CE77BC" w:rsidP="00CE77BC">
      <w:pPr>
        <w:spacing w:line="360" w:lineRule="auto"/>
        <w:jc w:val="both"/>
      </w:pPr>
      <w:r>
        <w:t xml:space="preserve">Delays in construction from poor weather and/or less than great workmanship from contractors, are a moderate chance risk, for example, but can have significant impact. It will be done through careful planning of the timeline, by having throughout the process milestones checked and obligations of the contractors firmly controlled by the contracts. Contingency reserves will be </w:t>
      </w:r>
      <w:r w:rsidR="00BF0CAE">
        <w:t>held,</w:t>
      </w:r>
      <w:r>
        <w:t xml:space="preserve"> and cost forecasting will be undertaken regularly as price flares for materials are a big financial risk. Through frame works agreements with a couple of vendors they are going to have a defusal to supply disruptions, and that will also give them backup lines of supply if they are required.</w:t>
      </w:r>
    </w:p>
    <w:p w14:paraId="75B38E94" w14:textId="07F22332" w:rsidR="00CE77BC" w:rsidRDefault="00CE77BC" w:rsidP="00CE77BC">
      <w:pPr>
        <w:spacing w:line="360" w:lineRule="auto"/>
        <w:jc w:val="both"/>
      </w:pPr>
      <w:r>
        <w:t xml:space="preserve">Environmental risks will be managed by use of Environmental Impact Assessments, compliance monitoring and the use of sustainable building practices. The need to manage community resistance will be addressed through continued engagement with stakeholders, open communications and public consultations, not a </w:t>
      </w:r>
      <w:r w:rsidR="00BF0CAE">
        <w:t>late-stage</w:t>
      </w:r>
      <w:r>
        <w:t xml:space="preserve"> process. </w:t>
      </w:r>
    </w:p>
    <w:p w14:paraId="0471C685" w14:textId="108D180B" w:rsidR="00CE77BC" w:rsidRDefault="00CE77BC" w:rsidP="00CE77BC">
      <w:pPr>
        <w:spacing w:line="360" w:lineRule="auto"/>
        <w:jc w:val="both"/>
      </w:pPr>
      <w:r>
        <w:t>When a project team has a structured approach towards risk management, it can predict risks rather than react after the fact thus improving resilience and increasing the probability of achieving project objectives within agreed constraints (Hillson, 2009</w:t>
      </w:r>
      <w:r w:rsidR="00BF0CAE">
        <w:t>).</w:t>
      </w:r>
    </w:p>
    <w:p w14:paraId="1BD98E72" w14:textId="77777777" w:rsidR="00CE77BC" w:rsidRDefault="00CE77BC" w:rsidP="00CE77BC">
      <w:pPr>
        <w:spacing w:line="360" w:lineRule="auto"/>
        <w:jc w:val="both"/>
      </w:pPr>
    </w:p>
    <w:p w14:paraId="043A72C0" w14:textId="77777777" w:rsidR="00CE77BC" w:rsidRDefault="00CE77BC" w:rsidP="00CE77BC">
      <w:pPr>
        <w:spacing w:line="360" w:lineRule="auto"/>
        <w:jc w:val="both"/>
      </w:pPr>
      <w:r>
        <w:t>10. Conclusion</w:t>
      </w:r>
    </w:p>
    <w:p w14:paraId="5150E03A" w14:textId="77777777" w:rsidR="00CE77BC" w:rsidRDefault="00CE77BC" w:rsidP="00CE77BC">
      <w:pPr>
        <w:spacing w:line="360" w:lineRule="auto"/>
        <w:jc w:val="both"/>
      </w:pPr>
    </w:p>
    <w:p w14:paraId="301B537C" w14:textId="1DE84CD6" w:rsidR="00CE77BC" w:rsidRDefault="00CE77BC" w:rsidP="00CE77BC">
      <w:pPr>
        <w:spacing w:line="360" w:lineRule="auto"/>
        <w:jc w:val="both"/>
      </w:pPr>
      <w:r>
        <w:t xml:space="preserve">The SmartMove Recovery and Sustainable Mobility Programme </w:t>
      </w:r>
      <w:r w:rsidR="00BF0CAE">
        <w:t>exemplifies</w:t>
      </w:r>
      <w:r>
        <w:t xml:space="preserve"> how structured project management approaches can assist in the delivery of a difficult urban regeneration project that's difficult to tame. It integrates some common methods such as the Work Breakdown Structure, the Quad Chart, a Gantt Chart, stakeholder analysis, resource planning and risk management and it also provides a robust framework of operation to monitor scope, time, cost and quality. This plan not only provides funding for transport service infrastructure that is an essential function of sustainable communities, </w:t>
      </w:r>
      <w:r w:rsidR="00BF0CAE">
        <w:t>but it</w:t>
      </w:r>
      <w:r>
        <w:t xml:space="preserve"> also contributes to sustainable town development, economic recovery and increased community wellbeing. </w:t>
      </w:r>
    </w:p>
    <w:p w14:paraId="4DCE8B79" w14:textId="77777777" w:rsidR="00BF0CAE" w:rsidRDefault="00BF0CAE" w:rsidP="00CE77BC">
      <w:pPr>
        <w:spacing w:line="360" w:lineRule="auto"/>
        <w:jc w:val="both"/>
      </w:pPr>
    </w:p>
    <w:p w14:paraId="5A10B7E8" w14:textId="77777777" w:rsidR="00BF0CAE" w:rsidRDefault="00BF0CAE" w:rsidP="00CE77BC">
      <w:pPr>
        <w:spacing w:line="360" w:lineRule="auto"/>
        <w:jc w:val="both"/>
      </w:pPr>
    </w:p>
    <w:p w14:paraId="2B628562" w14:textId="77777777" w:rsidR="00BF0CAE" w:rsidRPr="00BF0CAE" w:rsidRDefault="00BF0CAE" w:rsidP="00BF0CAE">
      <w:pPr>
        <w:spacing w:line="360" w:lineRule="auto"/>
        <w:jc w:val="both"/>
        <w:rPr>
          <w:b/>
          <w:bCs/>
        </w:rPr>
      </w:pPr>
      <w:r w:rsidRPr="00BF0CAE">
        <w:rPr>
          <w:b/>
          <w:bCs/>
        </w:rPr>
        <w:lastRenderedPageBreak/>
        <w:t>Reference List</w:t>
      </w:r>
    </w:p>
    <w:p w14:paraId="7DA3D2CB" w14:textId="77777777" w:rsidR="00BF0CAE" w:rsidRPr="00BF0CAE" w:rsidRDefault="00BF0CAE" w:rsidP="00BF0CAE">
      <w:pPr>
        <w:spacing w:line="360" w:lineRule="auto"/>
        <w:jc w:val="both"/>
      </w:pPr>
      <w:r w:rsidRPr="00BF0CAE">
        <w:t xml:space="preserve">Association for Project Management (APM) (2019) </w:t>
      </w:r>
      <w:r w:rsidRPr="00BF0CAE">
        <w:rPr>
          <w:i/>
          <w:iCs/>
        </w:rPr>
        <w:t>APM Body of Knowledge</w:t>
      </w:r>
      <w:r w:rsidRPr="00BF0CAE">
        <w:t>. 7th ed. Princes Risborough: Association for Project Management.</w:t>
      </w:r>
    </w:p>
    <w:p w14:paraId="10DABFEB" w14:textId="77777777" w:rsidR="00BF0CAE" w:rsidRPr="00BF0CAE" w:rsidRDefault="00BF0CAE" w:rsidP="00BF0CAE">
      <w:pPr>
        <w:spacing w:line="360" w:lineRule="auto"/>
        <w:jc w:val="both"/>
      </w:pPr>
      <w:r w:rsidRPr="00BF0CAE">
        <w:t xml:space="preserve">Department for Transport (2023) </w:t>
      </w:r>
      <w:r w:rsidRPr="00BF0CAE">
        <w:rPr>
          <w:i/>
          <w:iCs/>
        </w:rPr>
        <w:t>Transport Infrastructure Strategy</w:t>
      </w:r>
      <w:r w:rsidRPr="00BF0CAE">
        <w:t>. London: Department for Transport.</w:t>
      </w:r>
    </w:p>
    <w:p w14:paraId="33014BC0" w14:textId="77777777" w:rsidR="00BF0CAE" w:rsidRPr="00BF0CAE" w:rsidRDefault="00BF0CAE" w:rsidP="00BF0CAE">
      <w:pPr>
        <w:spacing w:line="360" w:lineRule="auto"/>
        <w:jc w:val="both"/>
      </w:pPr>
      <w:r w:rsidRPr="00BF0CAE">
        <w:t xml:space="preserve">Freeman, R.E. (1984) </w:t>
      </w:r>
      <w:r w:rsidRPr="00BF0CAE">
        <w:rPr>
          <w:i/>
          <w:iCs/>
        </w:rPr>
        <w:t>Strategic Management: A Stakeholder Approach</w:t>
      </w:r>
      <w:r w:rsidRPr="00BF0CAE">
        <w:t>. Boston: Pitman.</w:t>
      </w:r>
    </w:p>
    <w:p w14:paraId="53C3D320" w14:textId="77777777" w:rsidR="00BF0CAE" w:rsidRPr="00BF0CAE" w:rsidRDefault="00BF0CAE" w:rsidP="00BF0CAE">
      <w:pPr>
        <w:spacing w:line="360" w:lineRule="auto"/>
        <w:jc w:val="both"/>
      </w:pPr>
      <w:r w:rsidRPr="00BF0CAE">
        <w:t xml:space="preserve">Hillson, D. (2009) </w:t>
      </w:r>
      <w:r w:rsidRPr="00BF0CAE">
        <w:rPr>
          <w:i/>
          <w:iCs/>
        </w:rPr>
        <w:t>Managing Risk in Projects</w:t>
      </w:r>
      <w:r w:rsidRPr="00BF0CAE">
        <w:t>. 2nd ed. Farnham: Gower.</w:t>
      </w:r>
    </w:p>
    <w:p w14:paraId="1A874C51" w14:textId="77777777" w:rsidR="00BF0CAE" w:rsidRPr="00BF0CAE" w:rsidRDefault="00BF0CAE" w:rsidP="00BF0CAE">
      <w:pPr>
        <w:spacing w:line="360" w:lineRule="auto"/>
        <w:jc w:val="both"/>
      </w:pPr>
      <w:r w:rsidRPr="00BF0CAE">
        <w:t xml:space="preserve">ISO (2018) </w:t>
      </w:r>
      <w:r w:rsidRPr="00BF0CAE">
        <w:rPr>
          <w:i/>
          <w:iCs/>
        </w:rPr>
        <w:t>ISO 31000:2018 Risk Management – Guidelines</w:t>
      </w:r>
      <w:r w:rsidRPr="00BF0CAE">
        <w:t>. Geneva: International Organization for Standardization.</w:t>
      </w:r>
    </w:p>
    <w:p w14:paraId="53878329" w14:textId="77777777" w:rsidR="00BF0CAE" w:rsidRPr="00BF0CAE" w:rsidRDefault="00BF0CAE" w:rsidP="00BF0CAE">
      <w:pPr>
        <w:spacing w:line="360" w:lineRule="auto"/>
        <w:jc w:val="both"/>
      </w:pPr>
      <w:r w:rsidRPr="00BF0CAE">
        <w:t xml:space="preserve">Kerzner, H. (2022) </w:t>
      </w:r>
      <w:r w:rsidRPr="00BF0CAE">
        <w:rPr>
          <w:i/>
          <w:iCs/>
        </w:rPr>
        <w:t>Project Management: A Systems Approach to Planning, Scheduling, and Controlling</w:t>
      </w:r>
      <w:r w:rsidRPr="00BF0CAE">
        <w:t>. 13th ed. Hoboken: John Wiley &amp; Sons.</w:t>
      </w:r>
    </w:p>
    <w:p w14:paraId="10BF9D88" w14:textId="77777777" w:rsidR="00BF0CAE" w:rsidRPr="00BF0CAE" w:rsidRDefault="00BF0CAE" w:rsidP="00BF0CAE">
      <w:pPr>
        <w:spacing w:line="360" w:lineRule="auto"/>
        <w:jc w:val="both"/>
      </w:pPr>
      <w:r w:rsidRPr="00BF0CAE">
        <w:t xml:space="preserve">Project Management Institute (PMI) (2021) </w:t>
      </w:r>
      <w:r w:rsidRPr="00BF0CAE">
        <w:rPr>
          <w:i/>
          <w:iCs/>
        </w:rPr>
        <w:t>A Guide to the Project Management Body of Knowledge (PMBOK® Guide)</w:t>
      </w:r>
      <w:r w:rsidRPr="00BF0CAE">
        <w:t>. 7th ed. Newtown Square, PA: Project Management Institute.</w:t>
      </w:r>
    </w:p>
    <w:p w14:paraId="220B1185" w14:textId="77777777" w:rsidR="00BF0CAE" w:rsidRPr="00BF0CAE" w:rsidRDefault="00BF0CAE" w:rsidP="00BF0CAE">
      <w:pPr>
        <w:spacing w:line="360" w:lineRule="auto"/>
        <w:jc w:val="both"/>
      </w:pPr>
      <w:r w:rsidRPr="00BF0CAE">
        <w:t xml:space="preserve">UN-Habitat (2022) </w:t>
      </w:r>
      <w:r w:rsidRPr="00BF0CAE">
        <w:rPr>
          <w:i/>
          <w:iCs/>
        </w:rPr>
        <w:t>World Cities Report 2022: Envisaging the Future of Cities</w:t>
      </w:r>
      <w:r w:rsidRPr="00BF0CAE">
        <w:t>. Nairobi: United Nations Human Settlements Programme.</w:t>
      </w:r>
    </w:p>
    <w:p w14:paraId="250C606D" w14:textId="77777777" w:rsidR="00BF0CAE" w:rsidRDefault="00BF0CAE" w:rsidP="00CE77BC">
      <w:pPr>
        <w:spacing w:line="360" w:lineRule="auto"/>
        <w:jc w:val="both"/>
      </w:pPr>
    </w:p>
    <w:sectPr w:rsidR="00BF0CA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B98A77"/>
    <w:rsid w:val="00041BF4"/>
    <w:rsid w:val="00BF0CAE"/>
    <w:rsid w:val="00CE77BC"/>
    <w:rsid w:val="00F952D6"/>
    <w:rsid w:val="09E82C9A"/>
    <w:rsid w:val="0A9C8855"/>
    <w:rsid w:val="0AB98A77"/>
    <w:rsid w:val="135EC6F1"/>
    <w:rsid w:val="13FBB29D"/>
    <w:rsid w:val="177669C0"/>
    <w:rsid w:val="1ACA9175"/>
    <w:rsid w:val="1FCDAF8D"/>
    <w:rsid w:val="24807843"/>
    <w:rsid w:val="24F8A447"/>
    <w:rsid w:val="2B222D2E"/>
    <w:rsid w:val="4D7A10BC"/>
    <w:rsid w:val="5239508F"/>
    <w:rsid w:val="52979A6F"/>
    <w:rsid w:val="683C1B78"/>
    <w:rsid w:val="69129CD4"/>
    <w:rsid w:val="7DDD2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A7248"/>
  <w15:chartTrackingRefBased/>
  <w15:docId w15:val="{6B3A4B18-3C06-489E-BBE3-7A7D9A7F7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7B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E77BC"/>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uiPriority w:val="9"/>
    <w:unhideWhenUsed/>
    <w:qFormat/>
    <w:rsid w:val="135EC6F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7BC"/>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E77BC"/>
    <w:rPr>
      <w:rFonts w:asciiTheme="majorHAnsi" w:eastAsiaTheme="majorEastAsia" w:hAnsiTheme="majorHAnsi" w:cstheme="majorBidi"/>
      <w:color w:val="0F476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14</Pages>
  <Words>3724</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Cezar Bobe</cp:lastModifiedBy>
  <cp:revision>2</cp:revision>
  <dcterms:created xsi:type="dcterms:W3CDTF">2026-08-12T21:03:00Z</dcterms:created>
  <dcterms:modified xsi:type="dcterms:W3CDTF">2026-08-12T21:03:00Z</dcterms:modified>
</cp:coreProperties>
</file>