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78971D" w14:textId="77777777" w:rsidR="00DF056F" w:rsidRDefault="004563C0">
      <w:pPr>
        <w:spacing w:line="360" w:lineRule="auto"/>
        <w:rPr>
          <w:rFonts w:cs="Arial"/>
          <w:szCs w:val="24"/>
        </w:rPr>
      </w:pPr>
      <w:r>
        <w:rPr>
          <w:rFonts w:cs="Arial"/>
          <w:noProof/>
          <w:lang w:val="en-US"/>
        </w:rPr>
        <w:drawing>
          <wp:anchor distT="0" distB="0" distL="114300" distR="114300" simplePos="0" relativeHeight="251660288" behindDoc="0" locked="0" layoutInCell="1" allowOverlap="1" wp14:anchorId="167C6CB7" wp14:editId="3E6353A4">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pic:spPr>
                </pic:pic>
              </a:graphicData>
            </a:graphic>
          </wp:anchor>
        </w:drawing>
      </w:r>
    </w:p>
    <w:p w14:paraId="6549E61C" w14:textId="77777777" w:rsidR="00DF056F" w:rsidRDefault="00DF056F">
      <w:pPr>
        <w:spacing w:line="360" w:lineRule="auto"/>
        <w:rPr>
          <w:rFonts w:cs="Arial"/>
          <w:szCs w:val="24"/>
        </w:rPr>
      </w:pPr>
    </w:p>
    <w:p w14:paraId="5F0DB150" w14:textId="77777777" w:rsidR="00DF056F" w:rsidRDefault="00DF056F">
      <w:pPr>
        <w:spacing w:line="360" w:lineRule="auto"/>
        <w:rPr>
          <w:rFonts w:cs="Arial"/>
          <w:szCs w:val="24"/>
        </w:rPr>
      </w:pPr>
    </w:p>
    <w:p w14:paraId="2B582E8B" w14:textId="77777777" w:rsidR="00DF056F" w:rsidRDefault="00DF056F">
      <w:pPr>
        <w:spacing w:line="360" w:lineRule="auto"/>
        <w:rPr>
          <w:rFonts w:cs="Arial"/>
          <w:szCs w:val="24"/>
        </w:rPr>
      </w:pPr>
    </w:p>
    <w:p w14:paraId="70FE5439" w14:textId="77777777" w:rsidR="00DF056F" w:rsidRDefault="00DF056F">
      <w:pPr>
        <w:tabs>
          <w:tab w:val="left" w:pos="6540"/>
        </w:tabs>
        <w:spacing w:line="360" w:lineRule="auto"/>
        <w:rPr>
          <w:rFonts w:cs="Arial"/>
          <w:sz w:val="28"/>
          <w:szCs w:val="28"/>
        </w:rPr>
      </w:pPr>
    </w:p>
    <w:p w14:paraId="67F204B8" w14:textId="17AA2000" w:rsidR="00DF056F" w:rsidRDefault="004563C0" w:rsidP="00BA0F04">
      <w:pPr>
        <w:tabs>
          <w:tab w:val="left" w:pos="6540"/>
        </w:tabs>
        <w:spacing w:line="360" w:lineRule="auto"/>
        <w:jc w:val="center"/>
        <w:rPr>
          <w:rFonts w:cs="Arial"/>
          <w:sz w:val="28"/>
          <w:szCs w:val="28"/>
          <w:lang w:val="nl-NL"/>
        </w:rPr>
      </w:pPr>
      <w:r>
        <w:rPr>
          <w:rFonts w:cs="Arial"/>
          <w:b/>
          <w:bCs/>
          <w:sz w:val="28"/>
          <w:szCs w:val="28"/>
          <w:lang w:val="nl-NL"/>
        </w:rPr>
        <w:t xml:space="preserve">Student </w:t>
      </w:r>
      <w:proofErr w:type="spellStart"/>
      <w:proofErr w:type="gramStart"/>
      <w:r>
        <w:rPr>
          <w:rFonts w:cs="Arial"/>
          <w:b/>
          <w:bCs/>
          <w:sz w:val="28"/>
          <w:szCs w:val="28"/>
          <w:lang w:val="nl-NL"/>
        </w:rPr>
        <w:t>name</w:t>
      </w:r>
      <w:r>
        <w:rPr>
          <w:rFonts w:cs="Arial"/>
          <w:sz w:val="28"/>
          <w:szCs w:val="28"/>
          <w:lang w:val="nl-NL"/>
        </w:rPr>
        <w:t>:</w:t>
      </w:r>
      <w:r w:rsidR="00ED501F">
        <w:rPr>
          <w:rFonts w:cs="Arial"/>
          <w:sz w:val="28"/>
          <w:szCs w:val="28"/>
          <w:lang w:val="nl-NL"/>
        </w:rPr>
        <w:t>Tosin</w:t>
      </w:r>
      <w:proofErr w:type="spellEnd"/>
      <w:proofErr w:type="gramEnd"/>
      <w:r w:rsidR="00ED501F">
        <w:rPr>
          <w:rFonts w:cs="Arial"/>
          <w:sz w:val="28"/>
          <w:szCs w:val="28"/>
          <w:lang w:val="nl-NL"/>
        </w:rPr>
        <w:t xml:space="preserve"> </w:t>
      </w:r>
      <w:proofErr w:type="spellStart"/>
      <w:r w:rsidR="00ED501F">
        <w:rPr>
          <w:rFonts w:cs="Arial"/>
          <w:sz w:val="28"/>
          <w:szCs w:val="28"/>
          <w:lang w:val="nl-NL"/>
        </w:rPr>
        <w:t>Yusuf</w:t>
      </w:r>
      <w:proofErr w:type="spellEnd"/>
    </w:p>
    <w:p w14:paraId="4AABE3FB" w14:textId="1C593E7B" w:rsidR="00DF056F" w:rsidRDefault="004563C0" w:rsidP="00BA0F04">
      <w:pPr>
        <w:tabs>
          <w:tab w:val="left" w:pos="6540"/>
        </w:tabs>
        <w:spacing w:line="360" w:lineRule="auto"/>
        <w:jc w:val="center"/>
        <w:rPr>
          <w:rFonts w:cs="Arial"/>
          <w:sz w:val="28"/>
          <w:szCs w:val="28"/>
          <w:lang w:val="nl-NL"/>
        </w:rPr>
      </w:pPr>
      <w:r>
        <w:rPr>
          <w:rFonts w:cs="Arial"/>
          <w:b/>
          <w:bCs/>
          <w:sz w:val="28"/>
          <w:szCs w:val="28"/>
          <w:lang w:val="nl-NL"/>
        </w:rPr>
        <w:t>Student ID</w:t>
      </w:r>
      <w:r>
        <w:rPr>
          <w:rFonts w:cs="Arial"/>
          <w:sz w:val="28"/>
          <w:szCs w:val="28"/>
          <w:lang w:val="nl-NL"/>
        </w:rPr>
        <w:t>:</w:t>
      </w:r>
      <w:r w:rsidR="00ED501F">
        <w:rPr>
          <w:rFonts w:cs="Arial"/>
          <w:sz w:val="28"/>
          <w:szCs w:val="28"/>
          <w:lang w:val="nl-NL"/>
        </w:rPr>
        <w:t>2334371</w:t>
      </w:r>
    </w:p>
    <w:p w14:paraId="3F55E58E" w14:textId="77777777" w:rsidR="00DF056F" w:rsidRDefault="00DF056F" w:rsidP="00BA0F04">
      <w:pPr>
        <w:tabs>
          <w:tab w:val="left" w:pos="6540"/>
        </w:tabs>
        <w:spacing w:line="360" w:lineRule="auto"/>
        <w:jc w:val="center"/>
        <w:rPr>
          <w:rFonts w:cs="Arial"/>
          <w:sz w:val="28"/>
          <w:szCs w:val="28"/>
          <w:lang w:val="nl-NL"/>
        </w:rPr>
      </w:pPr>
    </w:p>
    <w:p w14:paraId="5D545C77" w14:textId="147A93B0" w:rsidR="00DF056F" w:rsidRDefault="004563C0" w:rsidP="00BA0F04">
      <w:pPr>
        <w:tabs>
          <w:tab w:val="left" w:pos="6540"/>
        </w:tabs>
        <w:spacing w:line="360" w:lineRule="auto"/>
        <w:jc w:val="center"/>
        <w:rPr>
          <w:rFonts w:cs="Arial"/>
          <w:sz w:val="28"/>
          <w:szCs w:val="28"/>
          <w:lang w:val="nl-NL"/>
        </w:rPr>
      </w:pPr>
      <w:r>
        <w:rPr>
          <w:rFonts w:cs="Arial"/>
          <w:b/>
          <w:bCs/>
          <w:sz w:val="28"/>
          <w:szCs w:val="28"/>
          <w:lang w:val="nl-NL"/>
        </w:rPr>
        <w:t xml:space="preserve">Module </w:t>
      </w:r>
      <w:proofErr w:type="spellStart"/>
      <w:proofErr w:type="gramStart"/>
      <w:r>
        <w:rPr>
          <w:rFonts w:cs="Arial"/>
          <w:b/>
          <w:bCs/>
          <w:sz w:val="28"/>
          <w:szCs w:val="28"/>
          <w:lang w:val="nl-NL"/>
        </w:rPr>
        <w:t>name</w:t>
      </w:r>
      <w:r>
        <w:rPr>
          <w:rFonts w:cs="Arial"/>
          <w:sz w:val="28"/>
          <w:szCs w:val="28"/>
          <w:lang w:val="nl-NL"/>
        </w:rPr>
        <w:t>:</w:t>
      </w:r>
      <w:r w:rsidR="00ED501F">
        <w:rPr>
          <w:rFonts w:cs="Arial"/>
          <w:sz w:val="28"/>
          <w:szCs w:val="28"/>
          <w:lang w:val="nl-NL"/>
        </w:rPr>
        <w:t>Changemakers</w:t>
      </w:r>
      <w:proofErr w:type="spellEnd"/>
      <w:proofErr w:type="gramEnd"/>
    </w:p>
    <w:p w14:paraId="086C1FF2" w14:textId="317ABC43" w:rsidR="00DF056F" w:rsidRDefault="004563C0" w:rsidP="00BA0F04">
      <w:pPr>
        <w:tabs>
          <w:tab w:val="left" w:pos="6540"/>
        </w:tabs>
        <w:spacing w:line="360" w:lineRule="auto"/>
        <w:jc w:val="center"/>
        <w:rPr>
          <w:rFonts w:cs="Arial"/>
          <w:sz w:val="28"/>
          <w:szCs w:val="28"/>
          <w:lang w:val="fr-FR"/>
        </w:rPr>
      </w:pPr>
      <w:r>
        <w:rPr>
          <w:rFonts w:cs="Arial"/>
          <w:b/>
          <w:bCs/>
          <w:sz w:val="28"/>
          <w:szCs w:val="28"/>
          <w:lang w:val="fr-FR"/>
        </w:rPr>
        <w:t xml:space="preserve">Module </w:t>
      </w:r>
      <w:proofErr w:type="gramStart"/>
      <w:r>
        <w:rPr>
          <w:rFonts w:cs="Arial"/>
          <w:b/>
          <w:bCs/>
          <w:sz w:val="28"/>
          <w:szCs w:val="28"/>
          <w:lang w:val="fr-FR"/>
        </w:rPr>
        <w:t>code</w:t>
      </w:r>
      <w:r>
        <w:rPr>
          <w:rFonts w:cs="Arial"/>
          <w:sz w:val="28"/>
          <w:szCs w:val="28"/>
          <w:lang w:val="fr-FR"/>
        </w:rPr>
        <w:t>:</w:t>
      </w:r>
      <w:r w:rsidR="00ED501F">
        <w:rPr>
          <w:rFonts w:cs="Arial"/>
          <w:sz w:val="28"/>
          <w:szCs w:val="28"/>
          <w:lang w:val="fr-FR"/>
        </w:rPr>
        <w:t>BMHP</w:t>
      </w:r>
      <w:proofErr w:type="gramEnd"/>
      <w:r w:rsidR="00ED501F">
        <w:rPr>
          <w:rFonts w:cs="Arial"/>
          <w:sz w:val="28"/>
          <w:szCs w:val="28"/>
          <w:lang w:val="fr-FR"/>
        </w:rPr>
        <w:t>5015</w:t>
      </w:r>
    </w:p>
    <w:p w14:paraId="37122ACE" w14:textId="78F2BCB5" w:rsidR="00DF056F" w:rsidRDefault="004563C0" w:rsidP="00BA0F04">
      <w:pPr>
        <w:tabs>
          <w:tab w:val="left" w:pos="6540"/>
        </w:tabs>
        <w:spacing w:line="360" w:lineRule="auto"/>
        <w:jc w:val="center"/>
        <w:rPr>
          <w:rFonts w:cs="Arial"/>
          <w:sz w:val="28"/>
          <w:szCs w:val="28"/>
          <w:lang w:val="fr-FR"/>
        </w:rPr>
      </w:pPr>
      <w:proofErr w:type="spellStart"/>
      <w:r>
        <w:rPr>
          <w:rFonts w:cs="Arial"/>
          <w:b/>
          <w:bCs/>
          <w:sz w:val="28"/>
          <w:szCs w:val="28"/>
          <w:lang w:val="fr-FR"/>
        </w:rPr>
        <w:t>Lecturer</w:t>
      </w:r>
      <w:proofErr w:type="spellEnd"/>
      <w:r>
        <w:rPr>
          <w:rFonts w:cs="Arial"/>
          <w:b/>
          <w:bCs/>
          <w:sz w:val="28"/>
          <w:szCs w:val="28"/>
          <w:lang w:val="fr-FR"/>
        </w:rPr>
        <w:t xml:space="preserve"> </w:t>
      </w:r>
      <w:proofErr w:type="spellStart"/>
      <w:proofErr w:type="gramStart"/>
      <w:r>
        <w:rPr>
          <w:rFonts w:cs="Arial"/>
          <w:b/>
          <w:bCs/>
          <w:sz w:val="28"/>
          <w:szCs w:val="28"/>
          <w:lang w:val="fr-FR"/>
        </w:rPr>
        <w:t>name</w:t>
      </w:r>
      <w:r>
        <w:rPr>
          <w:rFonts w:cs="Arial"/>
          <w:sz w:val="28"/>
          <w:szCs w:val="28"/>
          <w:lang w:val="fr-FR"/>
        </w:rPr>
        <w:t>:</w:t>
      </w:r>
      <w:r w:rsidR="00ED501F">
        <w:rPr>
          <w:rFonts w:cs="Arial"/>
          <w:sz w:val="28"/>
          <w:szCs w:val="28"/>
          <w:lang w:val="fr-FR"/>
        </w:rPr>
        <w:t>Christopher</w:t>
      </w:r>
      <w:proofErr w:type="spellEnd"/>
      <w:proofErr w:type="gramEnd"/>
      <w:r w:rsidR="00ED501F">
        <w:rPr>
          <w:rFonts w:cs="Arial"/>
          <w:sz w:val="28"/>
          <w:szCs w:val="28"/>
          <w:lang w:val="fr-FR"/>
        </w:rPr>
        <w:t xml:space="preserve"> </w:t>
      </w:r>
      <w:proofErr w:type="spellStart"/>
      <w:r w:rsidR="00ED501F">
        <w:rPr>
          <w:rFonts w:cs="Arial"/>
          <w:sz w:val="28"/>
          <w:szCs w:val="28"/>
          <w:lang w:val="fr-FR"/>
        </w:rPr>
        <w:t>Mafuva</w:t>
      </w:r>
      <w:proofErr w:type="spellEnd"/>
    </w:p>
    <w:p w14:paraId="4F00FAE6" w14:textId="77777777" w:rsidR="00DF056F" w:rsidRDefault="00DF056F">
      <w:pPr>
        <w:tabs>
          <w:tab w:val="left" w:pos="6540"/>
        </w:tabs>
        <w:spacing w:line="360" w:lineRule="auto"/>
        <w:rPr>
          <w:rFonts w:cs="Arial"/>
          <w:sz w:val="28"/>
          <w:szCs w:val="28"/>
          <w:lang w:val="fr-FR"/>
        </w:rPr>
      </w:pPr>
    </w:p>
    <w:p w14:paraId="73A63021" w14:textId="77777777" w:rsidR="00DF056F" w:rsidRDefault="004563C0">
      <w:pPr>
        <w:spacing w:line="360" w:lineRule="auto"/>
        <w:rPr>
          <w:rFonts w:cs="Arial"/>
          <w:lang w:val="fr-FR"/>
        </w:rPr>
      </w:pPr>
      <w:r>
        <w:rPr>
          <w:rFonts w:cs="Arial"/>
          <w:lang w:val="fr-FR"/>
        </w:rPr>
        <w:br w:type="page"/>
      </w:r>
    </w:p>
    <w:tbl>
      <w:tblPr>
        <w:tblStyle w:val="TableGrid"/>
        <w:tblW w:w="0" w:type="auto"/>
        <w:tblLayout w:type="fixed"/>
        <w:tblLook w:val="04A0" w:firstRow="1" w:lastRow="0" w:firstColumn="1" w:lastColumn="0" w:noHBand="0" w:noVBand="1"/>
      </w:tblPr>
      <w:tblGrid>
        <w:gridCol w:w="1789"/>
        <w:gridCol w:w="7453"/>
      </w:tblGrid>
      <w:tr w:rsidR="00DF056F" w14:paraId="6123DBE2" w14:textId="77777777">
        <w:tc>
          <w:tcPr>
            <w:tcW w:w="1789" w:type="dxa"/>
          </w:tcPr>
          <w:p w14:paraId="49915561" w14:textId="77777777" w:rsidR="00DF056F" w:rsidRDefault="004563C0">
            <w:pPr>
              <w:pStyle w:val="NoSpacing"/>
              <w:spacing w:line="360" w:lineRule="auto"/>
              <w:rPr>
                <w:rFonts w:ascii="Arial" w:hAnsi="Arial" w:cs="Arial"/>
                <w:b/>
                <w:bCs/>
                <w:sz w:val="22"/>
                <w:lang w:eastAsia="en-GB"/>
              </w:rPr>
            </w:pPr>
            <w:r>
              <w:rPr>
                <w:rFonts w:ascii="Arial" w:hAnsi="Arial" w:cs="Arial"/>
                <w:b/>
                <w:bCs/>
                <w:sz w:val="22"/>
                <w:lang w:eastAsia="en-GB"/>
              </w:rPr>
              <w:lastRenderedPageBreak/>
              <w:t xml:space="preserve">Introduction </w:t>
            </w:r>
          </w:p>
          <w:p w14:paraId="67853996" w14:textId="77777777" w:rsidR="00DF056F" w:rsidRDefault="00DF056F">
            <w:pPr>
              <w:spacing w:before="100" w:beforeAutospacing="1" w:after="100" w:afterAutospacing="1" w:line="360" w:lineRule="auto"/>
              <w:outlineLvl w:val="1"/>
              <w:rPr>
                <w:rFonts w:eastAsia="Times New Roman" w:cs="Times New Roman"/>
                <w:b/>
                <w:bCs/>
                <w:color w:val="000000"/>
                <w:sz w:val="22"/>
                <w:lang w:eastAsia="en-GB"/>
              </w:rPr>
            </w:pPr>
          </w:p>
        </w:tc>
        <w:tc>
          <w:tcPr>
            <w:tcW w:w="7453" w:type="dxa"/>
          </w:tcPr>
          <w:p w14:paraId="7CFF170A" w14:textId="77777777" w:rsidR="00DF056F" w:rsidRDefault="004563C0">
            <w:pPr>
              <w:spacing w:before="100" w:beforeAutospacing="1" w:after="100" w:afterAutospacing="1" w:line="360" w:lineRule="auto"/>
              <w:jc w:val="both"/>
              <w:outlineLvl w:val="1"/>
              <w:rPr>
                <w:rFonts w:eastAsia="Times New Roman" w:cs="Times New Roman"/>
                <w:b/>
                <w:bCs/>
                <w:color w:val="000000"/>
                <w:sz w:val="22"/>
                <w:lang w:eastAsia="en-GB"/>
              </w:rPr>
            </w:pPr>
            <w:r>
              <w:rPr>
                <w:rFonts w:eastAsia="Times New Roman"/>
                <w:color w:val="000000"/>
                <w:sz w:val="22"/>
                <w:lang w:eastAsia="en-GB"/>
              </w:rPr>
              <w:t xml:space="preserve">The purpose of this online portfolio is to reflect on key learning of the module. The </w:t>
            </w:r>
            <w:r>
              <w:rPr>
                <w:rFonts w:eastAsia="Times New Roman"/>
                <w:i/>
                <w:iCs/>
                <w:color w:val="000000"/>
                <w:sz w:val="22"/>
                <w:lang w:eastAsia="en-GB"/>
              </w:rPr>
              <w:t>"Changemakers: Building Your Brand for Sustainable Employment"</w:t>
            </w:r>
            <w:r>
              <w:rPr>
                <w:rFonts w:eastAsia="Times New Roman"/>
                <w:color w:val="000000"/>
                <w:sz w:val="22"/>
                <w:lang w:eastAsia="en-GB"/>
              </w:rPr>
              <w:t xml:space="preserve"> offered fundamental understanding of personal and professional development by examining 4 key subjects that included personal branding, networking, boundary-less careers and principles of emotional intelligence. Throughout the module, the importance of adaptability, autonomy, evaluation and self-determination was reinforced and each unit uniquely contributed to my awareness on the importance of personal values and professional competence in achieving my aspiring career of a Public Health Worker, wherein SEN (Special Education Needs) Support can be extended. As a future changemaker who is committed to support children and families with SEN, this portfolio uses reflective engagement </w:t>
            </w:r>
            <w:r>
              <w:rPr>
                <w:rFonts w:eastAsia="Times New Roman"/>
                <w:color w:val="000000"/>
                <w:sz w:val="22"/>
                <w:lang w:val="en-US" w:eastAsia="en-GB"/>
              </w:rPr>
              <w:t xml:space="preserve">to demonstrate learning from Unit-4 as well as </w:t>
            </w:r>
            <w:r>
              <w:rPr>
                <w:rFonts w:eastAsia="Times New Roman"/>
                <w:color w:val="000000"/>
                <w:sz w:val="22"/>
                <w:lang w:eastAsia="en-GB"/>
              </w:rPr>
              <w:t xml:space="preserve">professional identity. </w:t>
            </w:r>
          </w:p>
        </w:tc>
      </w:tr>
      <w:tr w:rsidR="00DF056F" w14:paraId="7A60AED8" w14:textId="77777777">
        <w:tc>
          <w:tcPr>
            <w:tcW w:w="1789" w:type="dxa"/>
          </w:tcPr>
          <w:p w14:paraId="37B753AE" w14:textId="77777777" w:rsidR="00DF056F" w:rsidRDefault="004563C0">
            <w:pPr>
              <w:pStyle w:val="NoSpacing"/>
              <w:spacing w:line="360" w:lineRule="auto"/>
              <w:rPr>
                <w:rFonts w:ascii="Arial" w:hAnsi="Arial" w:cs="Arial"/>
                <w:b/>
                <w:bCs/>
                <w:sz w:val="22"/>
                <w:lang w:eastAsia="en-GB"/>
              </w:rPr>
            </w:pPr>
            <w:r>
              <w:rPr>
                <w:rFonts w:ascii="Arial" w:hAnsi="Arial" w:cs="Arial"/>
                <w:b/>
                <w:bCs/>
                <w:sz w:val="22"/>
                <w:lang w:val="en-US" w:eastAsia="en-GB"/>
              </w:rPr>
              <w:t xml:space="preserve">Unit 1: </w:t>
            </w:r>
            <w:r>
              <w:rPr>
                <w:rFonts w:ascii="Arial" w:hAnsi="Arial" w:cs="Arial"/>
                <w:b/>
                <w:bCs/>
                <w:sz w:val="22"/>
                <w:lang w:eastAsia="en-GB"/>
              </w:rPr>
              <w:t xml:space="preserve">Brand You </w:t>
            </w:r>
          </w:p>
          <w:p w14:paraId="0F12073E" w14:textId="77777777" w:rsidR="00DF056F" w:rsidRDefault="00DF056F">
            <w:pPr>
              <w:spacing w:before="100" w:beforeAutospacing="1" w:after="100" w:afterAutospacing="1" w:line="360" w:lineRule="auto"/>
              <w:outlineLvl w:val="1"/>
              <w:rPr>
                <w:rFonts w:eastAsia="Times New Roman" w:cs="Times New Roman"/>
                <w:b/>
                <w:bCs/>
                <w:color w:val="000000"/>
                <w:sz w:val="22"/>
                <w:lang w:eastAsia="en-GB"/>
              </w:rPr>
            </w:pPr>
          </w:p>
        </w:tc>
        <w:tc>
          <w:tcPr>
            <w:tcW w:w="7453" w:type="dxa"/>
          </w:tcPr>
          <w:p w14:paraId="41AC7E82" w14:textId="77777777" w:rsidR="00DF056F" w:rsidRDefault="004563C0">
            <w:pPr>
              <w:spacing w:line="360" w:lineRule="auto"/>
              <w:jc w:val="both"/>
              <w:rPr>
                <w:sz w:val="22"/>
                <w:lang w:val="en-US" w:eastAsia="en-GB"/>
              </w:rPr>
            </w:pPr>
            <w:r>
              <w:rPr>
                <w:sz w:val="22"/>
                <w:lang w:eastAsia="en-GB"/>
              </w:rPr>
              <w:t>Unit 1</w:t>
            </w:r>
            <w:r>
              <w:rPr>
                <w:sz w:val="22"/>
                <w:lang w:val="en-US" w:eastAsia="en-GB"/>
              </w:rPr>
              <w:t xml:space="preserve"> contributed to my </w:t>
            </w:r>
            <w:r>
              <w:rPr>
                <w:sz w:val="22"/>
                <w:lang w:eastAsia="en-GB"/>
              </w:rPr>
              <w:t>learn</w:t>
            </w:r>
            <w:proofErr w:type="spellStart"/>
            <w:r>
              <w:rPr>
                <w:sz w:val="22"/>
                <w:lang w:val="en-US" w:eastAsia="en-GB"/>
              </w:rPr>
              <w:t>ing</w:t>
            </w:r>
            <w:proofErr w:type="spellEnd"/>
            <w:r>
              <w:rPr>
                <w:sz w:val="22"/>
                <w:lang w:val="en-US" w:eastAsia="en-GB"/>
              </w:rPr>
              <w:t xml:space="preserve"> on</w:t>
            </w:r>
            <w:r>
              <w:rPr>
                <w:sz w:val="22"/>
                <w:lang w:eastAsia="en-GB"/>
              </w:rPr>
              <w:t xml:space="preserve"> the principles of personal branding, self-awareness, and determining personal strengths. My conceptual view of branding</w:t>
            </w:r>
            <w:r>
              <w:rPr>
                <w:sz w:val="22"/>
                <w:lang w:val="en-US" w:eastAsia="en-GB"/>
              </w:rPr>
              <w:t xml:space="preserve">, </w:t>
            </w:r>
            <w:r>
              <w:rPr>
                <w:sz w:val="22"/>
                <w:lang w:eastAsia="en-GB"/>
              </w:rPr>
              <w:t>prior to this unit</w:t>
            </w:r>
            <w:r>
              <w:rPr>
                <w:sz w:val="22"/>
                <w:lang w:val="en-US" w:eastAsia="en-GB"/>
              </w:rPr>
              <w:t>,</w:t>
            </w:r>
            <w:r>
              <w:rPr>
                <w:sz w:val="22"/>
                <w:lang w:eastAsia="en-GB"/>
              </w:rPr>
              <w:t xml:space="preserve"> </w:t>
            </w:r>
            <w:r>
              <w:rPr>
                <w:sz w:val="22"/>
                <w:lang w:val="en-US" w:eastAsia="en-GB"/>
              </w:rPr>
              <w:t>was linked to</w:t>
            </w:r>
            <w:r>
              <w:rPr>
                <w:sz w:val="22"/>
                <w:lang w:eastAsia="en-GB"/>
              </w:rPr>
              <w:t xml:space="preserve"> organisations, but I </w:t>
            </w:r>
            <w:r>
              <w:rPr>
                <w:sz w:val="22"/>
                <w:lang w:val="en-US" w:eastAsia="en-GB"/>
              </w:rPr>
              <w:t>learned</w:t>
            </w:r>
            <w:r>
              <w:rPr>
                <w:sz w:val="22"/>
                <w:lang w:eastAsia="en-GB"/>
              </w:rPr>
              <w:t xml:space="preserve"> to think of branding in personal terms, that is</w:t>
            </w:r>
            <w:r>
              <w:rPr>
                <w:sz w:val="22"/>
                <w:lang w:val="en-US" w:eastAsia="en-GB"/>
              </w:rPr>
              <w:t xml:space="preserve"> defined by </w:t>
            </w:r>
            <w:r>
              <w:rPr>
                <w:sz w:val="22"/>
                <w:lang w:eastAsia="en-GB"/>
              </w:rPr>
              <w:t>Shepherd</w:t>
            </w:r>
            <w:r>
              <w:rPr>
                <w:sz w:val="22"/>
                <w:lang w:val="en-US" w:eastAsia="en-GB"/>
              </w:rPr>
              <w:t xml:space="preserve"> (</w:t>
            </w:r>
            <w:r>
              <w:rPr>
                <w:sz w:val="22"/>
                <w:lang w:eastAsia="en-GB"/>
              </w:rPr>
              <w:t>2005</w:t>
            </w:r>
            <w:r>
              <w:rPr>
                <w:sz w:val="22"/>
                <w:lang w:val="en-US" w:eastAsia="en-GB"/>
              </w:rPr>
              <w:t>) as</w:t>
            </w:r>
            <w:r>
              <w:rPr>
                <w:sz w:val="22"/>
                <w:lang w:eastAsia="en-GB"/>
              </w:rPr>
              <w:t xml:space="preserve"> deliberately influencing how people see </w:t>
            </w:r>
            <w:r>
              <w:rPr>
                <w:sz w:val="22"/>
                <w:lang w:val="en-US" w:eastAsia="en-GB"/>
              </w:rPr>
              <w:t>one’s</w:t>
            </w:r>
            <w:r>
              <w:rPr>
                <w:sz w:val="22"/>
                <w:lang w:eastAsia="en-GB"/>
              </w:rPr>
              <w:t xml:space="preserve"> professional </w:t>
            </w:r>
            <w:r>
              <w:rPr>
                <w:sz w:val="22"/>
                <w:lang w:val="en-US" w:eastAsia="en-GB"/>
              </w:rPr>
              <w:t>identity</w:t>
            </w:r>
            <w:r>
              <w:rPr>
                <w:sz w:val="22"/>
                <w:lang w:eastAsia="en-GB"/>
              </w:rPr>
              <w:t>.</w:t>
            </w:r>
            <w:r>
              <w:rPr>
                <w:sz w:val="22"/>
                <w:lang w:val="en-US" w:eastAsia="en-GB"/>
              </w:rPr>
              <w:t xml:space="preserve"> I</w:t>
            </w:r>
            <w:proofErr w:type="spellStart"/>
            <w:r>
              <w:rPr>
                <w:sz w:val="22"/>
                <w:lang w:eastAsia="en-GB"/>
              </w:rPr>
              <w:t>n</w:t>
            </w:r>
            <w:proofErr w:type="spellEnd"/>
            <w:r>
              <w:rPr>
                <w:sz w:val="22"/>
                <w:lang w:eastAsia="en-GB"/>
              </w:rPr>
              <w:t xml:space="preserve"> the context of health and social care</w:t>
            </w:r>
            <w:r>
              <w:rPr>
                <w:sz w:val="22"/>
                <w:lang w:val="en-US" w:eastAsia="en-GB"/>
              </w:rPr>
              <w:t>,</w:t>
            </w:r>
            <w:r>
              <w:rPr>
                <w:sz w:val="22"/>
                <w:lang w:eastAsia="en-GB"/>
              </w:rPr>
              <w:t xml:space="preserve"> I learned that personal branding </w:t>
            </w:r>
            <w:r>
              <w:rPr>
                <w:sz w:val="22"/>
                <w:lang w:val="en-US" w:eastAsia="en-GB"/>
              </w:rPr>
              <w:t>signifies the communication of skills, values and purpose. These learning enabled a deeper self-reflection and enhanced self-awareness</w:t>
            </w:r>
            <w:r>
              <w:rPr>
                <w:sz w:val="22"/>
                <w:lang w:eastAsia="en-GB"/>
              </w:rPr>
              <w:t xml:space="preserve">. I associated this learning with Johari Window </w:t>
            </w:r>
            <w:r>
              <w:rPr>
                <w:sz w:val="22"/>
                <w:lang w:val="en-US" w:eastAsia="en-GB"/>
              </w:rPr>
              <w:t xml:space="preserve">model, presented by </w:t>
            </w:r>
            <w:r>
              <w:rPr>
                <w:sz w:val="22"/>
                <w:lang w:eastAsia="en-GB"/>
              </w:rPr>
              <w:t>Luft and Ingham</w:t>
            </w:r>
            <w:r>
              <w:rPr>
                <w:sz w:val="22"/>
                <w:lang w:val="en-US" w:eastAsia="en-GB"/>
              </w:rPr>
              <w:t xml:space="preserve"> (</w:t>
            </w:r>
            <w:r>
              <w:rPr>
                <w:sz w:val="22"/>
                <w:lang w:eastAsia="en-GB"/>
              </w:rPr>
              <w:t>1955) which accentuates the need to know how I can be viewed as well as others.</w:t>
            </w:r>
            <w:r>
              <w:rPr>
                <w:sz w:val="22"/>
                <w:lang w:val="en-US" w:eastAsia="en-GB"/>
              </w:rPr>
              <w:t xml:space="preserve"> This is because, as shown in figure 1, I mentioned the importance of self-awareness in the health and social care with regards to working with others. </w:t>
            </w:r>
          </w:p>
          <w:p w14:paraId="117E28C8" w14:textId="77777777" w:rsidR="00DF056F" w:rsidRDefault="004563C0">
            <w:pPr>
              <w:spacing w:line="360" w:lineRule="auto"/>
              <w:jc w:val="center"/>
              <w:rPr>
                <w:rFonts w:eastAsia="Times New Roman" w:cs="Arial"/>
                <w:color w:val="000000"/>
                <w:szCs w:val="24"/>
                <w:lang w:val="en-US" w:eastAsia="en-GB"/>
              </w:rPr>
            </w:pPr>
            <w:r>
              <w:rPr>
                <w:rFonts w:eastAsia="Times New Roman" w:cs="Arial"/>
                <w:noProof/>
                <w:color w:val="000000"/>
                <w:szCs w:val="24"/>
                <w:lang w:val="en-US"/>
              </w:rPr>
              <w:lastRenderedPageBreak/>
              <w:drawing>
                <wp:inline distT="0" distB="0" distL="114300" distR="114300" wp14:anchorId="038C8609" wp14:editId="40FEB760">
                  <wp:extent cx="2414270" cy="2312670"/>
                  <wp:effectExtent l="0" t="0" r="5080" b="11430"/>
                  <wp:docPr id="7" name="Picture 7" descr="IMG-20260302-WA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MG-20260302-WA0007"/>
                          <pic:cNvPicPr>
                            <a:picLocks noChangeAspect="1"/>
                          </pic:cNvPicPr>
                        </pic:nvPicPr>
                        <pic:blipFill>
                          <a:blip r:embed="rId9"/>
                          <a:srcRect t="52395" b="10248"/>
                          <a:stretch>
                            <a:fillRect/>
                          </a:stretch>
                        </pic:blipFill>
                        <pic:spPr>
                          <a:xfrm>
                            <a:off x="0" y="0"/>
                            <a:ext cx="2414270" cy="2312670"/>
                          </a:xfrm>
                          <a:prstGeom prst="rect">
                            <a:avLst/>
                          </a:prstGeom>
                        </pic:spPr>
                      </pic:pic>
                    </a:graphicData>
                  </a:graphic>
                </wp:inline>
              </w:drawing>
            </w:r>
          </w:p>
          <w:p w14:paraId="2FEF352F" w14:textId="77777777" w:rsidR="00DF056F" w:rsidRDefault="004563C0">
            <w:pPr>
              <w:spacing w:line="360" w:lineRule="auto"/>
              <w:jc w:val="center"/>
              <w:rPr>
                <w:sz w:val="22"/>
                <w:lang w:val="en-US" w:eastAsia="en-GB"/>
              </w:rPr>
            </w:pPr>
            <w:r>
              <w:rPr>
                <w:rFonts w:eastAsia="Times New Roman" w:cs="Arial"/>
                <w:i/>
                <w:iCs/>
                <w:color w:val="000000"/>
                <w:sz w:val="21"/>
                <w:szCs w:val="21"/>
                <w:lang w:val="en-US" w:eastAsia="en-GB"/>
              </w:rPr>
              <w:t>Figure 01: Self-awareness</w:t>
            </w:r>
          </w:p>
          <w:p w14:paraId="06D80C37" w14:textId="77777777" w:rsidR="00DF056F" w:rsidRDefault="004563C0">
            <w:pPr>
              <w:spacing w:line="360" w:lineRule="auto"/>
              <w:jc w:val="both"/>
              <w:rPr>
                <w:sz w:val="22"/>
                <w:lang w:eastAsia="en-GB"/>
              </w:rPr>
            </w:pPr>
            <w:r>
              <w:rPr>
                <w:sz w:val="22"/>
                <w:lang w:eastAsia="en-GB"/>
              </w:rPr>
              <w:t xml:space="preserve"> </w:t>
            </w:r>
            <w:r>
              <w:rPr>
                <w:sz w:val="22"/>
                <w:lang w:val="en-US" w:eastAsia="en-GB"/>
              </w:rPr>
              <w:t xml:space="preserve">NHS (2026) also considers Johari’s window a useful tool to consider personal development by focusing on 4 quadrants of known self, hidden self, blind self and unknown self, by offering opportunity to gain feedback and address blind and unknown spots, thereby giving opportunity for self-development. This model changed my thinking about what it could mean to be known to others. Thus, I applied sharing my social care practice with peers and took their feedback, which helped me directing myself to seek more competence through insights from peers’ experiences, which improved my practice. This is because </w:t>
            </w:r>
            <w:r>
              <w:rPr>
                <w:sz w:val="22"/>
                <w:lang w:eastAsia="en-GB"/>
              </w:rPr>
              <w:t>peer feedback has widened my blind space and allowed me to acknowledge the form of strengths that I did not pay much attention to before, like empathy and communication skills. This solidified the role of reflection and feedback towards professional development.</w:t>
            </w:r>
          </w:p>
          <w:p w14:paraId="2959600A" w14:textId="77777777" w:rsidR="00DF056F" w:rsidRDefault="004563C0">
            <w:pPr>
              <w:spacing w:line="360" w:lineRule="auto"/>
              <w:jc w:val="both"/>
              <w:rPr>
                <w:sz w:val="22"/>
                <w:lang w:eastAsia="en-GB"/>
              </w:rPr>
            </w:pPr>
            <w:r>
              <w:rPr>
                <w:sz w:val="22"/>
                <w:lang w:val="en-US" w:eastAsia="en-GB"/>
              </w:rPr>
              <w:t>In Week 1 forum, m</w:t>
            </w:r>
            <w:r>
              <w:rPr>
                <w:sz w:val="22"/>
                <w:lang w:eastAsia="en-GB"/>
              </w:rPr>
              <w:t xml:space="preserve">y understanding of Self-Determination was also </w:t>
            </w:r>
            <w:r>
              <w:rPr>
                <w:sz w:val="22"/>
                <w:lang w:val="en-US" w:eastAsia="en-GB"/>
              </w:rPr>
              <w:t xml:space="preserve">improved from making choices, as shown in figure 2 to gaining insight on self-determination theory by </w:t>
            </w:r>
            <w:r>
              <w:rPr>
                <w:sz w:val="22"/>
                <w:lang w:eastAsia="en-GB"/>
              </w:rPr>
              <w:t xml:space="preserve">Deci and Ryan </w:t>
            </w:r>
            <w:r>
              <w:rPr>
                <w:sz w:val="22"/>
                <w:lang w:val="en-US" w:eastAsia="en-GB"/>
              </w:rPr>
              <w:t>(</w:t>
            </w:r>
            <w:r>
              <w:rPr>
                <w:sz w:val="22"/>
                <w:lang w:eastAsia="en-GB"/>
              </w:rPr>
              <w:t xml:space="preserve">2000) </w:t>
            </w:r>
            <w:r>
              <w:rPr>
                <w:sz w:val="22"/>
                <w:lang w:val="en-US" w:eastAsia="en-GB"/>
              </w:rPr>
              <w:t xml:space="preserve">which demonstrated </w:t>
            </w:r>
            <w:r>
              <w:rPr>
                <w:sz w:val="22"/>
                <w:lang w:eastAsia="en-GB"/>
              </w:rPr>
              <w:t>the contribution of autonomy, competence, and relatedness to motivation.</w:t>
            </w:r>
          </w:p>
          <w:p w14:paraId="64C6331A" w14:textId="77777777" w:rsidR="00DF056F" w:rsidRDefault="004563C0">
            <w:pPr>
              <w:spacing w:line="360" w:lineRule="auto"/>
              <w:jc w:val="center"/>
              <w:rPr>
                <w:rFonts w:eastAsia="Times New Roman" w:cs="Arial"/>
                <w:color w:val="000000"/>
                <w:szCs w:val="24"/>
                <w:lang w:val="en-US" w:eastAsia="en-GB"/>
              </w:rPr>
            </w:pPr>
            <w:r>
              <w:rPr>
                <w:rFonts w:eastAsia="Times New Roman" w:cs="Arial"/>
                <w:noProof/>
                <w:color w:val="000000"/>
                <w:szCs w:val="24"/>
                <w:lang w:val="en-US"/>
              </w:rPr>
              <w:lastRenderedPageBreak/>
              <w:drawing>
                <wp:inline distT="0" distB="0" distL="114300" distR="114300" wp14:anchorId="06CDA8E2" wp14:editId="1AD492C3">
                  <wp:extent cx="2984500" cy="2112645"/>
                  <wp:effectExtent l="0" t="0" r="6350" b="1905"/>
                  <wp:docPr id="14" name="Picture 14" descr="IMG-20260302-WA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IMG-20260302-WA0000"/>
                          <pic:cNvPicPr>
                            <a:picLocks noChangeAspect="1"/>
                          </pic:cNvPicPr>
                        </pic:nvPicPr>
                        <pic:blipFill>
                          <a:blip r:embed="rId10"/>
                          <a:srcRect t="47978" b="24419"/>
                          <a:stretch>
                            <a:fillRect/>
                          </a:stretch>
                        </pic:blipFill>
                        <pic:spPr>
                          <a:xfrm>
                            <a:off x="0" y="0"/>
                            <a:ext cx="2984500" cy="2112645"/>
                          </a:xfrm>
                          <a:prstGeom prst="rect">
                            <a:avLst/>
                          </a:prstGeom>
                        </pic:spPr>
                      </pic:pic>
                    </a:graphicData>
                  </a:graphic>
                </wp:inline>
              </w:drawing>
            </w:r>
          </w:p>
          <w:p w14:paraId="22A353A0" w14:textId="77777777" w:rsidR="00DF056F" w:rsidRDefault="004563C0">
            <w:pPr>
              <w:spacing w:line="360" w:lineRule="auto"/>
              <w:jc w:val="center"/>
              <w:rPr>
                <w:rFonts w:eastAsia="Times New Roman" w:cs="Arial"/>
                <w:i/>
                <w:iCs/>
                <w:color w:val="000000"/>
                <w:sz w:val="21"/>
                <w:szCs w:val="21"/>
                <w:lang w:val="en-US" w:eastAsia="en-GB"/>
              </w:rPr>
            </w:pPr>
            <w:r>
              <w:rPr>
                <w:rFonts w:eastAsia="Times New Roman" w:cs="Arial"/>
                <w:i/>
                <w:iCs/>
                <w:color w:val="000000"/>
                <w:sz w:val="21"/>
                <w:szCs w:val="21"/>
                <w:lang w:val="en-US" w:eastAsia="en-GB"/>
              </w:rPr>
              <w:t>Figure 02: Self-determination</w:t>
            </w:r>
          </w:p>
          <w:p w14:paraId="6ECBD92B" w14:textId="77777777" w:rsidR="00DF056F" w:rsidRDefault="004563C0">
            <w:pPr>
              <w:spacing w:line="360" w:lineRule="auto"/>
              <w:jc w:val="both"/>
              <w:rPr>
                <w:sz w:val="22"/>
                <w:lang w:eastAsia="en-GB"/>
              </w:rPr>
            </w:pPr>
            <w:r>
              <w:rPr>
                <w:sz w:val="22"/>
                <w:lang w:val="en-US" w:eastAsia="en-GB"/>
              </w:rPr>
              <w:t xml:space="preserve">Expanding on the concept of autonomy, given in figure 3, </w:t>
            </w:r>
            <w:r>
              <w:rPr>
                <w:sz w:val="22"/>
                <w:lang w:eastAsia="en-GB"/>
              </w:rPr>
              <w:t xml:space="preserve">I realised that I am inspired by intrinsic values and not extrinsic rewards to want to work in an area that benefits children and families. This </w:t>
            </w:r>
            <w:proofErr w:type="spellStart"/>
            <w:r>
              <w:rPr>
                <w:sz w:val="22"/>
                <w:lang w:eastAsia="en-GB"/>
              </w:rPr>
              <w:t>reali</w:t>
            </w:r>
            <w:proofErr w:type="spellEnd"/>
            <w:r>
              <w:rPr>
                <w:sz w:val="22"/>
                <w:lang w:val="en-US" w:eastAsia="en-GB"/>
              </w:rPr>
              <w:t>s</w:t>
            </w:r>
            <w:proofErr w:type="spellStart"/>
            <w:r>
              <w:rPr>
                <w:sz w:val="22"/>
                <w:lang w:eastAsia="en-GB"/>
              </w:rPr>
              <w:t>ation</w:t>
            </w:r>
            <w:proofErr w:type="spellEnd"/>
            <w:r>
              <w:rPr>
                <w:sz w:val="22"/>
                <w:lang w:eastAsia="en-GB"/>
              </w:rPr>
              <w:t xml:space="preserve"> reinforced in me that it is important to match my personal brand to my long-term professional objectives.</w:t>
            </w:r>
            <w:r>
              <w:rPr>
                <w:sz w:val="22"/>
                <w:lang w:val="en-US" w:eastAsia="en-GB"/>
              </w:rPr>
              <w:t xml:space="preserve"> </w:t>
            </w:r>
            <w:r>
              <w:rPr>
                <w:sz w:val="22"/>
                <w:lang w:eastAsia="en-GB"/>
              </w:rPr>
              <w:t>Many other important areas were also found in determining strengths and transferable skills. I assessed my adaptability, team work, and resilience by conducting skills audits. I also understood that the soft skills are most sought after in health and social care facilities, where cooperation and the ability to feel are crucial. This is what assisted me in explaining my value proposition in a more fundamental and deliberate manner.</w:t>
            </w:r>
            <w:r>
              <w:rPr>
                <w:sz w:val="22"/>
                <w:lang w:val="en-US" w:eastAsia="en-GB"/>
              </w:rPr>
              <w:t xml:space="preserve"> </w:t>
            </w:r>
            <w:r>
              <w:rPr>
                <w:sz w:val="22"/>
                <w:lang w:eastAsia="en-GB"/>
              </w:rPr>
              <w:t>In general, Unit 1 improved my perception of employability.</w:t>
            </w:r>
          </w:p>
          <w:p w14:paraId="1D5741BB" w14:textId="77777777" w:rsidR="00DF056F" w:rsidRDefault="004563C0">
            <w:pPr>
              <w:spacing w:line="360" w:lineRule="auto"/>
              <w:jc w:val="center"/>
              <w:rPr>
                <w:rFonts w:eastAsia="Times New Roman" w:cs="Arial"/>
                <w:color w:val="000000"/>
                <w:szCs w:val="24"/>
                <w:lang w:val="en-US" w:eastAsia="en-GB"/>
              </w:rPr>
            </w:pPr>
            <w:r>
              <w:rPr>
                <w:rFonts w:eastAsia="Times New Roman" w:cs="Arial"/>
                <w:noProof/>
                <w:color w:val="000000"/>
                <w:szCs w:val="24"/>
                <w:lang w:val="en-US"/>
              </w:rPr>
              <w:drawing>
                <wp:inline distT="0" distB="0" distL="114300" distR="114300" wp14:anchorId="680F0034" wp14:editId="2287C207">
                  <wp:extent cx="3187065" cy="2023745"/>
                  <wp:effectExtent l="0" t="0" r="13335" b="14605"/>
                  <wp:docPr id="13" name="Picture 13" descr="IMG-20260302-WA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IMG-20260302-WA0001"/>
                          <pic:cNvPicPr>
                            <a:picLocks noChangeAspect="1"/>
                          </pic:cNvPicPr>
                        </pic:nvPicPr>
                        <pic:blipFill>
                          <a:blip r:embed="rId11"/>
                          <a:srcRect t="54332" b="20905"/>
                          <a:stretch>
                            <a:fillRect/>
                          </a:stretch>
                        </pic:blipFill>
                        <pic:spPr>
                          <a:xfrm>
                            <a:off x="0" y="0"/>
                            <a:ext cx="3187065" cy="2023745"/>
                          </a:xfrm>
                          <a:prstGeom prst="rect">
                            <a:avLst/>
                          </a:prstGeom>
                        </pic:spPr>
                      </pic:pic>
                    </a:graphicData>
                  </a:graphic>
                </wp:inline>
              </w:drawing>
            </w:r>
          </w:p>
          <w:p w14:paraId="37816732" w14:textId="77777777" w:rsidR="00DF056F" w:rsidRDefault="004563C0">
            <w:pPr>
              <w:spacing w:line="360" w:lineRule="auto"/>
              <w:jc w:val="center"/>
              <w:rPr>
                <w:sz w:val="22"/>
                <w:lang w:eastAsia="en-GB"/>
              </w:rPr>
            </w:pPr>
            <w:r>
              <w:rPr>
                <w:rFonts w:eastAsia="Times New Roman" w:cs="Arial"/>
                <w:i/>
                <w:iCs/>
                <w:color w:val="000000"/>
                <w:sz w:val="21"/>
                <w:szCs w:val="21"/>
                <w:lang w:val="en-US" w:eastAsia="en-GB"/>
              </w:rPr>
              <w:t>Figure 03: Autonomy</w:t>
            </w:r>
          </w:p>
        </w:tc>
      </w:tr>
      <w:tr w:rsidR="00DF056F" w14:paraId="527B0A27" w14:textId="77777777">
        <w:tc>
          <w:tcPr>
            <w:tcW w:w="1789" w:type="dxa"/>
          </w:tcPr>
          <w:p w14:paraId="6A2091D2" w14:textId="77777777" w:rsidR="00DF056F" w:rsidRDefault="004563C0">
            <w:pPr>
              <w:pStyle w:val="NoSpacing"/>
              <w:spacing w:line="360" w:lineRule="auto"/>
              <w:rPr>
                <w:rFonts w:ascii="Arial" w:hAnsi="Arial" w:cs="Arial"/>
                <w:b/>
                <w:bCs/>
                <w:sz w:val="22"/>
                <w:lang w:eastAsia="en-GB"/>
              </w:rPr>
            </w:pPr>
            <w:r>
              <w:rPr>
                <w:rFonts w:ascii="Arial" w:hAnsi="Arial" w:cs="Arial"/>
                <w:b/>
                <w:bCs/>
                <w:sz w:val="22"/>
                <w:lang w:val="en-US" w:eastAsia="en-GB"/>
              </w:rPr>
              <w:lastRenderedPageBreak/>
              <w:t xml:space="preserve">Unit 2: </w:t>
            </w:r>
            <w:r>
              <w:rPr>
                <w:rFonts w:ascii="Arial" w:hAnsi="Arial" w:cs="Arial"/>
                <w:b/>
                <w:bCs/>
                <w:sz w:val="22"/>
                <w:lang w:eastAsia="en-GB"/>
              </w:rPr>
              <w:t xml:space="preserve">It’s a Small World </w:t>
            </w:r>
          </w:p>
          <w:p w14:paraId="7E872124" w14:textId="77777777" w:rsidR="00DF056F" w:rsidRDefault="00DF056F">
            <w:pPr>
              <w:spacing w:before="100" w:beforeAutospacing="1" w:after="100" w:afterAutospacing="1" w:line="360" w:lineRule="auto"/>
              <w:outlineLvl w:val="1"/>
              <w:rPr>
                <w:rFonts w:eastAsia="Times New Roman" w:cs="Times New Roman"/>
                <w:b/>
                <w:bCs/>
                <w:color w:val="000000"/>
                <w:sz w:val="22"/>
                <w:lang w:eastAsia="en-GB"/>
              </w:rPr>
            </w:pPr>
          </w:p>
        </w:tc>
        <w:tc>
          <w:tcPr>
            <w:tcW w:w="7453" w:type="dxa"/>
          </w:tcPr>
          <w:p w14:paraId="210F6BF3" w14:textId="77777777" w:rsidR="00DF056F" w:rsidRDefault="004563C0">
            <w:pPr>
              <w:spacing w:after="0" w:line="360" w:lineRule="auto"/>
              <w:jc w:val="both"/>
              <w:rPr>
                <w:rFonts w:eastAsia="Times New Roman"/>
                <w:sz w:val="22"/>
                <w:lang w:eastAsia="en-GB"/>
              </w:rPr>
            </w:pPr>
            <w:r>
              <w:rPr>
                <w:rFonts w:eastAsia="Times New Roman"/>
                <w:sz w:val="22"/>
                <w:lang w:eastAsia="en-GB"/>
              </w:rPr>
              <w:lastRenderedPageBreak/>
              <w:t>In Unit 2, I learned to make global health and social care connections to cultural competence, diversity, boundary</w:t>
            </w:r>
            <w:r>
              <w:rPr>
                <w:rFonts w:eastAsia="Times New Roman"/>
                <w:sz w:val="22"/>
                <w:lang w:val="en-US" w:eastAsia="en-GB"/>
              </w:rPr>
              <w:t>-</w:t>
            </w:r>
            <w:r>
              <w:rPr>
                <w:rFonts w:eastAsia="Times New Roman"/>
                <w:sz w:val="22"/>
                <w:lang w:eastAsia="en-GB"/>
              </w:rPr>
              <w:t xml:space="preserve">less career, and the gig economy. This unit in general broadened my knowledge on how globalisation </w:t>
            </w:r>
            <w:r>
              <w:rPr>
                <w:rFonts w:eastAsia="Times New Roman"/>
                <w:sz w:val="22"/>
                <w:lang w:eastAsia="en-GB"/>
              </w:rPr>
              <w:lastRenderedPageBreak/>
              <w:t xml:space="preserve">influences professional practice. It helped me understanding the interlinked contextual factors that impact health and care, such as the influence of digital communication, global health challenges, migration and economic shift which influence </w:t>
            </w:r>
            <w:r>
              <w:rPr>
                <w:rFonts w:eastAsia="Times New Roman"/>
                <w:sz w:val="22"/>
                <w:lang w:val="en-US" w:eastAsia="en-GB"/>
              </w:rPr>
              <w:t>care</w:t>
            </w:r>
            <w:r>
              <w:rPr>
                <w:rFonts w:eastAsia="Times New Roman"/>
                <w:sz w:val="22"/>
                <w:lang w:eastAsia="en-GB"/>
              </w:rPr>
              <w:t xml:space="preserve"> practices</w:t>
            </w:r>
            <w:r>
              <w:rPr>
                <w:rFonts w:eastAsia="Times New Roman"/>
                <w:sz w:val="22"/>
                <w:lang w:val="en-US" w:eastAsia="en-GB"/>
              </w:rPr>
              <w:t xml:space="preserve"> (</w:t>
            </w:r>
            <w:proofErr w:type="spellStart"/>
            <w:r>
              <w:rPr>
                <w:rFonts w:eastAsia="Times New Roman"/>
                <w:sz w:val="22"/>
                <w:lang w:val="en-US" w:eastAsia="en-GB"/>
              </w:rPr>
              <w:t>Hossin</w:t>
            </w:r>
            <w:proofErr w:type="spellEnd"/>
            <w:r>
              <w:rPr>
                <w:rFonts w:eastAsia="Times New Roman"/>
                <w:sz w:val="22"/>
                <w:lang w:val="en-US" w:eastAsia="en-GB"/>
              </w:rPr>
              <w:t>, 2020)</w:t>
            </w:r>
            <w:r>
              <w:rPr>
                <w:rFonts w:eastAsia="Times New Roman"/>
                <w:sz w:val="22"/>
                <w:lang w:eastAsia="en-GB"/>
              </w:rPr>
              <w:t xml:space="preserve">. It improved my understanding that healthcare system does not operate </w:t>
            </w:r>
            <w:r>
              <w:rPr>
                <w:rFonts w:eastAsia="Times New Roman"/>
                <w:sz w:val="22"/>
                <w:lang w:val="en-US" w:eastAsia="en-GB"/>
              </w:rPr>
              <w:t xml:space="preserve">in </w:t>
            </w:r>
            <w:proofErr w:type="spellStart"/>
            <w:r>
              <w:rPr>
                <w:rFonts w:eastAsia="Times New Roman"/>
                <w:sz w:val="22"/>
                <w:lang w:eastAsia="en-GB"/>
              </w:rPr>
              <w:t>isolat</w:t>
            </w:r>
            <w:proofErr w:type="spellEnd"/>
            <w:r>
              <w:rPr>
                <w:rFonts w:eastAsia="Times New Roman"/>
                <w:sz w:val="22"/>
                <w:lang w:val="en-US" w:eastAsia="en-GB"/>
              </w:rPr>
              <w:t>ion</w:t>
            </w:r>
            <w:r>
              <w:rPr>
                <w:rFonts w:eastAsia="Times New Roman"/>
                <w:sz w:val="22"/>
                <w:lang w:eastAsia="en-GB"/>
              </w:rPr>
              <w:t>. Thus,</w:t>
            </w:r>
            <w:r>
              <w:rPr>
                <w:rFonts w:eastAsia="Times New Roman"/>
                <w:sz w:val="22"/>
                <w:lang w:val="en-US" w:eastAsia="en-GB"/>
              </w:rPr>
              <w:t xml:space="preserve"> while </w:t>
            </w:r>
            <w:r>
              <w:rPr>
                <w:rFonts w:eastAsia="Times New Roman"/>
                <w:sz w:val="22"/>
                <w:lang w:eastAsia="en-GB"/>
              </w:rPr>
              <w:t>working with children and their families</w:t>
            </w:r>
            <w:r>
              <w:rPr>
                <w:rFonts w:eastAsia="Times New Roman"/>
                <w:sz w:val="22"/>
                <w:lang w:val="en-US" w:eastAsia="en-GB"/>
              </w:rPr>
              <w:t>, I will focus on</w:t>
            </w:r>
            <w:r>
              <w:rPr>
                <w:rFonts w:eastAsia="Times New Roman"/>
                <w:sz w:val="22"/>
                <w:lang w:eastAsia="en-GB"/>
              </w:rPr>
              <w:t xml:space="preserve"> different cultural backgrounds and social determinants of health</w:t>
            </w:r>
            <w:r>
              <w:rPr>
                <w:rFonts w:eastAsia="Times New Roman"/>
                <w:sz w:val="22"/>
                <w:lang w:val="en-US" w:eastAsia="en-GB"/>
              </w:rPr>
              <w:t xml:space="preserve">. This learning will not only help in </w:t>
            </w:r>
            <w:proofErr w:type="spellStart"/>
            <w:r>
              <w:rPr>
                <w:rFonts w:eastAsia="Times New Roman"/>
                <w:sz w:val="22"/>
                <w:lang w:eastAsia="en-GB"/>
              </w:rPr>
              <w:t>appreciat</w:t>
            </w:r>
            <w:r>
              <w:rPr>
                <w:rFonts w:eastAsia="Times New Roman"/>
                <w:sz w:val="22"/>
                <w:lang w:val="en-US" w:eastAsia="en-GB"/>
              </w:rPr>
              <w:t>ing</w:t>
            </w:r>
            <w:proofErr w:type="spellEnd"/>
            <w:r>
              <w:rPr>
                <w:rFonts w:eastAsia="Times New Roman"/>
                <w:sz w:val="22"/>
                <w:lang w:eastAsia="en-GB"/>
              </w:rPr>
              <w:t xml:space="preserve"> cultural competence</w:t>
            </w:r>
            <w:r>
              <w:rPr>
                <w:rFonts w:eastAsia="Times New Roman"/>
                <w:sz w:val="22"/>
                <w:lang w:val="en-US" w:eastAsia="en-GB"/>
              </w:rPr>
              <w:t xml:space="preserve"> but also </w:t>
            </w:r>
            <w:proofErr w:type="spellStart"/>
            <w:r>
              <w:rPr>
                <w:rFonts w:eastAsia="Times New Roman"/>
                <w:sz w:val="22"/>
                <w:lang w:eastAsia="en-GB"/>
              </w:rPr>
              <w:t>respec</w:t>
            </w:r>
            <w:proofErr w:type="spellEnd"/>
            <w:r>
              <w:rPr>
                <w:rFonts w:eastAsia="Times New Roman"/>
                <w:sz w:val="22"/>
                <w:lang w:val="en-US" w:eastAsia="en-GB"/>
              </w:rPr>
              <w:t>ting</w:t>
            </w:r>
            <w:r>
              <w:rPr>
                <w:rFonts w:eastAsia="Times New Roman"/>
                <w:sz w:val="22"/>
                <w:lang w:eastAsia="en-GB"/>
              </w:rPr>
              <w:t xml:space="preserve"> differences in culture </w:t>
            </w:r>
            <w:r>
              <w:rPr>
                <w:rFonts w:eastAsia="Times New Roman"/>
                <w:sz w:val="22"/>
                <w:lang w:val="en-US" w:eastAsia="en-GB"/>
              </w:rPr>
              <w:t>and respective care needs, which improves trust and satisfaction of service-users. T</w:t>
            </w:r>
            <w:r>
              <w:rPr>
                <w:rFonts w:eastAsia="Times New Roman"/>
                <w:sz w:val="22"/>
                <w:lang w:eastAsia="en-GB"/>
              </w:rPr>
              <w:t xml:space="preserve">his learning </w:t>
            </w:r>
            <w:r>
              <w:rPr>
                <w:rFonts w:eastAsia="Times New Roman"/>
                <w:sz w:val="22"/>
                <w:lang w:val="en-US" w:eastAsia="en-GB"/>
              </w:rPr>
              <w:t>corresponds to</w:t>
            </w:r>
            <w:r>
              <w:rPr>
                <w:rFonts w:eastAsia="Times New Roman"/>
                <w:sz w:val="22"/>
                <w:lang w:eastAsia="en-GB"/>
              </w:rPr>
              <w:t xml:space="preserve"> Cultural Dimensions Theory </w:t>
            </w:r>
            <w:r>
              <w:rPr>
                <w:rFonts w:eastAsia="Times New Roman"/>
                <w:sz w:val="22"/>
                <w:lang w:val="en-US" w:eastAsia="en-GB"/>
              </w:rPr>
              <w:t>cited by Hofstede and Bond</w:t>
            </w:r>
            <w:r>
              <w:rPr>
                <w:rFonts w:eastAsia="Times New Roman"/>
                <w:sz w:val="22"/>
                <w:lang w:eastAsia="en-GB"/>
              </w:rPr>
              <w:t xml:space="preserve"> </w:t>
            </w:r>
            <w:r>
              <w:rPr>
                <w:rFonts w:eastAsia="Times New Roman"/>
                <w:sz w:val="22"/>
                <w:lang w:val="en-US" w:eastAsia="en-GB"/>
              </w:rPr>
              <w:t>(</w:t>
            </w:r>
            <w:r>
              <w:rPr>
                <w:rFonts w:eastAsia="Times New Roman"/>
                <w:sz w:val="22"/>
                <w:lang w:eastAsia="en-GB"/>
              </w:rPr>
              <w:t>198</w:t>
            </w:r>
            <w:r>
              <w:rPr>
                <w:rFonts w:eastAsia="Times New Roman"/>
                <w:sz w:val="22"/>
                <w:lang w:val="en-US" w:eastAsia="en-GB"/>
              </w:rPr>
              <w:t>4</w:t>
            </w:r>
            <w:r>
              <w:rPr>
                <w:rFonts w:eastAsia="Times New Roman"/>
                <w:sz w:val="22"/>
                <w:lang w:eastAsia="en-GB"/>
              </w:rPr>
              <w:t>) that describes the role of cultural difference in shaping the behaviour, power distance, and communication pattern. I realised that cultural assumptions in professional contexts can also lead to a misunderstanding. I can become more culturally aware hence provide more inclusive and person-centre care.</w:t>
            </w:r>
            <w:r>
              <w:rPr>
                <w:rFonts w:eastAsia="Times New Roman"/>
                <w:sz w:val="22"/>
                <w:lang w:val="en-US" w:eastAsia="en-GB"/>
              </w:rPr>
              <w:t xml:space="preserve"> Moreover, m</w:t>
            </w:r>
            <w:r>
              <w:rPr>
                <w:rFonts w:eastAsia="Times New Roman"/>
                <w:sz w:val="22"/>
                <w:lang w:eastAsia="en-GB"/>
              </w:rPr>
              <w:t>y thought process also changed due to the idea of the boundary</w:t>
            </w:r>
            <w:r>
              <w:rPr>
                <w:rFonts w:eastAsia="Times New Roman"/>
                <w:sz w:val="22"/>
                <w:lang w:val="en-US" w:eastAsia="en-GB"/>
              </w:rPr>
              <w:t>-</w:t>
            </w:r>
            <w:r>
              <w:rPr>
                <w:rFonts w:eastAsia="Times New Roman"/>
                <w:sz w:val="22"/>
                <w:lang w:eastAsia="en-GB"/>
              </w:rPr>
              <w:t>less career. I realised that the contemporary working life, especially in health and social care, may cut across several organisations and sectors. There is the need to foster transferable talents as opposed to following a single institutional route by the professionals. This related to the debates concerning the gig economy, where flexible jobs provide freedom at the cost of stability. I critically thought about my ability to be a professional in evolving employment environments</w:t>
            </w:r>
            <w:r>
              <w:rPr>
                <w:rFonts w:eastAsia="Times New Roman"/>
                <w:sz w:val="22"/>
                <w:lang w:val="en-US" w:eastAsia="en-GB"/>
              </w:rPr>
              <w:t>, for which the importance of soft skills and working with others are signified in figure 4</w:t>
            </w:r>
            <w:r>
              <w:rPr>
                <w:rFonts w:eastAsia="Times New Roman"/>
                <w:sz w:val="22"/>
                <w:lang w:eastAsia="en-GB"/>
              </w:rPr>
              <w:t>.</w:t>
            </w:r>
          </w:p>
          <w:p w14:paraId="67AD0525" w14:textId="77777777" w:rsidR="00DF056F" w:rsidRDefault="004563C0">
            <w:pPr>
              <w:spacing w:after="0" w:line="360" w:lineRule="auto"/>
              <w:jc w:val="center"/>
              <w:rPr>
                <w:rFonts w:eastAsia="Times New Roman" w:cs="Arial"/>
                <w:color w:val="000000"/>
                <w:szCs w:val="24"/>
                <w:lang w:val="en-US" w:eastAsia="en-GB"/>
              </w:rPr>
            </w:pPr>
            <w:r>
              <w:rPr>
                <w:rFonts w:eastAsia="Times New Roman" w:cs="Arial"/>
                <w:noProof/>
                <w:color w:val="000000"/>
                <w:szCs w:val="24"/>
                <w:lang w:val="en-US"/>
              </w:rPr>
              <w:drawing>
                <wp:inline distT="0" distB="0" distL="114300" distR="114300" wp14:anchorId="4D2B590A" wp14:editId="1303ADF3">
                  <wp:extent cx="2663825" cy="2842895"/>
                  <wp:effectExtent l="0" t="0" r="3175" b="14605"/>
                  <wp:docPr id="5" name="Picture 5" descr="IMG-20260302-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G-20260302-WA0009"/>
                          <pic:cNvPicPr>
                            <a:picLocks noChangeAspect="1"/>
                          </pic:cNvPicPr>
                        </pic:nvPicPr>
                        <pic:blipFill>
                          <a:blip r:embed="rId12"/>
                          <a:srcRect t="51004" b="7380"/>
                          <a:stretch>
                            <a:fillRect/>
                          </a:stretch>
                        </pic:blipFill>
                        <pic:spPr>
                          <a:xfrm>
                            <a:off x="0" y="0"/>
                            <a:ext cx="2663825" cy="2842895"/>
                          </a:xfrm>
                          <a:prstGeom prst="rect">
                            <a:avLst/>
                          </a:prstGeom>
                        </pic:spPr>
                      </pic:pic>
                    </a:graphicData>
                  </a:graphic>
                </wp:inline>
              </w:drawing>
            </w:r>
          </w:p>
          <w:p w14:paraId="73AB3B4C" w14:textId="77777777" w:rsidR="00DF056F" w:rsidRDefault="004563C0">
            <w:pPr>
              <w:spacing w:after="0" w:line="360" w:lineRule="auto"/>
              <w:jc w:val="center"/>
              <w:rPr>
                <w:rFonts w:eastAsia="Times New Roman" w:cs="Arial"/>
                <w:i/>
                <w:iCs/>
                <w:color w:val="000000"/>
                <w:sz w:val="21"/>
                <w:szCs w:val="21"/>
                <w:lang w:val="en-US" w:eastAsia="en-GB"/>
              </w:rPr>
            </w:pPr>
            <w:r>
              <w:rPr>
                <w:rFonts w:eastAsia="Times New Roman" w:cs="Arial"/>
                <w:i/>
                <w:iCs/>
                <w:color w:val="000000"/>
                <w:sz w:val="21"/>
                <w:szCs w:val="21"/>
                <w:lang w:val="en-US" w:eastAsia="en-GB"/>
              </w:rPr>
              <w:lastRenderedPageBreak/>
              <w:t>Figure 04: Concept of Soft Skills in the contemporary world</w:t>
            </w:r>
          </w:p>
          <w:p w14:paraId="0B0ED12B" w14:textId="77777777" w:rsidR="00DF056F" w:rsidRDefault="004563C0">
            <w:pPr>
              <w:spacing w:after="0" w:line="360" w:lineRule="auto"/>
              <w:jc w:val="both"/>
              <w:rPr>
                <w:rFonts w:eastAsia="Times New Roman"/>
                <w:sz w:val="22"/>
                <w:lang w:eastAsia="en-GB"/>
              </w:rPr>
            </w:pPr>
            <w:r>
              <w:rPr>
                <w:rFonts w:eastAsia="Times New Roman"/>
                <w:sz w:val="22"/>
                <w:lang w:val="en-US" w:eastAsia="en-GB"/>
              </w:rPr>
              <w:t xml:space="preserve">Similarly, the forum discussion also demonstrated the significance of soft skills like communication, teamwork and collaboration. I </w:t>
            </w:r>
            <w:proofErr w:type="spellStart"/>
            <w:r>
              <w:rPr>
                <w:rFonts w:eastAsia="Times New Roman"/>
                <w:sz w:val="22"/>
                <w:lang w:val="en-US" w:eastAsia="en-GB"/>
              </w:rPr>
              <w:t>recognised</w:t>
            </w:r>
            <w:proofErr w:type="spellEnd"/>
            <w:r>
              <w:rPr>
                <w:rFonts w:eastAsia="Times New Roman"/>
                <w:sz w:val="22"/>
                <w:lang w:val="en-US" w:eastAsia="en-GB"/>
              </w:rPr>
              <w:t xml:space="preserve"> the importance of these skills in practice, particularly, when a case required multidisciplinary teams’ engagement. In such setting, it is important that the care analysis is communication to demonstrate teamwork and avoid conflicts. </w:t>
            </w:r>
            <w:r>
              <w:rPr>
                <w:rFonts w:eastAsia="Times New Roman"/>
                <w:sz w:val="22"/>
                <w:lang w:eastAsia="en-GB"/>
              </w:rPr>
              <w:t>I developed my</w:t>
            </w:r>
            <w:r>
              <w:rPr>
                <w:rFonts w:eastAsia="Times New Roman"/>
                <w:sz w:val="22"/>
                <w:lang w:val="en-US" w:eastAsia="en-GB"/>
              </w:rPr>
              <w:t xml:space="preserve"> </w:t>
            </w:r>
            <w:r>
              <w:rPr>
                <w:rFonts w:eastAsia="Times New Roman"/>
                <w:sz w:val="22"/>
                <w:lang w:eastAsia="en-GB"/>
              </w:rPr>
              <w:t xml:space="preserve">consciousness and analytical skills through the use of forums and case study group work. </w:t>
            </w:r>
            <w:r>
              <w:rPr>
                <w:rFonts w:eastAsia="Times New Roman"/>
                <w:sz w:val="22"/>
                <w:lang w:val="en-US" w:eastAsia="en-GB"/>
              </w:rPr>
              <w:t xml:space="preserve">Altogether, </w:t>
            </w:r>
            <w:r>
              <w:rPr>
                <w:rFonts w:eastAsia="Times New Roman"/>
                <w:sz w:val="22"/>
                <w:lang w:eastAsia="en-GB"/>
              </w:rPr>
              <w:t xml:space="preserve">Unit </w:t>
            </w:r>
            <w:proofErr w:type="gramStart"/>
            <w:r>
              <w:rPr>
                <w:rFonts w:eastAsia="Times New Roman"/>
                <w:sz w:val="22"/>
                <w:lang w:eastAsia="en-GB"/>
              </w:rPr>
              <w:t>2  changed</w:t>
            </w:r>
            <w:proofErr w:type="gramEnd"/>
            <w:r>
              <w:rPr>
                <w:rFonts w:eastAsia="Times New Roman"/>
                <w:sz w:val="22"/>
                <w:lang w:eastAsia="en-GB"/>
              </w:rPr>
              <w:t xml:space="preserve"> my mindset towards having a </w:t>
            </w:r>
            <w:r>
              <w:rPr>
                <w:rFonts w:eastAsia="Times New Roman"/>
                <w:sz w:val="22"/>
                <w:lang w:val="en-US" w:eastAsia="en-GB"/>
              </w:rPr>
              <w:t xml:space="preserve">contextual </w:t>
            </w:r>
            <w:r>
              <w:rPr>
                <w:rFonts w:eastAsia="Times New Roman"/>
                <w:sz w:val="22"/>
                <w:lang w:eastAsia="en-GB"/>
              </w:rPr>
              <w:t>approach to health and social care practice towards being globally responsible.</w:t>
            </w:r>
          </w:p>
        </w:tc>
      </w:tr>
      <w:tr w:rsidR="00DF056F" w14:paraId="6E349980" w14:textId="77777777">
        <w:tc>
          <w:tcPr>
            <w:tcW w:w="1789" w:type="dxa"/>
          </w:tcPr>
          <w:p w14:paraId="55416876" w14:textId="77777777" w:rsidR="00DF056F" w:rsidRDefault="004563C0">
            <w:pPr>
              <w:pStyle w:val="NoSpacing"/>
              <w:spacing w:line="360" w:lineRule="auto"/>
              <w:rPr>
                <w:rFonts w:ascii="Arial" w:hAnsi="Arial" w:cs="Arial"/>
                <w:b/>
                <w:bCs/>
                <w:sz w:val="22"/>
                <w:lang w:eastAsia="en-GB"/>
              </w:rPr>
            </w:pPr>
            <w:r>
              <w:rPr>
                <w:rFonts w:ascii="Arial" w:hAnsi="Arial" w:cs="Arial"/>
                <w:b/>
                <w:bCs/>
                <w:sz w:val="22"/>
                <w:lang w:val="en-US" w:eastAsia="en-GB"/>
              </w:rPr>
              <w:lastRenderedPageBreak/>
              <w:t>Unit 3: O</w:t>
            </w:r>
            <w:proofErr w:type="spellStart"/>
            <w:r>
              <w:rPr>
                <w:rFonts w:ascii="Arial" w:hAnsi="Arial" w:cs="Arial"/>
                <w:b/>
                <w:bCs/>
                <w:sz w:val="22"/>
                <w:lang w:eastAsia="en-GB"/>
              </w:rPr>
              <w:t>pportunity</w:t>
            </w:r>
            <w:proofErr w:type="spellEnd"/>
            <w:r>
              <w:rPr>
                <w:rFonts w:ascii="Arial" w:hAnsi="Arial" w:cs="Arial"/>
                <w:b/>
                <w:bCs/>
                <w:sz w:val="22"/>
                <w:lang w:eastAsia="en-GB"/>
              </w:rPr>
              <w:t xml:space="preserve"> Knocks </w:t>
            </w:r>
          </w:p>
          <w:p w14:paraId="49515F18" w14:textId="77777777" w:rsidR="00DF056F" w:rsidRDefault="00DF056F">
            <w:pPr>
              <w:spacing w:before="100" w:beforeAutospacing="1" w:after="100" w:afterAutospacing="1" w:line="360" w:lineRule="auto"/>
              <w:outlineLvl w:val="1"/>
              <w:rPr>
                <w:rFonts w:eastAsia="Times New Roman" w:cs="Times New Roman"/>
                <w:b/>
                <w:bCs/>
                <w:color w:val="000000"/>
                <w:sz w:val="22"/>
                <w:lang w:eastAsia="en-GB"/>
              </w:rPr>
            </w:pPr>
          </w:p>
        </w:tc>
        <w:tc>
          <w:tcPr>
            <w:tcW w:w="7453" w:type="dxa"/>
          </w:tcPr>
          <w:p w14:paraId="51B9E898" w14:textId="77777777" w:rsidR="00DF056F" w:rsidRDefault="004563C0">
            <w:pPr>
              <w:spacing w:after="0" w:line="360" w:lineRule="auto"/>
              <w:jc w:val="both"/>
              <w:rPr>
                <w:rFonts w:eastAsia="Times New Roman"/>
                <w:sz w:val="22"/>
                <w:lang w:val="en-US" w:eastAsia="en-GB"/>
              </w:rPr>
            </w:pPr>
            <w:r>
              <w:rPr>
                <w:rFonts w:eastAsia="Times New Roman"/>
                <w:sz w:val="22"/>
                <w:lang w:eastAsia="en-GB"/>
              </w:rPr>
              <w:t>Unit 3 enabled the identification, appraisal, and exploitation of opportunities in a strategic way towards my personal and professional growth. Connecting with people, identifying opportunities, self-awareness, emotional intelligence, and assessing the progress were the main issues. This unit changed my thinking towards waiting to get opportunities and act in order to create the opportunity.</w:t>
            </w:r>
            <w:r>
              <w:rPr>
                <w:rFonts w:eastAsia="Times New Roman"/>
                <w:sz w:val="22"/>
                <w:lang w:val="en-US" w:eastAsia="en-GB"/>
              </w:rPr>
              <w:t xml:space="preserve"> In particular, n</w:t>
            </w:r>
            <w:proofErr w:type="spellStart"/>
            <w:r>
              <w:rPr>
                <w:rFonts w:eastAsia="Times New Roman"/>
                <w:sz w:val="22"/>
                <w:lang w:eastAsia="en-GB"/>
              </w:rPr>
              <w:t>etworking</w:t>
            </w:r>
            <w:proofErr w:type="spellEnd"/>
            <w:r>
              <w:rPr>
                <w:rFonts w:eastAsia="Times New Roman"/>
                <w:sz w:val="22"/>
                <w:lang w:eastAsia="en-GB"/>
              </w:rPr>
              <w:t xml:space="preserve"> has become one of the key lessons I have learned.</w:t>
            </w:r>
            <w:r>
              <w:rPr>
                <w:rFonts w:eastAsia="Times New Roman"/>
                <w:sz w:val="22"/>
                <w:lang w:val="en-US" w:eastAsia="en-GB"/>
              </w:rPr>
              <w:t xml:space="preserve"> Week 3 forum was helpful to </w:t>
            </w:r>
            <w:proofErr w:type="spellStart"/>
            <w:r>
              <w:rPr>
                <w:rFonts w:eastAsia="Times New Roman"/>
                <w:sz w:val="22"/>
                <w:lang w:val="en-US" w:eastAsia="en-GB"/>
              </w:rPr>
              <w:t>conceptualise</w:t>
            </w:r>
            <w:proofErr w:type="spellEnd"/>
            <w:r>
              <w:rPr>
                <w:rFonts w:eastAsia="Times New Roman"/>
                <w:sz w:val="22"/>
                <w:lang w:val="en-US" w:eastAsia="en-GB"/>
              </w:rPr>
              <w:t xml:space="preserve"> networking, wherein I defined as the opportunity to talk and meet with people who can help grow, learn and find opportunities, as shown in figure 5.</w:t>
            </w:r>
          </w:p>
          <w:p w14:paraId="641CF6FE" w14:textId="77777777" w:rsidR="00DF056F" w:rsidRDefault="004563C0">
            <w:pPr>
              <w:spacing w:after="0" w:line="360" w:lineRule="auto"/>
              <w:jc w:val="center"/>
              <w:rPr>
                <w:rFonts w:eastAsia="Times New Roman"/>
                <w:sz w:val="22"/>
                <w:lang w:val="en-US" w:eastAsia="en-GB"/>
              </w:rPr>
            </w:pPr>
            <w:r>
              <w:rPr>
                <w:rFonts w:eastAsia="Times New Roman"/>
                <w:noProof/>
                <w:sz w:val="22"/>
                <w:lang w:val="en-US"/>
              </w:rPr>
              <w:drawing>
                <wp:inline distT="0" distB="0" distL="114300" distR="114300" wp14:anchorId="0F350A8A" wp14:editId="00E1F9A6">
                  <wp:extent cx="3015615" cy="2162810"/>
                  <wp:effectExtent l="0" t="0" r="13335" b="8890"/>
                  <wp:docPr id="16" name="Picture 16" descr="IMG-20260302-WA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IMG-20260302-WA0003"/>
                          <pic:cNvPicPr>
                            <a:picLocks noChangeAspect="1"/>
                          </pic:cNvPicPr>
                        </pic:nvPicPr>
                        <pic:blipFill>
                          <a:blip r:embed="rId13"/>
                          <a:srcRect t="49376" b="22655"/>
                          <a:stretch>
                            <a:fillRect/>
                          </a:stretch>
                        </pic:blipFill>
                        <pic:spPr>
                          <a:xfrm>
                            <a:off x="0" y="0"/>
                            <a:ext cx="3015615" cy="2162810"/>
                          </a:xfrm>
                          <a:prstGeom prst="rect">
                            <a:avLst/>
                          </a:prstGeom>
                        </pic:spPr>
                      </pic:pic>
                    </a:graphicData>
                  </a:graphic>
                </wp:inline>
              </w:drawing>
            </w:r>
          </w:p>
          <w:p w14:paraId="463C5E11" w14:textId="77777777" w:rsidR="00DF056F" w:rsidRDefault="004563C0">
            <w:pPr>
              <w:spacing w:after="0" w:line="360" w:lineRule="auto"/>
              <w:jc w:val="center"/>
              <w:rPr>
                <w:rFonts w:eastAsia="Times New Roman"/>
                <w:i/>
                <w:iCs/>
                <w:sz w:val="21"/>
                <w:szCs w:val="21"/>
                <w:lang w:val="en-US" w:eastAsia="en-GB"/>
              </w:rPr>
            </w:pPr>
            <w:r>
              <w:rPr>
                <w:rFonts w:eastAsia="Times New Roman"/>
                <w:i/>
                <w:iCs/>
                <w:sz w:val="21"/>
                <w:szCs w:val="21"/>
                <w:lang w:val="en-US" w:eastAsia="en-GB"/>
              </w:rPr>
              <w:t>Figure 05: Networking</w:t>
            </w:r>
          </w:p>
          <w:p w14:paraId="14F18C51" w14:textId="77777777" w:rsidR="00DF056F" w:rsidRDefault="004563C0">
            <w:pPr>
              <w:spacing w:after="0" w:line="360" w:lineRule="auto"/>
              <w:jc w:val="both"/>
              <w:rPr>
                <w:rFonts w:eastAsia="Times New Roman" w:cs="Arial"/>
                <w:color w:val="000000"/>
                <w:szCs w:val="24"/>
                <w:lang w:val="en-US" w:eastAsia="en-GB"/>
              </w:rPr>
            </w:pPr>
            <w:r>
              <w:rPr>
                <w:rFonts w:eastAsia="Times New Roman"/>
                <w:sz w:val="22"/>
                <w:lang w:eastAsia="en-GB"/>
              </w:rPr>
              <w:t>I also understood that networking does not entirely involve sharing of contacts but rather making valuable professional connections</w:t>
            </w:r>
            <w:r>
              <w:rPr>
                <w:rFonts w:eastAsia="Times New Roman"/>
                <w:sz w:val="22"/>
                <w:lang w:val="en-US" w:eastAsia="en-GB"/>
              </w:rPr>
              <w:t>, as signified through the exemplified case of Sheela in figure 6</w:t>
            </w:r>
            <w:r>
              <w:rPr>
                <w:rFonts w:eastAsia="Times New Roman"/>
                <w:sz w:val="22"/>
                <w:lang w:eastAsia="en-GB"/>
              </w:rPr>
              <w:t xml:space="preserve">. </w:t>
            </w:r>
            <w:r>
              <w:rPr>
                <w:rFonts w:eastAsia="Times New Roman"/>
                <w:sz w:val="22"/>
                <w:lang w:val="en-US" w:eastAsia="en-GB"/>
              </w:rPr>
              <w:t xml:space="preserve">In figure 6, the benefits of networking are explicit, which enabled Sheela to health visitors, midwives, general practitioners and breastfeeding support groups. As a result, she had a network of potential participants who can help in data </w:t>
            </w:r>
            <w:r>
              <w:rPr>
                <w:rFonts w:eastAsia="Times New Roman"/>
                <w:sz w:val="22"/>
                <w:lang w:val="en-US" w:eastAsia="en-GB"/>
              </w:rPr>
              <w:lastRenderedPageBreak/>
              <w:t xml:space="preserve">collection process, aimed at exploring the perception of women on breastfeeding. </w:t>
            </w:r>
            <w:r>
              <w:rPr>
                <w:rFonts w:eastAsia="Times New Roman"/>
                <w:sz w:val="22"/>
                <w:lang w:eastAsia="en-GB"/>
              </w:rPr>
              <w:t>I also considered that building relationships with professionals in SEN and in the field of public health would create opportunities in terms of volunteering and working. This is also in line with the social capital theory</w:t>
            </w:r>
            <w:r>
              <w:rPr>
                <w:rFonts w:eastAsia="Times New Roman"/>
                <w:sz w:val="22"/>
                <w:lang w:val="en-US" w:eastAsia="en-GB"/>
              </w:rPr>
              <w:t xml:space="preserve"> of </w:t>
            </w:r>
            <w:r>
              <w:rPr>
                <w:rFonts w:eastAsia="Times New Roman"/>
                <w:sz w:val="22"/>
                <w:lang w:eastAsia="en-GB"/>
              </w:rPr>
              <w:t>Bourdieu</w:t>
            </w:r>
            <w:r>
              <w:rPr>
                <w:rFonts w:eastAsia="Times New Roman"/>
                <w:sz w:val="22"/>
                <w:lang w:val="en-US" w:eastAsia="en-GB"/>
              </w:rPr>
              <w:t xml:space="preserve"> cited by </w:t>
            </w:r>
            <w:proofErr w:type="spellStart"/>
            <w:r>
              <w:rPr>
                <w:rFonts w:eastAsia="Times New Roman"/>
                <w:sz w:val="22"/>
                <w:lang w:val="en-US" w:eastAsia="en-GB"/>
              </w:rPr>
              <w:t>Portes</w:t>
            </w:r>
            <w:proofErr w:type="spellEnd"/>
            <w:r>
              <w:rPr>
                <w:rFonts w:eastAsia="Times New Roman"/>
                <w:sz w:val="22"/>
                <w:lang w:val="en-US" w:eastAsia="en-GB"/>
              </w:rPr>
              <w:t xml:space="preserve"> (2024) </w:t>
            </w:r>
            <w:r>
              <w:rPr>
                <w:rFonts w:eastAsia="Times New Roman"/>
                <w:sz w:val="22"/>
                <w:lang w:eastAsia="en-GB"/>
              </w:rPr>
              <w:t>that relates to the idea that relationships offer access to opportunities and resources.</w:t>
            </w:r>
          </w:p>
          <w:p w14:paraId="11A0C69C" w14:textId="77777777" w:rsidR="00DF056F" w:rsidRDefault="004563C0">
            <w:pPr>
              <w:spacing w:after="0" w:line="360" w:lineRule="auto"/>
              <w:jc w:val="center"/>
              <w:rPr>
                <w:rFonts w:eastAsia="Times New Roman" w:cs="Arial"/>
                <w:color w:val="000000"/>
                <w:szCs w:val="24"/>
                <w:lang w:val="en-US" w:eastAsia="en-GB"/>
              </w:rPr>
            </w:pPr>
            <w:r>
              <w:rPr>
                <w:rFonts w:eastAsia="Times New Roman" w:cs="Arial"/>
                <w:noProof/>
                <w:color w:val="000000"/>
                <w:szCs w:val="24"/>
                <w:lang w:val="en-US"/>
              </w:rPr>
              <w:drawing>
                <wp:inline distT="0" distB="0" distL="114300" distR="114300" wp14:anchorId="7832FA8A" wp14:editId="56C28AE6">
                  <wp:extent cx="2447925" cy="4862195"/>
                  <wp:effectExtent l="0" t="0" r="9525" b="14605"/>
                  <wp:docPr id="9" name="Picture 9" descr="IMG-20260302-WA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IMG-20260302-WA0005"/>
                          <pic:cNvPicPr>
                            <a:picLocks noChangeAspect="1"/>
                          </pic:cNvPicPr>
                        </pic:nvPicPr>
                        <pic:blipFill>
                          <a:blip r:embed="rId14"/>
                          <a:srcRect t="15136" b="7385"/>
                          <a:stretch>
                            <a:fillRect/>
                          </a:stretch>
                        </pic:blipFill>
                        <pic:spPr>
                          <a:xfrm>
                            <a:off x="0" y="0"/>
                            <a:ext cx="2447925" cy="4862195"/>
                          </a:xfrm>
                          <a:prstGeom prst="rect">
                            <a:avLst/>
                          </a:prstGeom>
                        </pic:spPr>
                      </pic:pic>
                    </a:graphicData>
                  </a:graphic>
                </wp:inline>
              </w:drawing>
            </w:r>
          </w:p>
          <w:p w14:paraId="5FF01793" w14:textId="77777777" w:rsidR="00DF056F" w:rsidRDefault="004563C0">
            <w:pPr>
              <w:spacing w:after="0" w:line="360" w:lineRule="auto"/>
              <w:jc w:val="center"/>
              <w:rPr>
                <w:rFonts w:eastAsia="Times New Roman" w:cs="Arial"/>
                <w:i/>
                <w:iCs/>
                <w:color w:val="000000"/>
                <w:sz w:val="21"/>
                <w:szCs w:val="21"/>
                <w:lang w:val="en-US" w:eastAsia="en-GB"/>
              </w:rPr>
            </w:pPr>
            <w:r>
              <w:rPr>
                <w:rFonts w:eastAsia="Times New Roman" w:cs="Arial"/>
                <w:i/>
                <w:iCs/>
                <w:color w:val="000000"/>
                <w:sz w:val="21"/>
                <w:szCs w:val="21"/>
                <w:lang w:val="en-US" w:eastAsia="en-GB"/>
              </w:rPr>
              <w:t>Figure 06: Importance of Networking</w:t>
            </w:r>
          </w:p>
          <w:p w14:paraId="18C5587E" w14:textId="77777777" w:rsidR="00DF056F" w:rsidRDefault="004563C0">
            <w:pPr>
              <w:spacing w:after="0" w:line="360" w:lineRule="auto"/>
              <w:jc w:val="both"/>
              <w:rPr>
                <w:rFonts w:eastAsia="Times New Roman"/>
                <w:sz w:val="22"/>
                <w:lang w:eastAsia="en-GB"/>
              </w:rPr>
            </w:pPr>
            <w:r>
              <w:rPr>
                <w:rFonts w:eastAsia="Times New Roman"/>
                <w:sz w:val="22"/>
                <w:lang w:eastAsia="en-GB"/>
              </w:rPr>
              <w:t xml:space="preserve">My self-awareness was also improved by the unit. Reflective exercises helped me to assess my weaknesses, strengths, and professional behaviour. I used the </w:t>
            </w:r>
            <w:r>
              <w:rPr>
                <w:rFonts w:eastAsia="Times New Roman"/>
                <w:sz w:val="22"/>
                <w:lang w:val="en-US" w:eastAsia="en-GB"/>
              </w:rPr>
              <w:t xml:space="preserve">Gibbs </w:t>
            </w:r>
            <w:r>
              <w:rPr>
                <w:rFonts w:eastAsia="Times New Roman"/>
                <w:sz w:val="22"/>
                <w:lang w:eastAsia="en-GB"/>
              </w:rPr>
              <w:t>Reflective Cycle to evaluate my preparedness of opportunity. Through the sharing of experiences, evaluation of what was done well, and where improvements could be made, I was able to create a more definite action plan</w:t>
            </w:r>
            <w:r>
              <w:rPr>
                <w:rFonts w:eastAsia="Times New Roman"/>
                <w:sz w:val="22"/>
                <w:lang w:val="en-US" w:eastAsia="en-GB"/>
              </w:rPr>
              <w:t xml:space="preserve">, which was guided by SMART goals. For example, based on the difficulty I faced in terms of building a network of professionals with whom I can gain more knowledge. To serve this purpose, I aimed at enhancing my professional network by &gt;60% within next 2 months by </w:t>
            </w:r>
            <w:r>
              <w:rPr>
                <w:rFonts w:eastAsia="Times New Roman"/>
                <w:sz w:val="22"/>
                <w:lang w:val="en-US" w:eastAsia="en-GB"/>
              </w:rPr>
              <w:lastRenderedPageBreak/>
              <w:t>connecting with SEN service-providers on LinkedIn. This activity will expand my network and improve the capability to collaborate with others. Hence, t</w:t>
            </w:r>
            <w:r>
              <w:rPr>
                <w:rFonts w:eastAsia="Times New Roman"/>
                <w:sz w:val="22"/>
                <w:lang w:eastAsia="en-GB"/>
              </w:rPr>
              <w:t>his systematic re</w:t>
            </w:r>
            <w:r>
              <w:rPr>
                <w:rFonts w:eastAsia="Times New Roman"/>
                <w:sz w:val="22"/>
                <w:lang w:val="en-US" w:eastAsia="en-GB"/>
              </w:rPr>
              <w:t>flection</w:t>
            </w:r>
            <w:r>
              <w:rPr>
                <w:rFonts w:eastAsia="Times New Roman"/>
                <w:sz w:val="22"/>
                <w:lang w:eastAsia="en-GB"/>
              </w:rPr>
              <w:t xml:space="preserve"> enhanced my self-confidence and judgment.</w:t>
            </w:r>
            <w:r>
              <w:rPr>
                <w:rFonts w:eastAsia="Times New Roman"/>
                <w:sz w:val="22"/>
                <w:lang w:val="en-US" w:eastAsia="en-GB"/>
              </w:rPr>
              <w:t xml:space="preserve"> An</w:t>
            </w:r>
            <w:r>
              <w:rPr>
                <w:rFonts w:eastAsia="Times New Roman"/>
                <w:sz w:val="22"/>
                <w:lang w:eastAsia="en-GB"/>
              </w:rPr>
              <w:t>other important area was the emotional intelligence (EI)</w:t>
            </w:r>
            <w:r>
              <w:rPr>
                <w:rFonts w:eastAsia="Times New Roman"/>
                <w:sz w:val="22"/>
                <w:lang w:val="en-US" w:eastAsia="en-GB"/>
              </w:rPr>
              <w:t>, which helped understanding</w:t>
            </w:r>
            <w:r>
              <w:rPr>
                <w:rFonts w:eastAsia="Times New Roman"/>
                <w:sz w:val="22"/>
                <w:lang w:eastAsia="en-GB"/>
              </w:rPr>
              <w:t xml:space="preserve"> that</w:t>
            </w:r>
            <w:r>
              <w:rPr>
                <w:rFonts w:eastAsia="Times New Roman"/>
                <w:sz w:val="22"/>
                <w:lang w:val="en-US" w:eastAsia="en-GB"/>
              </w:rPr>
              <w:t>,</w:t>
            </w:r>
            <w:r>
              <w:rPr>
                <w:rFonts w:eastAsia="Times New Roman"/>
                <w:sz w:val="22"/>
                <w:lang w:eastAsia="en-GB"/>
              </w:rPr>
              <w:t xml:space="preserve"> </w:t>
            </w:r>
            <w:r>
              <w:rPr>
                <w:rFonts w:eastAsia="Times New Roman"/>
                <w:sz w:val="22"/>
                <w:lang w:val="en-US" w:eastAsia="en-GB"/>
              </w:rPr>
              <w:t>in health and social care,</w:t>
            </w:r>
            <w:r>
              <w:rPr>
                <w:rFonts w:eastAsia="Times New Roman"/>
                <w:sz w:val="22"/>
                <w:lang w:eastAsia="en-GB"/>
              </w:rPr>
              <w:t xml:space="preserve"> one has to be emotionally aware and possess social skills</w:t>
            </w:r>
            <w:r>
              <w:rPr>
                <w:rFonts w:eastAsia="Times New Roman"/>
                <w:sz w:val="22"/>
                <w:lang w:val="en-US" w:eastAsia="en-GB"/>
              </w:rPr>
              <w:t xml:space="preserve"> with responding to the patients’ needs, as highlighted in figure 7</w:t>
            </w:r>
            <w:r>
              <w:rPr>
                <w:rFonts w:eastAsia="Times New Roman"/>
                <w:sz w:val="22"/>
                <w:lang w:eastAsia="en-GB"/>
              </w:rPr>
              <w:t xml:space="preserve">. </w:t>
            </w:r>
          </w:p>
          <w:p w14:paraId="65E09770" w14:textId="77777777" w:rsidR="00DF056F" w:rsidRDefault="004563C0">
            <w:pPr>
              <w:spacing w:after="0" w:line="360" w:lineRule="auto"/>
              <w:jc w:val="center"/>
              <w:rPr>
                <w:rFonts w:eastAsia="Times New Roman" w:cs="Arial"/>
                <w:color w:val="000000"/>
                <w:szCs w:val="24"/>
                <w:lang w:val="en-US" w:eastAsia="en-GB"/>
              </w:rPr>
            </w:pPr>
            <w:r>
              <w:rPr>
                <w:rFonts w:eastAsia="Times New Roman" w:cs="Arial"/>
                <w:noProof/>
                <w:color w:val="000000"/>
                <w:szCs w:val="24"/>
                <w:lang w:val="en-US"/>
              </w:rPr>
              <w:drawing>
                <wp:inline distT="0" distB="0" distL="114300" distR="114300" wp14:anchorId="00578E39" wp14:editId="39F7CD11">
                  <wp:extent cx="2404110" cy="3042285"/>
                  <wp:effectExtent l="0" t="0" r="15240" b="5715"/>
                  <wp:docPr id="12" name="Picture 12" descr="IMG-20260302-WA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MG-20260302-WA0002"/>
                          <pic:cNvPicPr>
                            <a:picLocks noChangeAspect="1"/>
                          </pic:cNvPicPr>
                        </pic:nvPicPr>
                        <pic:blipFill>
                          <a:blip r:embed="rId15"/>
                          <a:srcRect t="14472" b="36180"/>
                          <a:stretch>
                            <a:fillRect/>
                          </a:stretch>
                        </pic:blipFill>
                        <pic:spPr>
                          <a:xfrm>
                            <a:off x="0" y="0"/>
                            <a:ext cx="2404110" cy="3042285"/>
                          </a:xfrm>
                          <a:prstGeom prst="rect">
                            <a:avLst/>
                          </a:prstGeom>
                        </pic:spPr>
                      </pic:pic>
                    </a:graphicData>
                  </a:graphic>
                </wp:inline>
              </w:drawing>
            </w:r>
          </w:p>
          <w:p w14:paraId="741E9055" w14:textId="77777777" w:rsidR="00DF056F" w:rsidRDefault="004563C0">
            <w:pPr>
              <w:spacing w:after="0" w:line="360" w:lineRule="auto"/>
              <w:jc w:val="center"/>
              <w:rPr>
                <w:rFonts w:eastAsia="Times New Roman" w:cs="Arial"/>
                <w:color w:val="000000"/>
                <w:szCs w:val="24"/>
                <w:lang w:val="en-US" w:eastAsia="en-GB"/>
              </w:rPr>
            </w:pPr>
            <w:r>
              <w:rPr>
                <w:rFonts w:eastAsia="Times New Roman" w:cs="Arial"/>
                <w:i/>
                <w:iCs/>
                <w:color w:val="000000"/>
                <w:sz w:val="21"/>
                <w:szCs w:val="21"/>
                <w:lang w:val="en-US" w:eastAsia="en-GB"/>
              </w:rPr>
              <w:t>Figure 07: Significance of EI in health and social care</w:t>
            </w:r>
          </w:p>
          <w:p w14:paraId="5393F541" w14:textId="77777777" w:rsidR="00DF056F" w:rsidRDefault="004563C0">
            <w:pPr>
              <w:spacing w:after="0" w:line="360" w:lineRule="auto"/>
              <w:jc w:val="both"/>
              <w:rPr>
                <w:rFonts w:eastAsia="Times New Roman" w:cs="Arial"/>
                <w:color w:val="000000"/>
                <w:szCs w:val="24"/>
                <w:lang w:val="en-US" w:eastAsia="en-GB"/>
              </w:rPr>
            </w:pPr>
            <w:r>
              <w:rPr>
                <w:rFonts w:eastAsia="Times New Roman"/>
                <w:sz w:val="22"/>
                <w:lang w:val="en-US" w:eastAsia="en-GB"/>
              </w:rPr>
              <w:t>Reflecting on</w:t>
            </w:r>
            <w:r>
              <w:rPr>
                <w:rFonts w:eastAsia="Times New Roman"/>
                <w:sz w:val="22"/>
                <w:lang w:eastAsia="en-GB"/>
              </w:rPr>
              <w:t xml:space="preserve"> </w:t>
            </w:r>
            <w:r>
              <w:rPr>
                <w:rFonts w:eastAsia="Times New Roman"/>
                <w:sz w:val="22"/>
                <w:lang w:val="en-US" w:eastAsia="en-GB"/>
              </w:rPr>
              <w:t xml:space="preserve">personal practice, I </w:t>
            </w:r>
            <w:proofErr w:type="spellStart"/>
            <w:r>
              <w:rPr>
                <w:rFonts w:eastAsia="Times New Roman"/>
                <w:sz w:val="22"/>
                <w:lang w:val="en-US" w:eastAsia="en-GB"/>
              </w:rPr>
              <w:t>realised</w:t>
            </w:r>
            <w:proofErr w:type="spellEnd"/>
            <w:r>
              <w:rPr>
                <w:rFonts w:eastAsia="Times New Roman"/>
                <w:sz w:val="22"/>
                <w:lang w:val="en-US" w:eastAsia="en-GB"/>
              </w:rPr>
              <w:t xml:space="preserve"> that lack of emotional control in dealing with elderly patients who, apart from physiological care due to declining health, also require emotional support because they are often a victim to social isolation and bereavement. Thus, in order to show competence, I improved my EI score to manage my emotional response towards cases involving elderly patients or those towards end-of-life care. This is because, scholarly literature also associate EI, </w:t>
            </w:r>
            <w:proofErr w:type="spellStart"/>
            <w:r>
              <w:rPr>
                <w:rFonts w:eastAsia="Times New Roman"/>
                <w:sz w:val="22"/>
                <w:lang w:val="en-US" w:eastAsia="en-GB"/>
              </w:rPr>
              <w:t>characterised</w:t>
            </w:r>
            <w:proofErr w:type="spellEnd"/>
            <w:r>
              <w:rPr>
                <w:rFonts w:eastAsia="Times New Roman"/>
                <w:sz w:val="22"/>
                <w:lang w:val="en-US" w:eastAsia="en-GB"/>
              </w:rPr>
              <w:t xml:space="preserve"> with self-regulation, social skills, motivation, self-awareness and empathy, with professional competence (Sharp et al., 2020). Collectively, the literature evidence and personal reflection helped </w:t>
            </w:r>
            <w:proofErr w:type="spellStart"/>
            <w:r>
              <w:rPr>
                <w:rFonts w:eastAsia="Times New Roman"/>
                <w:sz w:val="22"/>
                <w:lang w:val="en-US" w:eastAsia="en-GB"/>
              </w:rPr>
              <w:t>recognising</w:t>
            </w:r>
            <w:proofErr w:type="spellEnd"/>
            <w:r>
              <w:rPr>
                <w:rFonts w:eastAsia="Times New Roman"/>
                <w:sz w:val="22"/>
                <w:lang w:val="en-US" w:eastAsia="en-GB"/>
              </w:rPr>
              <w:t xml:space="preserve"> the weaknesses based on low EI. Thus, through emotional control, I was capable of not only lowering emotional fatigue but also improving service delivery. </w:t>
            </w:r>
          </w:p>
        </w:tc>
      </w:tr>
      <w:tr w:rsidR="00DF056F" w14:paraId="7AB85AF9" w14:textId="77777777">
        <w:tc>
          <w:tcPr>
            <w:tcW w:w="1789" w:type="dxa"/>
          </w:tcPr>
          <w:p w14:paraId="72F1AA00" w14:textId="77777777" w:rsidR="00DF056F" w:rsidRDefault="004563C0">
            <w:pPr>
              <w:pStyle w:val="NoSpacing"/>
              <w:spacing w:line="360" w:lineRule="auto"/>
              <w:rPr>
                <w:rFonts w:ascii="Arial" w:hAnsi="Arial" w:cs="Arial"/>
                <w:b/>
                <w:bCs/>
                <w:sz w:val="22"/>
                <w:lang w:eastAsia="en-GB"/>
              </w:rPr>
            </w:pPr>
            <w:r>
              <w:rPr>
                <w:rFonts w:ascii="Arial" w:hAnsi="Arial" w:cs="Arial"/>
                <w:b/>
                <w:bCs/>
                <w:sz w:val="22"/>
                <w:lang w:val="en-US" w:eastAsia="en-GB"/>
              </w:rPr>
              <w:lastRenderedPageBreak/>
              <w:t xml:space="preserve">Unit 4: </w:t>
            </w:r>
            <w:r>
              <w:rPr>
                <w:rFonts w:ascii="Arial" w:hAnsi="Arial" w:cs="Arial"/>
                <w:b/>
                <w:bCs/>
                <w:sz w:val="22"/>
                <w:lang w:eastAsia="en-GB"/>
              </w:rPr>
              <w:t xml:space="preserve">Pursuit of Happiness </w:t>
            </w:r>
          </w:p>
          <w:p w14:paraId="3C13AE6C" w14:textId="77777777" w:rsidR="00DF056F" w:rsidRDefault="00DF056F">
            <w:pPr>
              <w:spacing w:before="100" w:beforeAutospacing="1" w:after="100" w:afterAutospacing="1" w:line="360" w:lineRule="auto"/>
              <w:outlineLvl w:val="1"/>
              <w:rPr>
                <w:rFonts w:eastAsia="Times New Roman" w:cs="Times New Roman"/>
                <w:b/>
                <w:bCs/>
                <w:color w:val="000000"/>
                <w:sz w:val="22"/>
                <w:lang w:eastAsia="en-GB"/>
              </w:rPr>
            </w:pPr>
          </w:p>
        </w:tc>
        <w:tc>
          <w:tcPr>
            <w:tcW w:w="7453" w:type="dxa"/>
          </w:tcPr>
          <w:p w14:paraId="5A1738C7" w14:textId="77777777" w:rsidR="00DF056F" w:rsidRDefault="004563C0">
            <w:pPr>
              <w:spacing w:line="360" w:lineRule="auto"/>
              <w:jc w:val="both"/>
              <w:rPr>
                <w:sz w:val="22"/>
                <w:lang w:val="en-US" w:eastAsia="en-GB"/>
              </w:rPr>
            </w:pPr>
            <w:r>
              <w:rPr>
                <w:sz w:val="22"/>
                <w:lang w:val="en-US" w:eastAsia="en-GB"/>
              </w:rPr>
              <w:lastRenderedPageBreak/>
              <w:t xml:space="preserve">The learning from this unit </w:t>
            </w:r>
            <w:r>
              <w:rPr>
                <w:sz w:val="22"/>
                <w:lang w:eastAsia="en-GB"/>
              </w:rPr>
              <w:t xml:space="preserve">made </w:t>
            </w:r>
            <w:r>
              <w:rPr>
                <w:sz w:val="22"/>
                <w:lang w:val="en-US" w:eastAsia="en-GB"/>
              </w:rPr>
              <w:t>helped me improving my perspective</w:t>
            </w:r>
            <w:r>
              <w:rPr>
                <w:sz w:val="22"/>
                <w:lang w:eastAsia="en-GB"/>
              </w:rPr>
              <w:t xml:space="preserve"> that psychological strength is just as important in the sustainable employment in health and social care as professional competence.</w:t>
            </w:r>
            <w:r>
              <w:rPr>
                <w:sz w:val="22"/>
                <w:lang w:val="en-US" w:eastAsia="en-GB"/>
              </w:rPr>
              <w:t xml:space="preserve"> </w:t>
            </w:r>
            <w:r>
              <w:rPr>
                <w:sz w:val="22"/>
                <w:lang w:eastAsia="en-GB"/>
              </w:rPr>
              <w:t xml:space="preserve">I gained an </w:t>
            </w:r>
            <w:r>
              <w:rPr>
                <w:sz w:val="22"/>
                <w:lang w:eastAsia="en-GB"/>
              </w:rPr>
              <w:lastRenderedPageBreak/>
              <w:t>understanding of the PERMA model of well</w:t>
            </w:r>
            <w:r>
              <w:rPr>
                <w:sz w:val="22"/>
                <w:lang w:val="en-US" w:eastAsia="en-GB"/>
              </w:rPr>
              <w:t>-</w:t>
            </w:r>
            <w:r>
              <w:rPr>
                <w:sz w:val="22"/>
                <w:lang w:eastAsia="en-GB"/>
              </w:rPr>
              <w:t>being</w:t>
            </w:r>
            <w:r>
              <w:rPr>
                <w:sz w:val="22"/>
                <w:lang w:val="en-US" w:eastAsia="en-GB"/>
              </w:rPr>
              <w:t xml:space="preserve"> </w:t>
            </w:r>
            <w:r>
              <w:rPr>
                <w:sz w:val="22"/>
                <w:lang w:eastAsia="en-GB"/>
              </w:rPr>
              <w:t>that defines the four elements of well</w:t>
            </w:r>
            <w:r>
              <w:rPr>
                <w:sz w:val="22"/>
                <w:lang w:val="en-US" w:eastAsia="en-GB"/>
              </w:rPr>
              <w:t>-</w:t>
            </w:r>
            <w:r>
              <w:rPr>
                <w:sz w:val="22"/>
                <w:lang w:eastAsia="en-GB"/>
              </w:rPr>
              <w:t>being</w:t>
            </w:r>
            <w:r>
              <w:rPr>
                <w:sz w:val="22"/>
                <w:lang w:val="en-US" w:eastAsia="en-GB"/>
              </w:rPr>
              <w:t xml:space="preserve"> that include </w:t>
            </w:r>
            <w:r>
              <w:rPr>
                <w:sz w:val="22"/>
                <w:lang w:eastAsia="en-GB"/>
              </w:rPr>
              <w:t>Positive emotion, Engagement, Relationships, Meaning, and Accomplishment</w:t>
            </w:r>
            <w:r>
              <w:rPr>
                <w:sz w:val="22"/>
                <w:lang w:val="en-US" w:eastAsia="en-GB"/>
              </w:rPr>
              <w:t xml:space="preserve"> (Kun et al., 2017)</w:t>
            </w:r>
            <w:r>
              <w:rPr>
                <w:sz w:val="22"/>
                <w:lang w:eastAsia="en-GB"/>
              </w:rPr>
              <w:t xml:space="preserve">. I have learned that significant work, especially work with children and families, has a close connection to the PERMA component of Meaning and Engagement. </w:t>
            </w:r>
            <w:r>
              <w:rPr>
                <w:sz w:val="22"/>
                <w:lang w:val="en-US" w:eastAsia="en-GB"/>
              </w:rPr>
              <w:t xml:space="preserve">These components reinforced my motivation to adopt a purpose-driven career. </w:t>
            </w:r>
          </w:p>
          <w:p w14:paraId="47EA1870" w14:textId="77777777" w:rsidR="00DF056F" w:rsidRDefault="004563C0">
            <w:pPr>
              <w:spacing w:line="360" w:lineRule="auto"/>
              <w:jc w:val="both"/>
              <w:rPr>
                <w:sz w:val="22"/>
                <w:lang w:eastAsia="en-GB"/>
              </w:rPr>
            </w:pPr>
            <w:r>
              <w:rPr>
                <w:sz w:val="22"/>
                <w:lang w:eastAsia="en-GB"/>
              </w:rPr>
              <w:t>The unit further enhanced my knowledge on resilience theory</w:t>
            </w:r>
            <w:r>
              <w:rPr>
                <w:sz w:val="22"/>
                <w:lang w:val="en-US" w:eastAsia="en-GB"/>
              </w:rPr>
              <w:t>. I learned that</w:t>
            </w:r>
            <w:r>
              <w:rPr>
                <w:sz w:val="22"/>
                <w:lang w:eastAsia="en-GB"/>
              </w:rPr>
              <w:t xml:space="preserve"> when dealing with stress</w:t>
            </w:r>
            <w:r>
              <w:rPr>
                <w:sz w:val="22"/>
                <w:lang w:val="en-US" w:eastAsia="en-GB"/>
              </w:rPr>
              <w:t>, as h</w:t>
            </w:r>
            <w:proofErr w:type="spellStart"/>
            <w:r>
              <w:rPr>
                <w:sz w:val="22"/>
                <w:lang w:eastAsia="en-GB"/>
              </w:rPr>
              <w:t>ealth</w:t>
            </w:r>
            <w:proofErr w:type="spellEnd"/>
            <w:r>
              <w:rPr>
                <w:sz w:val="22"/>
                <w:lang w:eastAsia="en-GB"/>
              </w:rPr>
              <w:t xml:space="preserve"> and social care </w:t>
            </w:r>
            <w:r>
              <w:rPr>
                <w:sz w:val="22"/>
                <w:lang w:val="en-US" w:eastAsia="en-GB"/>
              </w:rPr>
              <w:t>can</w:t>
            </w:r>
            <w:r>
              <w:rPr>
                <w:sz w:val="22"/>
                <w:lang w:eastAsia="en-GB"/>
              </w:rPr>
              <w:t xml:space="preserve"> be emotionally demanding roles</w:t>
            </w:r>
            <w:r>
              <w:rPr>
                <w:sz w:val="22"/>
                <w:lang w:val="en-US" w:eastAsia="en-GB"/>
              </w:rPr>
              <w:t xml:space="preserve"> and require compassion while offering services (</w:t>
            </w:r>
            <w:proofErr w:type="spellStart"/>
            <w:r>
              <w:rPr>
                <w:sz w:val="22"/>
                <w:lang w:val="en-US" w:eastAsia="en-GB"/>
              </w:rPr>
              <w:t>Kinman</w:t>
            </w:r>
            <w:proofErr w:type="spellEnd"/>
            <w:r>
              <w:rPr>
                <w:sz w:val="22"/>
                <w:lang w:val="en-US" w:eastAsia="en-GB"/>
              </w:rPr>
              <w:t xml:space="preserve"> and Grant, 2020)</w:t>
            </w:r>
            <w:r>
              <w:rPr>
                <w:sz w:val="22"/>
                <w:lang w:eastAsia="en-GB"/>
              </w:rPr>
              <w:t xml:space="preserve">. </w:t>
            </w:r>
            <w:r>
              <w:rPr>
                <w:sz w:val="22"/>
                <w:lang w:val="en-US" w:eastAsia="en-GB"/>
              </w:rPr>
              <w:t>In this context,</w:t>
            </w:r>
            <w:r>
              <w:rPr>
                <w:sz w:val="22"/>
                <w:lang w:eastAsia="en-GB"/>
              </w:rPr>
              <w:t xml:space="preserve"> to avoid burnout</w:t>
            </w:r>
            <w:r>
              <w:rPr>
                <w:sz w:val="22"/>
                <w:lang w:val="en-US" w:eastAsia="en-GB"/>
              </w:rPr>
              <w:t xml:space="preserve"> in practice of fulfilling the emotional needs of patients while giving the necessary SEN services</w:t>
            </w:r>
            <w:r>
              <w:rPr>
                <w:sz w:val="22"/>
                <w:lang w:eastAsia="en-GB"/>
              </w:rPr>
              <w:t>, I need to develop resilience, which can be achieved by reflective practice, a supportive environment, and coping mechanisms against stress.</w:t>
            </w:r>
            <w:r>
              <w:rPr>
                <w:sz w:val="22"/>
                <w:lang w:val="en-US" w:eastAsia="en-GB"/>
              </w:rPr>
              <w:t xml:space="preserve"> </w:t>
            </w:r>
            <w:r>
              <w:rPr>
                <w:sz w:val="22"/>
                <w:lang w:eastAsia="en-GB"/>
              </w:rPr>
              <w:t xml:space="preserve">Another theme was dedicated to work-life balance which helped recognising that how </w:t>
            </w:r>
            <w:r>
              <w:rPr>
                <w:sz w:val="22"/>
                <w:lang w:val="en-US" w:eastAsia="en-GB"/>
              </w:rPr>
              <w:t>over-committing</w:t>
            </w:r>
            <w:r>
              <w:rPr>
                <w:sz w:val="22"/>
                <w:lang w:eastAsia="en-GB"/>
              </w:rPr>
              <w:t xml:space="preserve"> could have a negative impact on the well</w:t>
            </w:r>
            <w:r>
              <w:rPr>
                <w:sz w:val="22"/>
                <w:lang w:val="en-US" w:eastAsia="en-GB"/>
              </w:rPr>
              <w:t>-</w:t>
            </w:r>
            <w:r>
              <w:rPr>
                <w:sz w:val="22"/>
                <w:lang w:eastAsia="en-GB"/>
              </w:rPr>
              <w:t xml:space="preserve">being and professional effectiveness. Sustainable happiness involve setting limits and </w:t>
            </w:r>
            <w:proofErr w:type="spellStart"/>
            <w:r>
              <w:rPr>
                <w:sz w:val="22"/>
                <w:lang w:eastAsia="en-GB"/>
              </w:rPr>
              <w:t>giv</w:t>
            </w:r>
            <w:r>
              <w:rPr>
                <w:sz w:val="22"/>
                <w:lang w:val="en-US" w:eastAsia="en-GB"/>
              </w:rPr>
              <w:t>ing</w:t>
            </w:r>
            <w:proofErr w:type="spellEnd"/>
            <w:r>
              <w:rPr>
                <w:sz w:val="22"/>
                <w:lang w:eastAsia="en-GB"/>
              </w:rPr>
              <w:t xml:space="preserve"> a priority to self-care. </w:t>
            </w:r>
            <w:r>
              <w:rPr>
                <w:sz w:val="22"/>
                <w:lang w:val="en-US" w:eastAsia="en-GB"/>
              </w:rPr>
              <w:t xml:space="preserve">For example, while volunteering in a community support </w:t>
            </w:r>
            <w:proofErr w:type="spellStart"/>
            <w:r>
              <w:rPr>
                <w:sz w:val="22"/>
                <w:lang w:val="en-US" w:eastAsia="en-GB"/>
              </w:rPr>
              <w:t>programme</w:t>
            </w:r>
            <w:proofErr w:type="spellEnd"/>
            <w:r>
              <w:rPr>
                <w:sz w:val="22"/>
                <w:lang w:val="en-US" w:eastAsia="en-GB"/>
              </w:rPr>
              <w:t xml:space="preserve"> for children </w:t>
            </w:r>
            <w:proofErr w:type="gramStart"/>
            <w:r>
              <w:rPr>
                <w:sz w:val="22"/>
                <w:lang w:val="en-US" w:eastAsia="en-GB"/>
              </w:rPr>
              <w:t>with  SEN</w:t>
            </w:r>
            <w:proofErr w:type="gramEnd"/>
            <w:r>
              <w:rPr>
                <w:sz w:val="22"/>
                <w:lang w:val="en-US" w:eastAsia="en-GB"/>
              </w:rPr>
              <w:t>, I over-burdened myself in extending education and emotional support for children. It led to difficulties like emotional fatigue and maintaining work-life balance. Thus, I learned</w:t>
            </w:r>
            <w:r>
              <w:rPr>
                <w:sz w:val="22"/>
                <w:lang w:eastAsia="en-GB"/>
              </w:rPr>
              <w:t xml:space="preserve"> that having the balance contributes more to performance and long-term career satisfaction.</w:t>
            </w:r>
            <w:r>
              <w:rPr>
                <w:sz w:val="22"/>
                <w:lang w:val="en-US" w:eastAsia="en-GB"/>
              </w:rPr>
              <w:t xml:space="preserve"> </w:t>
            </w:r>
            <w:r>
              <w:rPr>
                <w:sz w:val="22"/>
                <w:lang w:eastAsia="en-GB"/>
              </w:rPr>
              <w:t xml:space="preserve">The development of the meaning of work was also considerable as it enabled me to understand work with respect to </w:t>
            </w:r>
            <w:proofErr w:type="spellStart"/>
            <w:r>
              <w:rPr>
                <w:sz w:val="22"/>
                <w:lang w:eastAsia="en-GB"/>
              </w:rPr>
              <w:t>fulfillment</w:t>
            </w:r>
            <w:proofErr w:type="spellEnd"/>
            <w:r>
              <w:rPr>
                <w:sz w:val="22"/>
                <w:lang w:eastAsia="en-GB"/>
              </w:rPr>
              <w:t xml:space="preserve">, growth and impact, instead of monetary gains. It helped me redefining my professional goals in a sustainable manner, aligning with the values of healthcare. Thus, </w:t>
            </w:r>
            <w:proofErr w:type="spellStart"/>
            <w:r>
              <w:rPr>
                <w:sz w:val="22"/>
                <w:lang w:eastAsia="en-GB"/>
              </w:rPr>
              <w:t>throug</w:t>
            </w:r>
            <w:proofErr w:type="spellEnd"/>
            <w:r>
              <w:rPr>
                <w:sz w:val="22"/>
                <w:lang w:val="en-US" w:eastAsia="en-GB"/>
              </w:rPr>
              <w:t>h</w:t>
            </w:r>
            <w:r>
              <w:rPr>
                <w:sz w:val="22"/>
                <w:lang w:eastAsia="en-GB"/>
              </w:rPr>
              <w:t xml:space="preserve">out the reflective self-assessments, I focused on evaluating personal practices along with areas of improvement. Hence, the online portfolio contributed to redefining the commitment towards improvement, thereby, enhancing both employability as well as contribution to the social work. </w:t>
            </w:r>
          </w:p>
        </w:tc>
      </w:tr>
      <w:tr w:rsidR="00DF056F" w14:paraId="61679420" w14:textId="77777777">
        <w:tc>
          <w:tcPr>
            <w:tcW w:w="1789" w:type="dxa"/>
          </w:tcPr>
          <w:p w14:paraId="0D86FDF1" w14:textId="77777777" w:rsidR="00DF056F" w:rsidRDefault="004563C0">
            <w:pPr>
              <w:pStyle w:val="NoSpacing"/>
              <w:spacing w:line="360" w:lineRule="auto"/>
              <w:rPr>
                <w:rFonts w:ascii="Arial" w:hAnsi="Arial" w:cs="Arial"/>
                <w:b/>
                <w:bCs/>
                <w:sz w:val="22"/>
                <w:lang w:eastAsia="en-GB"/>
              </w:rPr>
            </w:pPr>
            <w:r>
              <w:rPr>
                <w:rFonts w:ascii="Arial" w:hAnsi="Arial" w:cs="Arial"/>
                <w:b/>
                <w:bCs/>
                <w:sz w:val="22"/>
                <w:lang w:eastAsia="en-GB"/>
              </w:rPr>
              <w:lastRenderedPageBreak/>
              <w:t xml:space="preserve">Conclusion </w:t>
            </w:r>
          </w:p>
          <w:p w14:paraId="0EC8C738" w14:textId="77777777" w:rsidR="00DF056F" w:rsidRDefault="00DF056F">
            <w:pPr>
              <w:spacing w:before="100" w:beforeAutospacing="1" w:after="100" w:afterAutospacing="1" w:line="360" w:lineRule="auto"/>
              <w:outlineLvl w:val="1"/>
              <w:rPr>
                <w:rFonts w:eastAsia="Times New Roman" w:cs="Times New Roman"/>
                <w:b/>
                <w:bCs/>
                <w:color w:val="000000"/>
                <w:sz w:val="22"/>
                <w:lang w:eastAsia="en-GB"/>
              </w:rPr>
            </w:pPr>
          </w:p>
        </w:tc>
        <w:tc>
          <w:tcPr>
            <w:tcW w:w="7453" w:type="dxa"/>
          </w:tcPr>
          <w:p w14:paraId="478F5974" w14:textId="77777777" w:rsidR="00DF056F" w:rsidRDefault="004563C0">
            <w:pPr>
              <w:pStyle w:val="NoSpacing"/>
              <w:spacing w:line="360" w:lineRule="auto"/>
              <w:jc w:val="both"/>
              <w:rPr>
                <w:rFonts w:eastAsia="Times New Roman" w:cs="Times New Roman"/>
                <w:b/>
                <w:bCs/>
                <w:color w:val="000000"/>
                <w:sz w:val="22"/>
                <w:lang w:eastAsia="en-GB"/>
              </w:rPr>
            </w:pPr>
            <w:r>
              <w:rPr>
                <w:rFonts w:ascii="Arial" w:hAnsi="Arial"/>
                <w:sz w:val="22"/>
                <w:lang w:eastAsia="en-GB"/>
              </w:rPr>
              <w:t>The module has reinforced my knowledge of personal branding, global awareness, identifying opportunities and well</w:t>
            </w:r>
            <w:r>
              <w:rPr>
                <w:rFonts w:ascii="Arial" w:hAnsi="Arial"/>
                <w:sz w:val="22"/>
                <w:lang w:val="en-US" w:eastAsia="en-GB"/>
              </w:rPr>
              <w:t>-</w:t>
            </w:r>
            <w:r>
              <w:rPr>
                <w:rFonts w:ascii="Arial" w:hAnsi="Arial"/>
                <w:sz w:val="22"/>
                <w:lang w:eastAsia="en-GB"/>
              </w:rPr>
              <w:t xml:space="preserve">being as far as sustainable employment in health and social care is concerned. The Unit 1 helped me to be more self-aware and understand my strengths, values, and </w:t>
            </w:r>
            <w:r>
              <w:rPr>
                <w:rFonts w:ascii="Arial" w:hAnsi="Arial"/>
                <w:sz w:val="22"/>
                <w:lang w:eastAsia="en-GB"/>
              </w:rPr>
              <w:lastRenderedPageBreak/>
              <w:t xml:space="preserve">professional identity. Unit 2 has broadened my knowledge on cultural competence, diversity and the global drivers of health and social care practice. Unit 3 taught me to </w:t>
            </w:r>
            <w:proofErr w:type="spellStart"/>
            <w:r>
              <w:rPr>
                <w:rFonts w:ascii="Arial" w:hAnsi="Arial"/>
                <w:sz w:val="22"/>
                <w:lang w:eastAsia="en-GB"/>
              </w:rPr>
              <w:t>recogni</w:t>
            </w:r>
            <w:proofErr w:type="spellEnd"/>
            <w:r>
              <w:rPr>
                <w:rFonts w:ascii="Arial" w:hAnsi="Arial"/>
                <w:sz w:val="22"/>
                <w:lang w:val="en-US" w:eastAsia="en-GB"/>
              </w:rPr>
              <w:t>s</w:t>
            </w:r>
            <w:r>
              <w:rPr>
                <w:rFonts w:ascii="Arial" w:hAnsi="Arial"/>
                <w:sz w:val="22"/>
                <w:lang w:eastAsia="en-GB"/>
              </w:rPr>
              <w:t>e and appraise opportunities in a strategic manner using the networking, emotional intelligence, reflective practice, and SMART goal setting. At the same time, the importance of work-life balance, well-being and resilience was focused in Unit 4, with the aim to illustrate the professional efficacy in the long-term. Through the series of learning, I am now in a better position to be able to convey my value, work successfully in different environments, establish professional relationships, and be emotionally resilient. These competencies will help me to become a reflective, competent, and ethically</w:t>
            </w:r>
            <w:r>
              <w:rPr>
                <w:rFonts w:ascii="Arial" w:hAnsi="Arial"/>
                <w:sz w:val="22"/>
                <w:lang w:val="en-US" w:eastAsia="en-GB"/>
              </w:rPr>
              <w:t>-</w:t>
            </w:r>
            <w:r>
              <w:rPr>
                <w:rFonts w:ascii="Arial" w:hAnsi="Arial"/>
                <w:sz w:val="22"/>
                <w:lang w:eastAsia="en-GB"/>
              </w:rPr>
              <w:t>responsible health and social care practitioner</w:t>
            </w:r>
            <w:r>
              <w:rPr>
                <w:rFonts w:ascii="Arial" w:hAnsi="Arial"/>
                <w:sz w:val="22"/>
                <w:lang w:val="en-US" w:eastAsia="en-GB"/>
              </w:rPr>
              <w:t xml:space="preserve">, extending SEN support services. </w:t>
            </w:r>
          </w:p>
        </w:tc>
      </w:tr>
      <w:tr w:rsidR="00DF056F" w14:paraId="521A501B" w14:textId="77777777">
        <w:tc>
          <w:tcPr>
            <w:tcW w:w="1789" w:type="dxa"/>
          </w:tcPr>
          <w:p w14:paraId="5DAA796C" w14:textId="77777777" w:rsidR="00DF056F" w:rsidRDefault="004563C0">
            <w:pPr>
              <w:spacing w:after="0" w:line="360" w:lineRule="auto"/>
              <w:rPr>
                <w:rFonts w:cs="Arial"/>
                <w:b/>
                <w:bCs/>
                <w:sz w:val="22"/>
              </w:rPr>
            </w:pPr>
            <w:r>
              <w:rPr>
                <w:rFonts w:cs="Arial"/>
                <w:b/>
                <w:bCs/>
                <w:sz w:val="22"/>
              </w:rPr>
              <w:lastRenderedPageBreak/>
              <w:t>References</w:t>
            </w:r>
          </w:p>
          <w:p w14:paraId="7001105A" w14:textId="77777777" w:rsidR="00DF056F" w:rsidRDefault="00DF056F">
            <w:pPr>
              <w:spacing w:before="100" w:beforeAutospacing="1" w:after="100" w:afterAutospacing="1" w:line="360" w:lineRule="auto"/>
              <w:outlineLvl w:val="1"/>
              <w:rPr>
                <w:rFonts w:eastAsia="Times New Roman" w:cs="Times New Roman"/>
                <w:b/>
                <w:bCs/>
                <w:color w:val="000000"/>
                <w:sz w:val="22"/>
                <w:lang w:eastAsia="en-GB"/>
              </w:rPr>
            </w:pPr>
          </w:p>
        </w:tc>
        <w:tc>
          <w:tcPr>
            <w:tcW w:w="7453" w:type="dxa"/>
          </w:tcPr>
          <w:p w14:paraId="73DD5104" w14:textId="77777777" w:rsidR="00DF056F" w:rsidRDefault="004563C0">
            <w:pPr>
              <w:spacing w:after="0" w:line="360" w:lineRule="auto"/>
              <w:jc w:val="both"/>
              <w:rPr>
                <w:rFonts w:eastAsia="Times New Roman" w:cs="Times New Roman"/>
                <w:color w:val="000000" w:themeColor="text1"/>
                <w:sz w:val="22"/>
                <w:lang w:val="en-US" w:eastAsia="en-GB"/>
              </w:rPr>
            </w:pPr>
            <w:r>
              <w:rPr>
                <w:rFonts w:eastAsia="Times New Roman" w:cs="Times New Roman"/>
                <w:color w:val="000000" w:themeColor="text1"/>
                <w:sz w:val="22"/>
                <w:lang w:val="en-US" w:eastAsia="en-GB"/>
              </w:rPr>
              <w:t xml:space="preserve">Hofstede, G. and Bond, M.H. (1984) ‘Hofstede's culture dimensions: An independent validation using Rokeach's value survey’, </w:t>
            </w:r>
            <w:r>
              <w:rPr>
                <w:rFonts w:eastAsia="Times New Roman" w:cs="Times New Roman"/>
                <w:i/>
                <w:iCs/>
                <w:color w:val="000000" w:themeColor="text1"/>
                <w:sz w:val="22"/>
                <w:lang w:val="en-US" w:eastAsia="en-GB"/>
              </w:rPr>
              <w:t>Journal of cross-cultural psychology,</w:t>
            </w:r>
            <w:r>
              <w:rPr>
                <w:rFonts w:eastAsia="Times New Roman" w:cs="Times New Roman"/>
                <w:color w:val="000000" w:themeColor="text1"/>
                <w:sz w:val="22"/>
                <w:lang w:val="en-US" w:eastAsia="en-GB"/>
              </w:rPr>
              <w:t xml:space="preserve"> 15(4), pp.417-433. Available at: </w:t>
            </w:r>
            <w:hyperlink r:id="rId16" w:history="1">
              <w:r>
                <w:rPr>
                  <w:rStyle w:val="Hyperlink"/>
                  <w:rFonts w:eastAsia="Times New Roman"/>
                  <w:sz w:val="22"/>
                  <w:lang w:val="en-US" w:eastAsia="en-GB"/>
                </w:rPr>
                <w:t>https://doi.org/10.1177/0022002184015004003</w:t>
              </w:r>
            </w:hyperlink>
            <w:r>
              <w:rPr>
                <w:rFonts w:eastAsia="Times New Roman"/>
                <w:color w:val="000000" w:themeColor="text1"/>
                <w:sz w:val="22"/>
                <w:lang w:val="en-US" w:eastAsia="en-GB"/>
              </w:rPr>
              <w:t xml:space="preserve"> </w:t>
            </w:r>
            <w:r>
              <w:rPr>
                <w:rFonts w:eastAsia="Times New Roman" w:cs="Times New Roman"/>
                <w:color w:val="000000" w:themeColor="text1"/>
                <w:sz w:val="22"/>
                <w:lang w:val="en-US" w:eastAsia="en-GB"/>
              </w:rPr>
              <w:t xml:space="preserve"> </w:t>
            </w:r>
          </w:p>
          <w:p w14:paraId="0C79FE1E" w14:textId="77777777" w:rsidR="00DF056F" w:rsidRDefault="004563C0">
            <w:pPr>
              <w:spacing w:after="0" w:line="360" w:lineRule="auto"/>
              <w:jc w:val="both"/>
              <w:rPr>
                <w:rFonts w:eastAsia="Times New Roman" w:cs="Times New Roman"/>
                <w:color w:val="000000" w:themeColor="text1"/>
                <w:sz w:val="22"/>
                <w:lang w:val="en-US" w:eastAsia="en-GB"/>
              </w:rPr>
            </w:pPr>
            <w:proofErr w:type="spellStart"/>
            <w:r>
              <w:rPr>
                <w:rFonts w:eastAsia="Times New Roman" w:cs="Times New Roman"/>
                <w:color w:val="000000" w:themeColor="text1"/>
                <w:sz w:val="22"/>
                <w:lang w:val="en-US" w:eastAsia="en-GB"/>
              </w:rPr>
              <w:t>Hossin</w:t>
            </w:r>
            <w:proofErr w:type="spellEnd"/>
            <w:r>
              <w:rPr>
                <w:rFonts w:eastAsia="Times New Roman" w:cs="Times New Roman"/>
                <w:color w:val="000000" w:themeColor="text1"/>
                <w:sz w:val="22"/>
                <w:lang w:val="en-US" w:eastAsia="en-GB"/>
              </w:rPr>
              <w:t>, M.Z. (2020) ‘International migration and health: it is time to go beyond conventional theoretical frameworks’, </w:t>
            </w:r>
            <w:r>
              <w:rPr>
                <w:rFonts w:eastAsia="Times New Roman" w:cs="Times New Roman"/>
                <w:i/>
                <w:iCs/>
                <w:color w:val="000000" w:themeColor="text1"/>
                <w:sz w:val="22"/>
                <w:lang w:val="en-US" w:eastAsia="en-GB"/>
              </w:rPr>
              <w:t>BMJ Global Health</w:t>
            </w:r>
            <w:r>
              <w:rPr>
                <w:rFonts w:eastAsia="Times New Roman" w:cs="Times New Roman"/>
                <w:color w:val="000000" w:themeColor="text1"/>
                <w:sz w:val="22"/>
                <w:lang w:val="en-US" w:eastAsia="en-GB"/>
              </w:rPr>
              <w:t xml:space="preserve">, 5(2). Available at: </w:t>
            </w:r>
          </w:p>
          <w:p w14:paraId="3F167B86" w14:textId="77777777" w:rsidR="00DF056F" w:rsidRDefault="004563C0">
            <w:pPr>
              <w:spacing w:after="0" w:line="360" w:lineRule="auto"/>
              <w:jc w:val="both"/>
              <w:rPr>
                <w:rFonts w:eastAsia="Times New Roman" w:cs="Times New Roman"/>
                <w:color w:val="000000" w:themeColor="text1"/>
                <w:sz w:val="22"/>
                <w:lang w:val="en-US" w:eastAsia="en-GB"/>
              </w:rPr>
            </w:pPr>
            <w:proofErr w:type="spellStart"/>
            <w:r>
              <w:rPr>
                <w:rFonts w:eastAsia="Times New Roman"/>
                <w:color w:val="000000" w:themeColor="text1"/>
                <w:sz w:val="22"/>
                <w:lang w:val="en-US" w:eastAsia="en-GB"/>
              </w:rPr>
              <w:t>Kinman</w:t>
            </w:r>
            <w:proofErr w:type="spellEnd"/>
            <w:r>
              <w:rPr>
                <w:rFonts w:eastAsia="Times New Roman"/>
                <w:color w:val="000000" w:themeColor="text1"/>
                <w:sz w:val="22"/>
                <w:lang w:val="en-US" w:eastAsia="en-GB"/>
              </w:rPr>
              <w:t xml:space="preserve">, G. and Grant, L. (2020) ‘Emotional demands, compassion and mental health in social workers’, </w:t>
            </w:r>
            <w:r>
              <w:rPr>
                <w:rFonts w:eastAsia="Times New Roman"/>
                <w:i/>
                <w:iCs/>
                <w:color w:val="000000" w:themeColor="text1"/>
                <w:sz w:val="22"/>
                <w:lang w:val="en-US" w:eastAsia="en-GB"/>
              </w:rPr>
              <w:t xml:space="preserve">Occupational Medicine, </w:t>
            </w:r>
            <w:r>
              <w:rPr>
                <w:rFonts w:eastAsia="Times New Roman"/>
                <w:color w:val="000000" w:themeColor="text1"/>
                <w:sz w:val="22"/>
                <w:lang w:val="en-US" w:eastAsia="en-GB"/>
              </w:rPr>
              <w:t xml:space="preserve">70(2), pp.89-94. </w:t>
            </w:r>
            <w:r>
              <w:rPr>
                <w:rFonts w:eastAsia="Times New Roman" w:cs="Times New Roman"/>
                <w:color w:val="000000" w:themeColor="text1"/>
                <w:sz w:val="22"/>
                <w:lang w:val="en-US" w:eastAsia="en-GB"/>
              </w:rPr>
              <w:t xml:space="preserve">Available at: </w:t>
            </w:r>
            <w:hyperlink r:id="rId17" w:history="1">
              <w:r>
                <w:rPr>
                  <w:rStyle w:val="Hyperlink"/>
                  <w:rFonts w:eastAsia="Times New Roman"/>
                  <w:sz w:val="22"/>
                  <w:lang w:val="en-US" w:eastAsia="en-GB"/>
                </w:rPr>
                <w:t>https://doi.org/10.1093/occmed/kqz144</w:t>
              </w:r>
            </w:hyperlink>
            <w:r>
              <w:rPr>
                <w:rFonts w:eastAsia="Times New Roman"/>
                <w:color w:val="000000" w:themeColor="text1"/>
                <w:sz w:val="22"/>
                <w:lang w:val="en-US" w:eastAsia="en-GB"/>
              </w:rPr>
              <w:t xml:space="preserve"> </w:t>
            </w:r>
          </w:p>
          <w:p w14:paraId="5C8D871D" w14:textId="77777777" w:rsidR="00DF056F" w:rsidRDefault="004563C0">
            <w:pPr>
              <w:spacing w:after="0" w:line="360" w:lineRule="auto"/>
              <w:jc w:val="both"/>
              <w:rPr>
                <w:rFonts w:eastAsia="Times New Roman" w:cs="Times New Roman"/>
                <w:color w:val="000000" w:themeColor="text1"/>
                <w:sz w:val="22"/>
                <w:lang w:val="en-US" w:eastAsia="en-GB"/>
              </w:rPr>
            </w:pPr>
            <w:r>
              <w:rPr>
                <w:rFonts w:eastAsia="Times New Roman" w:cs="Times New Roman"/>
                <w:color w:val="000000" w:themeColor="text1"/>
                <w:sz w:val="22"/>
                <w:lang w:val="en-US" w:eastAsia="en-GB"/>
              </w:rPr>
              <w:t xml:space="preserve">Kun, Á., Balogh, P. and </w:t>
            </w:r>
            <w:proofErr w:type="spellStart"/>
            <w:r>
              <w:rPr>
                <w:rFonts w:eastAsia="Times New Roman" w:cs="Times New Roman"/>
                <w:color w:val="000000" w:themeColor="text1"/>
                <w:sz w:val="22"/>
                <w:lang w:val="en-US" w:eastAsia="en-GB"/>
              </w:rPr>
              <w:t>Krasz</w:t>
            </w:r>
            <w:proofErr w:type="spellEnd"/>
            <w:r>
              <w:rPr>
                <w:rFonts w:eastAsia="Times New Roman" w:cs="Times New Roman"/>
                <w:color w:val="000000" w:themeColor="text1"/>
                <w:sz w:val="22"/>
                <w:lang w:val="en-US" w:eastAsia="en-GB"/>
              </w:rPr>
              <w:t xml:space="preserve">, K.G. (2017) ‘Development of the work-related well-being questionnaire based on Seligman’s PERMA model’, </w:t>
            </w:r>
            <w:proofErr w:type="spellStart"/>
            <w:r>
              <w:rPr>
                <w:rFonts w:eastAsia="Times New Roman" w:cs="Times New Roman"/>
                <w:i/>
                <w:iCs/>
                <w:color w:val="000000" w:themeColor="text1"/>
                <w:sz w:val="22"/>
                <w:lang w:val="en-US" w:eastAsia="en-GB"/>
              </w:rPr>
              <w:t>Periodica</w:t>
            </w:r>
            <w:proofErr w:type="spellEnd"/>
            <w:r>
              <w:rPr>
                <w:rFonts w:eastAsia="Times New Roman" w:cs="Times New Roman"/>
                <w:i/>
                <w:iCs/>
                <w:color w:val="000000" w:themeColor="text1"/>
                <w:sz w:val="22"/>
                <w:lang w:val="en-US" w:eastAsia="en-GB"/>
              </w:rPr>
              <w:t xml:space="preserve"> </w:t>
            </w:r>
            <w:proofErr w:type="spellStart"/>
            <w:r>
              <w:rPr>
                <w:rFonts w:eastAsia="Times New Roman" w:cs="Times New Roman"/>
                <w:i/>
                <w:iCs/>
                <w:color w:val="000000" w:themeColor="text1"/>
                <w:sz w:val="22"/>
                <w:lang w:val="en-US" w:eastAsia="en-GB"/>
              </w:rPr>
              <w:t>Polytechnica</w:t>
            </w:r>
            <w:proofErr w:type="spellEnd"/>
            <w:r>
              <w:rPr>
                <w:rFonts w:eastAsia="Times New Roman" w:cs="Times New Roman"/>
                <w:i/>
                <w:iCs/>
                <w:color w:val="000000" w:themeColor="text1"/>
                <w:sz w:val="22"/>
                <w:lang w:val="en-US" w:eastAsia="en-GB"/>
              </w:rPr>
              <w:t xml:space="preserve"> Social and Management Sciences,</w:t>
            </w:r>
            <w:r>
              <w:rPr>
                <w:rFonts w:eastAsia="Times New Roman" w:cs="Times New Roman"/>
                <w:color w:val="000000" w:themeColor="text1"/>
                <w:sz w:val="22"/>
                <w:lang w:val="en-US" w:eastAsia="en-GB"/>
              </w:rPr>
              <w:t xml:space="preserve"> 25(1), pp.56-63. Available at: </w:t>
            </w:r>
            <w:hyperlink r:id="rId18" w:history="1">
              <w:r>
                <w:rPr>
                  <w:rStyle w:val="Hyperlink"/>
                  <w:rFonts w:eastAsia="Times New Roman"/>
                  <w:sz w:val="22"/>
                  <w:lang w:val="en-US" w:eastAsia="en-GB"/>
                </w:rPr>
                <w:t>https://doi.org/10.3311/PPso.9326</w:t>
              </w:r>
            </w:hyperlink>
            <w:r>
              <w:rPr>
                <w:rFonts w:eastAsia="Times New Roman"/>
                <w:color w:val="000000" w:themeColor="text1"/>
                <w:sz w:val="22"/>
                <w:lang w:val="en-US" w:eastAsia="en-GB"/>
              </w:rPr>
              <w:t xml:space="preserve"> </w:t>
            </w:r>
          </w:p>
          <w:p w14:paraId="3C854FA8" w14:textId="77777777" w:rsidR="00DF056F" w:rsidRDefault="004563C0">
            <w:pPr>
              <w:spacing w:after="0" w:line="360" w:lineRule="auto"/>
              <w:jc w:val="both"/>
              <w:rPr>
                <w:rFonts w:eastAsia="Times New Roman" w:cs="Times New Roman"/>
                <w:color w:val="000000" w:themeColor="text1"/>
                <w:sz w:val="22"/>
                <w:lang w:val="en-US" w:eastAsia="en-GB"/>
              </w:rPr>
            </w:pPr>
            <w:r>
              <w:rPr>
                <w:rFonts w:eastAsia="Times New Roman" w:cs="Times New Roman"/>
                <w:color w:val="000000" w:themeColor="text1"/>
                <w:sz w:val="22"/>
                <w:lang w:val="en-US" w:eastAsia="en-GB"/>
              </w:rPr>
              <w:t xml:space="preserve">Luft, J. and Ingham, H. (1955) ‘The Johari window, a graphic model of interpersonal awareness’, </w:t>
            </w:r>
            <w:r>
              <w:rPr>
                <w:rFonts w:eastAsia="Times New Roman" w:cs="Times New Roman"/>
                <w:i/>
                <w:iCs/>
                <w:color w:val="000000" w:themeColor="text1"/>
                <w:sz w:val="22"/>
                <w:lang w:val="en-US" w:eastAsia="en-GB"/>
              </w:rPr>
              <w:t>Proceedings of the western training laboratory in group development,</w:t>
            </w:r>
            <w:r>
              <w:rPr>
                <w:rFonts w:eastAsia="Times New Roman" w:cs="Times New Roman"/>
                <w:color w:val="000000" w:themeColor="text1"/>
                <w:sz w:val="22"/>
                <w:lang w:val="en-US" w:eastAsia="en-GB"/>
              </w:rPr>
              <w:t xml:space="preserve"> 246, pp.2014-2003. Available at: </w:t>
            </w:r>
            <w:hyperlink r:id="rId19" w:history="1">
              <w:r>
                <w:rPr>
                  <w:rStyle w:val="Hyperlink"/>
                  <w:rFonts w:eastAsia="Times New Roman"/>
                  <w:sz w:val="22"/>
                  <w:lang w:val="en-US" w:eastAsia="en-GB"/>
                </w:rPr>
                <w:t>https://static1.squarespace.com/static/572d003b40261d2ef97e5b0b/t/5ca20f68e2c48320572e81e7/1554124653572/Luft%2BIngham%2Bdocument.pdf</w:t>
              </w:r>
            </w:hyperlink>
            <w:r>
              <w:rPr>
                <w:rFonts w:eastAsia="Times New Roman"/>
                <w:color w:val="000000" w:themeColor="text1"/>
                <w:sz w:val="22"/>
                <w:lang w:val="en-US" w:eastAsia="en-GB"/>
              </w:rPr>
              <w:t xml:space="preserve"> </w:t>
            </w:r>
          </w:p>
          <w:p w14:paraId="614DBDFD" w14:textId="77777777" w:rsidR="00DF056F" w:rsidRDefault="004563C0">
            <w:pPr>
              <w:spacing w:after="0" w:line="360" w:lineRule="auto"/>
              <w:jc w:val="both"/>
              <w:rPr>
                <w:rFonts w:eastAsia="Times New Roman"/>
                <w:color w:val="000000" w:themeColor="text1"/>
                <w:sz w:val="22"/>
                <w:lang w:val="en-US" w:eastAsia="en-GB"/>
              </w:rPr>
            </w:pPr>
            <w:r>
              <w:rPr>
                <w:rFonts w:eastAsia="Times New Roman" w:cs="Times New Roman"/>
                <w:color w:val="000000" w:themeColor="text1"/>
                <w:sz w:val="22"/>
                <w:lang w:val="en-US" w:eastAsia="en-GB"/>
              </w:rPr>
              <w:t xml:space="preserve">NHS (2026) </w:t>
            </w:r>
            <w:r>
              <w:rPr>
                <w:rFonts w:eastAsia="Times New Roman"/>
                <w:i/>
                <w:iCs/>
                <w:color w:val="000000" w:themeColor="text1"/>
                <w:sz w:val="22"/>
                <w:lang w:val="en-US" w:eastAsia="en-GB"/>
              </w:rPr>
              <w:t>Johari’s Window (1955)</w:t>
            </w:r>
            <w:r>
              <w:rPr>
                <w:rFonts w:eastAsia="Times New Roman"/>
                <w:color w:val="000000" w:themeColor="text1"/>
                <w:sz w:val="22"/>
                <w:lang w:val="en-US" w:eastAsia="en-GB"/>
              </w:rPr>
              <w:t xml:space="preserve">. Available at: </w:t>
            </w:r>
            <w:hyperlink r:id="rId20" w:history="1">
              <w:r>
                <w:rPr>
                  <w:rStyle w:val="Hyperlink"/>
                  <w:rFonts w:eastAsia="Times New Roman"/>
                  <w:sz w:val="22"/>
                  <w:lang w:val="en-US" w:eastAsia="en-GB"/>
                </w:rPr>
                <w:t>https://www.hee.nhs.uk/sites/default/files/documents/Johari%20window.pdf</w:t>
              </w:r>
            </w:hyperlink>
            <w:r>
              <w:rPr>
                <w:rFonts w:eastAsia="Times New Roman"/>
                <w:color w:val="000000" w:themeColor="text1"/>
                <w:sz w:val="22"/>
                <w:lang w:val="en-US" w:eastAsia="en-GB"/>
              </w:rPr>
              <w:t xml:space="preserve"> (Accessed: 27 February 2026).</w:t>
            </w:r>
          </w:p>
          <w:p w14:paraId="7E7E8A91" w14:textId="77777777" w:rsidR="00DF056F" w:rsidRDefault="004563C0">
            <w:pPr>
              <w:spacing w:after="0" w:line="360" w:lineRule="auto"/>
              <w:jc w:val="both"/>
              <w:rPr>
                <w:rFonts w:eastAsia="Times New Roman"/>
                <w:color w:val="000000" w:themeColor="text1"/>
                <w:sz w:val="22"/>
                <w:lang w:val="en-US" w:eastAsia="en-GB"/>
              </w:rPr>
            </w:pPr>
            <w:proofErr w:type="spellStart"/>
            <w:r>
              <w:rPr>
                <w:rFonts w:eastAsia="Times New Roman"/>
                <w:color w:val="000000" w:themeColor="text1"/>
                <w:sz w:val="22"/>
                <w:lang w:val="en-US" w:eastAsia="en-GB"/>
              </w:rPr>
              <w:lastRenderedPageBreak/>
              <w:t>Portes</w:t>
            </w:r>
            <w:proofErr w:type="spellEnd"/>
            <w:r>
              <w:rPr>
                <w:rFonts w:eastAsia="Times New Roman"/>
                <w:color w:val="000000" w:themeColor="text1"/>
                <w:sz w:val="22"/>
                <w:lang w:val="en-US" w:eastAsia="en-GB"/>
              </w:rPr>
              <w:t xml:space="preserve">, A. (2024) ‘Social capital: Its origins and applications in modern sociology’, </w:t>
            </w:r>
            <w:r>
              <w:rPr>
                <w:rFonts w:eastAsia="Times New Roman"/>
                <w:i/>
                <w:iCs/>
                <w:color w:val="000000" w:themeColor="text1"/>
                <w:sz w:val="22"/>
                <w:lang w:val="en-US" w:eastAsia="en-GB"/>
              </w:rPr>
              <w:t>New critical writings in political sociology,</w:t>
            </w:r>
            <w:r>
              <w:rPr>
                <w:rFonts w:eastAsia="Times New Roman"/>
                <w:color w:val="000000" w:themeColor="text1"/>
                <w:sz w:val="22"/>
                <w:lang w:val="en-US" w:eastAsia="en-GB"/>
              </w:rPr>
              <w:t xml:space="preserve"> pp.53-76. Available at: </w:t>
            </w:r>
            <w:hyperlink r:id="rId21" w:history="1">
              <w:r>
                <w:rPr>
                  <w:rStyle w:val="Hyperlink"/>
                  <w:rFonts w:eastAsia="Times New Roman"/>
                  <w:sz w:val="22"/>
                  <w:lang w:val="en-US" w:eastAsia="en-GB"/>
                </w:rPr>
                <w:t>https://doi.org/10.4324/9781003572923-6</w:t>
              </w:r>
            </w:hyperlink>
            <w:r>
              <w:rPr>
                <w:rFonts w:eastAsia="Times New Roman"/>
                <w:color w:val="000000" w:themeColor="text1"/>
                <w:sz w:val="22"/>
                <w:lang w:val="en-US" w:eastAsia="en-GB"/>
              </w:rPr>
              <w:t xml:space="preserve"> </w:t>
            </w:r>
          </w:p>
          <w:p w14:paraId="5796DFF3" w14:textId="77777777" w:rsidR="00DF056F" w:rsidRDefault="004563C0">
            <w:pPr>
              <w:spacing w:after="0" w:line="360" w:lineRule="auto"/>
              <w:jc w:val="both"/>
              <w:rPr>
                <w:rFonts w:eastAsia="Times New Roman" w:cs="Times New Roman"/>
                <w:b/>
                <w:bCs/>
                <w:color w:val="000000"/>
                <w:sz w:val="22"/>
                <w:lang w:eastAsia="en-GB"/>
              </w:rPr>
            </w:pPr>
            <w:r>
              <w:rPr>
                <w:rFonts w:eastAsia="Times New Roman"/>
                <w:color w:val="000000" w:themeColor="text1"/>
                <w:sz w:val="22"/>
                <w:lang w:val="en-US" w:eastAsia="en-GB"/>
              </w:rPr>
              <w:t xml:space="preserve">Sharp, G., Bourke, L. and Rickard, M.J. (2020) ‘Review of emotional intelligence in health care: an introduction to emotional intelligence for surgeons’, </w:t>
            </w:r>
            <w:r>
              <w:rPr>
                <w:rFonts w:eastAsia="Times New Roman"/>
                <w:i/>
                <w:iCs/>
                <w:color w:val="000000" w:themeColor="text1"/>
                <w:sz w:val="22"/>
                <w:lang w:val="en-US" w:eastAsia="en-GB"/>
              </w:rPr>
              <w:t>ANZ journal of surgery,</w:t>
            </w:r>
            <w:r>
              <w:rPr>
                <w:rFonts w:eastAsia="Times New Roman"/>
                <w:color w:val="000000" w:themeColor="text1"/>
                <w:sz w:val="22"/>
                <w:lang w:val="en-US" w:eastAsia="en-GB"/>
              </w:rPr>
              <w:t xml:space="preserve"> 90(4), pp.433-440. Available at: </w:t>
            </w:r>
            <w:hyperlink r:id="rId22" w:history="1">
              <w:r>
                <w:rPr>
                  <w:rStyle w:val="Hyperlink"/>
                  <w:rFonts w:eastAsia="Times New Roman"/>
                  <w:sz w:val="22"/>
                  <w:lang w:val="en-US" w:eastAsia="en-GB"/>
                </w:rPr>
                <w:t>https://doi.org/10.1111/ans.15671</w:t>
              </w:r>
            </w:hyperlink>
            <w:r>
              <w:rPr>
                <w:rFonts w:eastAsia="Times New Roman"/>
                <w:color w:val="000000" w:themeColor="text1"/>
                <w:sz w:val="22"/>
                <w:lang w:val="en-US" w:eastAsia="en-GB"/>
              </w:rPr>
              <w:t xml:space="preserve"> </w:t>
            </w:r>
          </w:p>
        </w:tc>
      </w:tr>
    </w:tbl>
    <w:p w14:paraId="56800C0D" w14:textId="77777777" w:rsidR="00DF056F" w:rsidRDefault="00DF056F">
      <w:pPr>
        <w:spacing w:before="100" w:beforeAutospacing="1" w:after="100" w:afterAutospacing="1" w:line="240" w:lineRule="auto"/>
        <w:outlineLvl w:val="1"/>
        <w:rPr>
          <w:rFonts w:eastAsia="Times New Roman" w:cs="Times New Roman"/>
          <w:b/>
          <w:bCs/>
          <w:color w:val="000000"/>
          <w:sz w:val="36"/>
          <w:szCs w:val="36"/>
          <w:lang w:eastAsia="en-GB"/>
        </w:rPr>
      </w:pPr>
    </w:p>
    <w:p w14:paraId="095B2C50" w14:textId="77777777" w:rsidR="00DF056F" w:rsidRDefault="00DF056F">
      <w:pPr>
        <w:spacing w:before="100" w:beforeAutospacing="1" w:after="100" w:afterAutospacing="1" w:line="240" w:lineRule="auto"/>
        <w:rPr>
          <w:rFonts w:eastAsia="Times New Roman" w:cs="Arial"/>
          <w:color w:val="000000"/>
          <w:szCs w:val="24"/>
          <w:lang w:eastAsia="en-GB"/>
        </w:rPr>
      </w:pPr>
    </w:p>
    <w:p w14:paraId="09BFA786" w14:textId="77777777" w:rsidR="00DF056F" w:rsidRDefault="00DF056F">
      <w:pPr>
        <w:spacing w:after="0" w:line="240" w:lineRule="auto"/>
        <w:rPr>
          <w:rFonts w:eastAsia="Times New Roman" w:cs="Times New Roman"/>
          <w:szCs w:val="24"/>
          <w:lang w:eastAsia="en-GB"/>
        </w:rPr>
      </w:pPr>
    </w:p>
    <w:p w14:paraId="188A6479" w14:textId="77777777" w:rsidR="00DF056F" w:rsidRDefault="00DF056F">
      <w:pPr>
        <w:spacing w:after="0" w:line="240" w:lineRule="auto"/>
        <w:rPr>
          <w:rFonts w:eastAsia="Times New Roman" w:cs="Times New Roman"/>
          <w:szCs w:val="24"/>
          <w:lang w:eastAsia="en-GB"/>
        </w:rPr>
      </w:pPr>
    </w:p>
    <w:p w14:paraId="103D308E" w14:textId="77777777" w:rsidR="00DF056F" w:rsidRDefault="00DF056F">
      <w:pPr>
        <w:spacing w:before="100" w:beforeAutospacing="1" w:after="100" w:afterAutospacing="1" w:line="240" w:lineRule="auto"/>
        <w:rPr>
          <w:rFonts w:eastAsia="Times New Roman" w:cs="Arial"/>
          <w:color w:val="000000"/>
          <w:szCs w:val="24"/>
          <w:lang w:val="en-US" w:eastAsia="en-GB"/>
        </w:rPr>
      </w:pPr>
    </w:p>
    <w:sectPr w:rsidR="00DF056F">
      <w:head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7F5691" w14:textId="77777777" w:rsidR="000D768B" w:rsidRDefault="000D768B">
      <w:pPr>
        <w:spacing w:line="240" w:lineRule="auto"/>
      </w:pPr>
      <w:r>
        <w:separator/>
      </w:r>
    </w:p>
  </w:endnote>
  <w:endnote w:type="continuationSeparator" w:id="0">
    <w:p w14:paraId="2FD0BE44" w14:textId="77777777" w:rsidR="000D768B" w:rsidRDefault="000D76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default"/>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C91CAA" w14:textId="77777777" w:rsidR="000D768B" w:rsidRDefault="000D768B">
      <w:pPr>
        <w:spacing w:after="0"/>
      </w:pPr>
      <w:r>
        <w:separator/>
      </w:r>
    </w:p>
  </w:footnote>
  <w:footnote w:type="continuationSeparator" w:id="0">
    <w:p w14:paraId="0CCD521C" w14:textId="77777777" w:rsidR="000D768B" w:rsidRDefault="000D768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D91815" w14:textId="77777777" w:rsidR="00DF056F" w:rsidRDefault="004563C0">
    <w:pPr>
      <w:pStyle w:val="Header"/>
    </w:pPr>
    <w:r>
      <w:rPr>
        <w:noProof/>
        <w:lang w:val="en-US"/>
      </w:rPr>
      <mc:AlternateContent>
        <mc:Choice Requires="wps">
          <w:drawing>
            <wp:anchor distT="0" distB="0" distL="114300" distR="114300" simplePos="0" relativeHeight="251659264" behindDoc="0" locked="0" layoutInCell="1" allowOverlap="1" wp14:anchorId="6FD94134" wp14:editId="7CA74DB7">
              <wp:simplePos x="0" y="0"/>
              <wp:positionH relativeFrom="margin">
                <wp:align>right</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5D5FFD" w14:textId="77777777" w:rsidR="00DF056F" w:rsidRDefault="004563C0">
                          <w:pPr>
                            <w:pStyle w:val="Header"/>
                          </w:pPr>
                          <w:r>
                            <w:fldChar w:fldCharType="begin"/>
                          </w:r>
                          <w:r>
                            <w:instrText xml:space="preserve"> PAGE  \* MERGEFORMAT </w:instrText>
                          </w:r>
                          <w:r>
                            <w:fldChar w:fldCharType="separate"/>
                          </w:r>
                          <w:r w:rsidR="00BA0F04">
                            <w:rPr>
                              <w:noProof/>
                            </w:rP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" filled="f" stroked="f" strokeweight=".5pt">
              <v:textbox style="mso-fit-shape-to-text:t" inset="0,0,0,0">
                <w:txbxContent>
                  <w:p w:rsidR="00DF056F" w:rsidRDefault="004563C0">
                    <w:pPr>
                      <w:pStyle w:val="Header"/>
                    </w:pPr>
                    <w:r>
                      <w:fldChar w:fldCharType="begin"/>
                    </w:r>
                    <w:r>
                      <w:instrText xml:space="preserve"> PAGE  \* MERGEFORMAT </w:instrText>
                    </w:r>
                    <w:r>
                      <w:fldChar w:fldCharType="separate"/>
                    </w:r>
                    <w:r w:rsidR="00BA0F04">
                      <w:rPr>
                        <w:noProof/>
                      </w:rPr>
                      <w:t>11</w:t>
                    </w:r>
                    <w:r>
                      <w:fldChar w:fldCharType="end"/>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doNotDisplayPageBoundaries/>
  <w:hideSpellingErrors/>
  <w:hideGrammaticalErrors/>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B0"/>
    <w:rsid w:val="000273BC"/>
    <w:rsid w:val="00031B39"/>
    <w:rsid w:val="00041AA9"/>
    <w:rsid w:val="00047A57"/>
    <w:rsid w:val="000A0AEE"/>
    <w:rsid w:val="000D768B"/>
    <w:rsid w:val="001333C2"/>
    <w:rsid w:val="001D345E"/>
    <w:rsid w:val="0020701E"/>
    <w:rsid w:val="00216C9D"/>
    <w:rsid w:val="00220640"/>
    <w:rsid w:val="002A2710"/>
    <w:rsid w:val="002D39BD"/>
    <w:rsid w:val="002E4A72"/>
    <w:rsid w:val="00307912"/>
    <w:rsid w:val="00317E3D"/>
    <w:rsid w:val="00332BDC"/>
    <w:rsid w:val="00350430"/>
    <w:rsid w:val="00355EA9"/>
    <w:rsid w:val="00393B9D"/>
    <w:rsid w:val="003E4EF8"/>
    <w:rsid w:val="004563C0"/>
    <w:rsid w:val="004A0214"/>
    <w:rsid w:val="004D6692"/>
    <w:rsid w:val="004F6AC3"/>
    <w:rsid w:val="0052652B"/>
    <w:rsid w:val="00530399"/>
    <w:rsid w:val="00531EB3"/>
    <w:rsid w:val="0058218C"/>
    <w:rsid w:val="005910C2"/>
    <w:rsid w:val="00594FAC"/>
    <w:rsid w:val="0064794A"/>
    <w:rsid w:val="006524ED"/>
    <w:rsid w:val="006D2F2D"/>
    <w:rsid w:val="006E1FF9"/>
    <w:rsid w:val="006E5DBD"/>
    <w:rsid w:val="006F04E3"/>
    <w:rsid w:val="00785886"/>
    <w:rsid w:val="00795EE2"/>
    <w:rsid w:val="007F3A6A"/>
    <w:rsid w:val="00801D40"/>
    <w:rsid w:val="00806006"/>
    <w:rsid w:val="00821FD2"/>
    <w:rsid w:val="00823383"/>
    <w:rsid w:val="00823BE5"/>
    <w:rsid w:val="00827D6A"/>
    <w:rsid w:val="008C7D17"/>
    <w:rsid w:val="008E20E6"/>
    <w:rsid w:val="008F6D4B"/>
    <w:rsid w:val="00971B12"/>
    <w:rsid w:val="00994D2E"/>
    <w:rsid w:val="009A3B21"/>
    <w:rsid w:val="009A509B"/>
    <w:rsid w:val="009B6819"/>
    <w:rsid w:val="009D026B"/>
    <w:rsid w:val="009D7F37"/>
    <w:rsid w:val="00A5293D"/>
    <w:rsid w:val="00AF3981"/>
    <w:rsid w:val="00B00FFC"/>
    <w:rsid w:val="00B21FE6"/>
    <w:rsid w:val="00B23112"/>
    <w:rsid w:val="00BA0F04"/>
    <w:rsid w:val="00BC79FE"/>
    <w:rsid w:val="00C558B0"/>
    <w:rsid w:val="00C62606"/>
    <w:rsid w:val="00C96593"/>
    <w:rsid w:val="00CF2E66"/>
    <w:rsid w:val="00D231D2"/>
    <w:rsid w:val="00D545BA"/>
    <w:rsid w:val="00D6052E"/>
    <w:rsid w:val="00DB253E"/>
    <w:rsid w:val="00DF056F"/>
    <w:rsid w:val="00E81204"/>
    <w:rsid w:val="00ED501F"/>
    <w:rsid w:val="00EE4FDB"/>
    <w:rsid w:val="00F751D8"/>
    <w:rsid w:val="00F81510"/>
    <w:rsid w:val="00F9316D"/>
    <w:rsid w:val="00FA6248"/>
    <w:rsid w:val="0EF14925"/>
    <w:rsid w:val="11880F2A"/>
    <w:rsid w:val="11FF652C"/>
    <w:rsid w:val="122A7A80"/>
    <w:rsid w:val="124A3F8C"/>
    <w:rsid w:val="161D5555"/>
    <w:rsid w:val="194A1792"/>
    <w:rsid w:val="1D0E344E"/>
    <w:rsid w:val="23EB5256"/>
    <w:rsid w:val="255E407B"/>
    <w:rsid w:val="26E01E44"/>
    <w:rsid w:val="29D548B3"/>
    <w:rsid w:val="2AD967B9"/>
    <w:rsid w:val="2F60747B"/>
    <w:rsid w:val="2F7D2CC8"/>
    <w:rsid w:val="31CE17CA"/>
    <w:rsid w:val="32C953D7"/>
    <w:rsid w:val="33BB0DF2"/>
    <w:rsid w:val="34F639C8"/>
    <w:rsid w:val="34FA1205"/>
    <w:rsid w:val="361D7DD4"/>
    <w:rsid w:val="366F13BA"/>
    <w:rsid w:val="372B2CA7"/>
    <w:rsid w:val="37DE1858"/>
    <w:rsid w:val="38F459C9"/>
    <w:rsid w:val="39917B17"/>
    <w:rsid w:val="3A545AFA"/>
    <w:rsid w:val="3AC7657F"/>
    <w:rsid w:val="3B816098"/>
    <w:rsid w:val="3F9D6D5C"/>
    <w:rsid w:val="3FC55C17"/>
    <w:rsid w:val="40C631BD"/>
    <w:rsid w:val="41295751"/>
    <w:rsid w:val="42894505"/>
    <w:rsid w:val="43696985"/>
    <w:rsid w:val="44351CAF"/>
    <w:rsid w:val="45D03082"/>
    <w:rsid w:val="47BD3BA4"/>
    <w:rsid w:val="48343468"/>
    <w:rsid w:val="49AD3529"/>
    <w:rsid w:val="4A4608E1"/>
    <w:rsid w:val="4B2E5903"/>
    <w:rsid w:val="4B992EB7"/>
    <w:rsid w:val="4E74375B"/>
    <w:rsid w:val="50C326C7"/>
    <w:rsid w:val="51530625"/>
    <w:rsid w:val="51BA7EA1"/>
    <w:rsid w:val="54844CCE"/>
    <w:rsid w:val="54930E84"/>
    <w:rsid w:val="58F805C3"/>
    <w:rsid w:val="5D530F0E"/>
    <w:rsid w:val="62795649"/>
    <w:rsid w:val="638B54CB"/>
    <w:rsid w:val="65083052"/>
    <w:rsid w:val="66D30F24"/>
    <w:rsid w:val="68D816BD"/>
    <w:rsid w:val="6CCD43FE"/>
    <w:rsid w:val="6CFA7F2C"/>
    <w:rsid w:val="6FFD2A2D"/>
    <w:rsid w:val="703B00B1"/>
    <w:rsid w:val="73235A27"/>
    <w:rsid w:val="74C958A7"/>
    <w:rsid w:val="7A0A3842"/>
    <w:rsid w:val="7B8F7958"/>
    <w:rsid w:val="7DB91884"/>
    <w:rsid w:val="7DBF20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A6A1BBB"/>
  <w15:docId w15:val="{6AC6F424-6D43-4F7B-8039-E3AD74716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6" w:lineRule="auto"/>
    </w:pPr>
    <w:rPr>
      <w:rFonts w:ascii="Arial" w:eastAsiaTheme="minorEastAsia" w:hAnsi="Arial" w:cstheme="minorBidi"/>
      <w:sz w:val="24"/>
      <w:szCs w:val="22"/>
      <w:lang w:val="en-GB"/>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pPr>
      <w:spacing w:before="100" w:beforeAutospacing="1" w:after="100" w:afterAutospacing="1" w:line="240" w:lineRule="auto"/>
      <w:outlineLvl w:val="1"/>
    </w:pPr>
    <w:rPr>
      <w:rFonts w:eastAsia="Times New Roman" w:cs="Times New Roman"/>
      <w:b/>
      <w:bCs/>
      <w:sz w:val="36"/>
      <w:szCs w:val="36"/>
      <w:lang w:eastAsia="en-GB"/>
    </w:rPr>
  </w:style>
  <w:style w:type="paragraph" w:styleId="Heading3">
    <w:name w:val="heading 3"/>
    <w:basedOn w:val="Normal"/>
    <w:link w:val="Heading3Char"/>
    <w:uiPriority w:val="9"/>
    <w:qFormat/>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rFonts w:asciiTheme="minorHAnsi" w:hAnsiTheme="minorHAnsi"/>
      <w:i/>
      <w:iCs/>
      <w:color w:val="44546A" w:themeColor="text2"/>
      <w:sz w:val="18"/>
      <w:szCs w:val="18"/>
      <w:lang w:val="en-US"/>
    </w:rPr>
  </w:style>
  <w:style w:type="paragraph" w:styleId="CommentText">
    <w:name w:val="annotation text"/>
    <w:basedOn w:val="Normal"/>
    <w:uiPriority w:val="99"/>
    <w:semiHidden/>
    <w:unhideWhenUsed/>
    <w:qFormat/>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semiHidden/>
    <w:unhideWhenUsed/>
    <w:qFormat/>
    <w:rPr>
      <w:color w:val="0000FF"/>
      <w:u w:val="single"/>
    </w:rPr>
  </w:style>
  <w:style w:type="paragraph" w:styleId="NormalWeb">
    <w:name w:val="Normal (Web)"/>
    <w:basedOn w:val="Normal"/>
    <w:uiPriority w:val="99"/>
    <w:unhideWhenUsed/>
    <w:qFormat/>
    <w:pPr>
      <w:spacing w:before="100" w:beforeAutospacing="1" w:after="100" w:afterAutospacing="1" w:line="240" w:lineRule="auto"/>
    </w:pPr>
    <w:rPr>
      <w:rFonts w:eastAsia="Times New Roman" w:cs="Times New Roman"/>
      <w:szCs w:val="24"/>
      <w:lang w:eastAsia="en-GB"/>
    </w:rPr>
  </w:style>
  <w:style w:type="character" w:styleId="Strong">
    <w:name w:val="Strong"/>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qFormat/>
  </w:style>
  <w:style w:type="paragraph" w:styleId="NoSpacing">
    <w:name w:val="No Spacing"/>
    <w:uiPriority w:val="1"/>
    <w:qFormat/>
    <w:rPr>
      <w:rFonts w:eastAsiaTheme="minorHAnsi" w:cstheme="minorBidi"/>
      <w:sz w:val="24"/>
      <w:szCs w:val="22"/>
      <w:lang w:val="en-GB"/>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93B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3B9D"/>
    <w:rPr>
      <w:rFonts w:ascii="Segoe UI" w:eastAsiaTheme="minorEastAsia"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jpeg"/><Relationship Id="rId18" Type="http://schemas.openxmlformats.org/officeDocument/2006/relationships/hyperlink" Target="https://doi.org/10.3311/PPso.9326" TargetMode="External"/><Relationship Id="rId3" Type="http://schemas.openxmlformats.org/officeDocument/2006/relationships/settings" Target="settings.xml"/><Relationship Id="rId21" Type="http://schemas.openxmlformats.org/officeDocument/2006/relationships/hyperlink" Target="https://doi.org/10.4324/9781003572923-6"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yperlink" Target="https://doi.org/10.1093/occmed/kqz14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77/0022002184015004003" TargetMode="External"/><Relationship Id="rId20" Type="http://schemas.openxmlformats.org/officeDocument/2006/relationships/hyperlink" Target="https://www.hee.nhs.uk/sites/default/files/documents/Johari%20window.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s://static1.squarespace.com/static/572d003b40261d2ef97e5b0b/t/5ca20f68e2c48320572e81e7/1554124653572/Luft%2BIngham%2Bdocument.pdf"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doi.org/10.1111/ans.15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2249</Words>
  <Characters>13363</Characters>
  <Application>Microsoft Office Word</Application>
  <DocSecurity>0</DocSecurity>
  <Lines>270</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Tosin Yusuf (2334371)</cp:lastModifiedBy>
  <cp:revision>3</cp:revision>
  <dcterms:created xsi:type="dcterms:W3CDTF">2026-03-04T23:13:00Z</dcterms:created>
  <dcterms:modified xsi:type="dcterms:W3CDTF">2026-03-27T16:59:00Z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767BF115928943E785697FED8BBB06AD_12</vt:lpwstr>
  </property>
  <property fmtid="{D5CDD505-2E9C-101B-9397-08002B2CF9AE}" pid="4" name="GrammarlyDocumentId">
    <vt:lpwstr>7164e45c-b54b-4a96-89dc-1e11d5eff0ef</vt:lpwstr>
  </property>
</Properties>
</file>