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AF2EC" w14:textId="77777777" w:rsidR="00E547D6" w:rsidRDefault="00E547D6" w:rsidP="00E547D6">
      <w:pPr>
        <w:widowControl w:val="0"/>
        <w:autoSpaceDE w:val="0"/>
        <w:autoSpaceDN w:val="0"/>
        <w:adjustRightInd w:val="0"/>
        <w:spacing w:after="165"/>
        <w:rPr>
          <w:rFonts w:ascii="Tahoma" w:hAnsi="Tahoma" w:cs="Tahoma"/>
          <w:color w:val="000000"/>
          <w:sz w:val="40"/>
          <w:szCs w:val="40"/>
          <w:lang w:val="en"/>
        </w:rPr>
      </w:pPr>
      <w:r>
        <w:rPr>
          <w:rFonts w:ascii="Tahoma" w:hAnsi="Tahoma" w:cs="Tahoma"/>
          <w:color w:val="000000"/>
          <w:sz w:val="40"/>
          <w:szCs w:val="40"/>
          <w:lang w:val="en"/>
        </w:rPr>
        <w:t xml:space="preserve">                </w:t>
      </w:r>
      <w:r>
        <w:rPr>
          <w:rFonts w:ascii="Calibri" w:hAnsi="Calibri" w:cs="Calibri"/>
          <w:noProof/>
          <w:lang w:eastAsia="en-GB"/>
        </w:rPr>
        <w:drawing>
          <wp:inline distT="0" distB="0" distL="0" distR="0" wp14:anchorId="03E1D6A9" wp14:editId="09F4C686">
            <wp:extent cx="3181350" cy="1073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1350" cy="1073150"/>
                    </a:xfrm>
                    <a:prstGeom prst="rect">
                      <a:avLst/>
                    </a:prstGeom>
                    <a:noFill/>
                    <a:ln>
                      <a:noFill/>
                    </a:ln>
                  </pic:spPr>
                </pic:pic>
              </a:graphicData>
            </a:graphic>
          </wp:inline>
        </w:drawing>
      </w:r>
    </w:p>
    <w:p w14:paraId="470633B5" w14:textId="77777777" w:rsidR="00E547D6" w:rsidRDefault="00E547D6" w:rsidP="00E547D6">
      <w:pPr>
        <w:widowControl w:val="0"/>
        <w:autoSpaceDE w:val="0"/>
        <w:autoSpaceDN w:val="0"/>
        <w:adjustRightInd w:val="0"/>
        <w:spacing w:after="165"/>
        <w:rPr>
          <w:rFonts w:ascii="Tahoma" w:hAnsi="Tahoma" w:cs="Tahoma"/>
          <w:color w:val="000000"/>
          <w:sz w:val="40"/>
          <w:szCs w:val="40"/>
          <w:lang w:val="en"/>
        </w:rPr>
      </w:pPr>
      <w:r>
        <w:rPr>
          <w:rFonts w:ascii="Tahoma" w:hAnsi="Tahoma" w:cs="Tahoma"/>
          <w:color w:val="000000"/>
          <w:sz w:val="40"/>
          <w:szCs w:val="40"/>
          <w:lang w:val="en"/>
        </w:rPr>
        <w:t xml:space="preserve"> </w:t>
      </w:r>
      <w:r>
        <w:rPr>
          <w:rFonts w:ascii="Tahoma" w:hAnsi="Tahoma" w:cs="Tahoma"/>
          <w:color w:val="000000"/>
          <w:sz w:val="40"/>
          <w:szCs w:val="40"/>
          <w:lang w:val="en"/>
        </w:rPr>
        <w:br/>
      </w:r>
    </w:p>
    <w:tbl>
      <w:tblPr>
        <w:tblW w:w="0" w:type="auto"/>
        <w:tblInd w:w="108" w:type="dxa"/>
        <w:tblLayout w:type="fixed"/>
        <w:tblLook w:val="0000" w:firstRow="0" w:lastRow="0" w:firstColumn="0" w:lastColumn="0" w:noHBand="0" w:noVBand="0"/>
      </w:tblPr>
      <w:tblGrid>
        <w:gridCol w:w="3438"/>
        <w:gridCol w:w="6055"/>
      </w:tblGrid>
      <w:tr w:rsidR="00E547D6" w14:paraId="31D38C8B" w14:textId="77777777" w:rsidTr="00A94CE4">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53FA76C7" w14:textId="77777777" w:rsidR="00E547D6" w:rsidRDefault="00E547D6" w:rsidP="00A94CE4">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Student Name:</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4AAB89D5" w14:textId="77777777" w:rsidR="00E547D6" w:rsidRDefault="00E547D6" w:rsidP="00A94CE4">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Pavlin Grancharov</w:t>
            </w:r>
          </w:p>
        </w:tc>
      </w:tr>
      <w:tr w:rsidR="00E547D6" w14:paraId="05B064FC" w14:textId="77777777" w:rsidTr="00A94CE4">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1BC37402" w14:textId="77777777" w:rsidR="00E547D6" w:rsidRDefault="00E547D6" w:rsidP="00A94CE4">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Student Number:</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34463D74" w14:textId="77777777" w:rsidR="00E547D6" w:rsidRDefault="00E547D6" w:rsidP="00A94CE4">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1806469</w:t>
            </w:r>
          </w:p>
        </w:tc>
      </w:tr>
      <w:tr w:rsidR="00E547D6" w14:paraId="40644C81" w14:textId="77777777" w:rsidTr="00A94CE4">
        <w:trPr>
          <w:trHeight w:val="1"/>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5B1EC2DB" w14:textId="77777777" w:rsidR="00E547D6" w:rsidRDefault="00E547D6" w:rsidP="00A94CE4">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Module No:</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462624F3" w14:textId="694A9CF1" w:rsidR="00E547D6" w:rsidRPr="00B015B1" w:rsidRDefault="00E547D6" w:rsidP="00A94CE4">
            <w:pPr>
              <w:widowControl w:val="0"/>
              <w:autoSpaceDE w:val="0"/>
              <w:autoSpaceDN w:val="0"/>
              <w:adjustRightInd w:val="0"/>
              <w:spacing w:before="120" w:after="120"/>
              <w:rPr>
                <w:rFonts w:ascii="Calibri" w:hAnsi="Calibri" w:cs="Calibri"/>
                <w:sz w:val="32"/>
                <w:szCs w:val="32"/>
                <w:lang w:val="en"/>
              </w:rPr>
            </w:pPr>
            <w:r>
              <w:rPr>
                <w:rFonts w:ascii="Calibri" w:hAnsi="Calibri" w:cs="Calibri"/>
                <w:sz w:val="32"/>
                <w:szCs w:val="32"/>
                <w:lang w:val="en"/>
              </w:rPr>
              <w:t xml:space="preserve">BMSW5105_LON </w:t>
            </w:r>
          </w:p>
        </w:tc>
      </w:tr>
      <w:tr w:rsidR="00E547D6" w14:paraId="067FD4C3" w14:textId="77777777" w:rsidTr="00E547D6">
        <w:trPr>
          <w:trHeight w:val="1159"/>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62D7BC9D" w14:textId="77777777" w:rsidR="00E547D6" w:rsidRPr="00300695" w:rsidRDefault="00E547D6" w:rsidP="00A94CE4">
            <w:pPr>
              <w:widowControl w:val="0"/>
              <w:autoSpaceDE w:val="0"/>
              <w:autoSpaceDN w:val="0"/>
              <w:adjustRightInd w:val="0"/>
              <w:spacing w:before="120" w:after="120"/>
              <w:rPr>
                <w:rFonts w:ascii="Calibri" w:hAnsi="Calibri" w:cs="Calibri"/>
                <w:lang w:val="en"/>
              </w:rPr>
            </w:pPr>
            <w:r w:rsidRPr="00300695">
              <w:rPr>
                <w:rFonts w:ascii="Tahoma" w:hAnsi="Tahoma" w:cs="Tahoma"/>
                <w:sz w:val="32"/>
                <w:szCs w:val="32"/>
                <w:lang w:val="en"/>
              </w:rPr>
              <w:t>Module Title:</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14D9BFD6" w14:textId="79E821E2" w:rsidR="00E547D6" w:rsidRPr="00300695" w:rsidRDefault="00E547D6" w:rsidP="00E547D6">
            <w:pPr>
              <w:spacing w:line="240" w:lineRule="auto"/>
              <w:jc w:val="left"/>
              <w:rPr>
                <w:rFonts w:ascii="Calibri" w:hAnsi="Calibri" w:cs="Calibri"/>
                <w:lang w:val="en"/>
              </w:rPr>
            </w:pPr>
            <w:r>
              <w:rPr>
                <w:rFonts w:ascii="Tahoma" w:hAnsi="Tahoma" w:cs="Tahoma"/>
                <w:sz w:val="32"/>
                <w:szCs w:val="32"/>
                <w:lang w:val="en"/>
              </w:rPr>
              <w:t xml:space="preserve">Workplace Culture and its impact on </w:t>
            </w:r>
            <w:proofErr w:type="spellStart"/>
            <w:r>
              <w:rPr>
                <w:rFonts w:ascii="Tahoma" w:hAnsi="Tahoma" w:cs="Tahoma"/>
                <w:sz w:val="32"/>
                <w:szCs w:val="32"/>
                <w:lang w:val="en"/>
              </w:rPr>
              <w:t>Organisational</w:t>
            </w:r>
            <w:proofErr w:type="spellEnd"/>
            <w:r>
              <w:rPr>
                <w:rFonts w:ascii="Tahoma" w:hAnsi="Tahoma" w:cs="Tahoma"/>
                <w:sz w:val="32"/>
                <w:szCs w:val="32"/>
                <w:lang w:val="en"/>
              </w:rPr>
              <w:t xml:space="preserve"> Efficiency</w:t>
            </w:r>
          </w:p>
          <w:p w14:paraId="096BC561" w14:textId="50A66C69" w:rsidR="00E547D6" w:rsidRPr="00300695" w:rsidRDefault="00E547D6" w:rsidP="00E547D6">
            <w:pPr>
              <w:widowControl w:val="0"/>
              <w:autoSpaceDE w:val="0"/>
              <w:autoSpaceDN w:val="0"/>
              <w:adjustRightInd w:val="0"/>
              <w:spacing w:before="120" w:after="120"/>
              <w:rPr>
                <w:rFonts w:ascii="Calibri" w:hAnsi="Calibri" w:cs="Calibri"/>
                <w:lang w:val="en"/>
              </w:rPr>
            </w:pPr>
          </w:p>
        </w:tc>
      </w:tr>
      <w:tr w:rsidR="00E547D6" w14:paraId="273DAB50" w14:textId="77777777" w:rsidTr="00A94CE4">
        <w:trPr>
          <w:trHeight w:val="413"/>
        </w:trPr>
        <w:tc>
          <w:tcPr>
            <w:tcW w:w="3438" w:type="dxa"/>
            <w:tcBorders>
              <w:top w:val="single" w:sz="3" w:space="0" w:color="000000"/>
              <w:left w:val="single" w:sz="3" w:space="0" w:color="000000"/>
              <w:bottom w:val="single" w:sz="3" w:space="0" w:color="000000"/>
              <w:right w:val="single" w:sz="3" w:space="0" w:color="000000"/>
            </w:tcBorders>
            <w:shd w:val="clear" w:color="auto" w:fill="D9D9D9"/>
          </w:tcPr>
          <w:p w14:paraId="7111EAFE" w14:textId="77777777" w:rsidR="00E547D6" w:rsidRDefault="00E547D6" w:rsidP="00A94CE4">
            <w:pPr>
              <w:widowControl w:val="0"/>
              <w:autoSpaceDE w:val="0"/>
              <w:autoSpaceDN w:val="0"/>
              <w:adjustRightInd w:val="0"/>
              <w:spacing w:before="120" w:after="120"/>
              <w:rPr>
                <w:rFonts w:ascii="Calibri" w:hAnsi="Calibri" w:cs="Calibri"/>
                <w:lang w:val="en"/>
              </w:rPr>
            </w:pPr>
            <w:r>
              <w:rPr>
                <w:rFonts w:ascii="Tahoma" w:hAnsi="Tahoma" w:cs="Tahoma"/>
                <w:sz w:val="32"/>
                <w:szCs w:val="32"/>
                <w:lang w:val="en"/>
              </w:rPr>
              <w:t>Lecturer:</w:t>
            </w:r>
          </w:p>
        </w:tc>
        <w:tc>
          <w:tcPr>
            <w:tcW w:w="6055" w:type="dxa"/>
            <w:tcBorders>
              <w:top w:val="single" w:sz="3" w:space="0" w:color="000000"/>
              <w:left w:val="single" w:sz="3" w:space="0" w:color="000000"/>
              <w:bottom w:val="single" w:sz="3" w:space="0" w:color="000000"/>
              <w:right w:val="single" w:sz="3" w:space="0" w:color="000000"/>
            </w:tcBorders>
            <w:shd w:val="clear" w:color="000000" w:fill="FFFFFF"/>
          </w:tcPr>
          <w:p w14:paraId="57710E47" w14:textId="75FEE620" w:rsidR="00E547D6" w:rsidRPr="00B015B1" w:rsidRDefault="00E547D6" w:rsidP="00A94CE4">
            <w:pPr>
              <w:widowControl w:val="0"/>
              <w:autoSpaceDE w:val="0"/>
              <w:autoSpaceDN w:val="0"/>
              <w:adjustRightInd w:val="0"/>
              <w:spacing w:before="120" w:after="120"/>
              <w:rPr>
                <w:rFonts w:ascii="Calibri" w:hAnsi="Calibri" w:cs="Calibri"/>
                <w:sz w:val="36"/>
                <w:szCs w:val="36"/>
                <w:lang w:val="en"/>
              </w:rPr>
            </w:pPr>
            <w:r>
              <w:rPr>
                <w:rFonts w:ascii="Calibri" w:hAnsi="Calibri" w:cs="Calibri"/>
                <w:sz w:val="36"/>
                <w:szCs w:val="36"/>
                <w:lang w:val="en"/>
              </w:rPr>
              <w:t xml:space="preserve">Syed </w:t>
            </w:r>
            <w:proofErr w:type="spellStart"/>
            <w:r>
              <w:rPr>
                <w:rFonts w:ascii="Calibri" w:hAnsi="Calibri" w:cs="Calibri"/>
                <w:sz w:val="36"/>
                <w:szCs w:val="36"/>
                <w:lang w:val="en"/>
              </w:rPr>
              <w:t>Jaffery</w:t>
            </w:r>
            <w:proofErr w:type="spellEnd"/>
          </w:p>
        </w:tc>
      </w:tr>
    </w:tbl>
    <w:p w14:paraId="68FC7A16" w14:textId="47B5B010" w:rsidR="0083056F" w:rsidRDefault="0083056F" w:rsidP="00E547D6">
      <w:pPr>
        <w:pStyle w:val="Title"/>
        <w:pBdr>
          <w:bottom w:val="single" w:sz="4" w:space="1" w:color="auto"/>
        </w:pBdr>
        <w:spacing w:line="720" w:lineRule="auto"/>
        <w:rPr>
          <w:rFonts w:ascii="Arial" w:hAnsi="Arial" w:cs="Arial"/>
          <w:b/>
          <w:sz w:val="36"/>
          <w:szCs w:val="36"/>
        </w:rPr>
      </w:pPr>
      <w:r>
        <w:rPr>
          <w:rFonts w:ascii="Arial" w:hAnsi="Arial" w:cs="Arial"/>
          <w:b/>
          <w:noProof/>
          <w:sz w:val="36"/>
          <w:szCs w:val="36"/>
          <w:lang w:val="bg-BG" w:eastAsia="bg-BG"/>
        </w:rPr>
        <w:drawing>
          <wp:anchor distT="0" distB="0" distL="114300" distR="114300" simplePos="0" relativeHeight="251658240" behindDoc="0" locked="0" layoutInCell="1" allowOverlap="1" wp14:anchorId="694C36F3" wp14:editId="2BE4FE11">
            <wp:simplePos x="0" y="0"/>
            <wp:positionH relativeFrom="column">
              <wp:posOffset>1254125</wp:posOffset>
            </wp:positionH>
            <wp:positionV relativeFrom="paragraph">
              <wp:posOffset>1744345</wp:posOffset>
            </wp:positionV>
            <wp:extent cx="3336925" cy="136017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 (1).jpg"/>
                    <pic:cNvPicPr/>
                  </pic:nvPicPr>
                  <pic:blipFill>
                    <a:blip r:embed="rId9">
                      <a:extLst>
                        <a:ext uri="{28A0092B-C50C-407E-A947-70E740481C1C}">
                          <a14:useLocalDpi xmlns:a14="http://schemas.microsoft.com/office/drawing/2010/main" val="0"/>
                        </a:ext>
                      </a:extLst>
                    </a:blip>
                    <a:stretch>
                      <a:fillRect/>
                    </a:stretch>
                  </pic:blipFill>
                  <pic:spPr>
                    <a:xfrm>
                      <a:off x="0" y="0"/>
                      <a:ext cx="3336925" cy="1360170"/>
                    </a:xfrm>
                    <a:prstGeom prst="rect">
                      <a:avLst/>
                    </a:prstGeom>
                  </pic:spPr>
                </pic:pic>
              </a:graphicData>
            </a:graphic>
            <wp14:sizeRelH relativeFrom="margin">
              <wp14:pctWidth>0</wp14:pctWidth>
            </wp14:sizeRelH>
            <wp14:sizeRelV relativeFrom="margin">
              <wp14:pctHeight>0</wp14:pctHeight>
            </wp14:sizeRelV>
          </wp:anchor>
        </w:drawing>
      </w:r>
    </w:p>
    <w:p w14:paraId="38E48A14" w14:textId="77777777" w:rsidR="0083056F" w:rsidRPr="0083056F" w:rsidRDefault="0083056F" w:rsidP="0083056F"/>
    <w:p w14:paraId="3291E899" w14:textId="77777777" w:rsidR="0083056F" w:rsidRDefault="0083056F" w:rsidP="0083056F"/>
    <w:sdt>
      <w:sdtPr>
        <w:rPr>
          <w:rFonts w:ascii="Arial" w:eastAsiaTheme="minorHAnsi" w:hAnsi="Arial" w:cs="Arial"/>
          <w:b w:val="0"/>
          <w:bCs w:val="0"/>
          <w:color w:val="auto"/>
          <w:sz w:val="22"/>
          <w:szCs w:val="22"/>
          <w:lang w:val="en-GB"/>
        </w:rPr>
        <w:id w:val="3775724"/>
        <w:docPartObj>
          <w:docPartGallery w:val="Table of Contents"/>
          <w:docPartUnique/>
        </w:docPartObj>
      </w:sdtPr>
      <w:sdtEndPr>
        <w:rPr>
          <w:b/>
        </w:rPr>
      </w:sdtEndPr>
      <w:sdtContent>
        <w:p w14:paraId="22950C6D" w14:textId="77777777" w:rsidR="00F25616" w:rsidRPr="00E905D7" w:rsidRDefault="00F25616" w:rsidP="006C7A1F">
          <w:pPr>
            <w:pStyle w:val="TOCHeading"/>
            <w:jc w:val="center"/>
            <w:rPr>
              <w:rFonts w:ascii="Arial" w:hAnsi="Arial" w:cs="Arial"/>
            </w:rPr>
          </w:pPr>
          <w:r w:rsidRPr="006C7A1F">
            <w:rPr>
              <w:rFonts w:ascii="Arial" w:hAnsi="Arial" w:cs="Arial"/>
              <w:color w:val="000000" w:themeColor="text1"/>
              <w:sz w:val="22"/>
              <w:szCs w:val="22"/>
            </w:rPr>
            <w:t>Table of Contents</w:t>
          </w:r>
        </w:p>
        <w:p w14:paraId="4B0A7914" w14:textId="77777777" w:rsidR="0083056F" w:rsidRPr="0083056F" w:rsidRDefault="00544DC9">
          <w:pPr>
            <w:pStyle w:val="TOC1"/>
            <w:tabs>
              <w:tab w:val="right" w:leader="dot" w:pos="9350"/>
            </w:tabs>
            <w:rPr>
              <w:rFonts w:asciiTheme="minorHAnsi" w:eastAsiaTheme="minorEastAsia" w:hAnsiTheme="minorHAnsi"/>
              <w:b/>
              <w:noProof/>
              <w:lang w:val="bg-BG" w:eastAsia="bg-BG"/>
            </w:rPr>
          </w:pPr>
          <w:r w:rsidRPr="0083056F">
            <w:rPr>
              <w:rFonts w:cs="Arial"/>
              <w:b/>
            </w:rPr>
            <w:fldChar w:fldCharType="begin"/>
          </w:r>
          <w:r w:rsidR="00F25616" w:rsidRPr="0083056F">
            <w:rPr>
              <w:rFonts w:cs="Arial"/>
              <w:b/>
            </w:rPr>
            <w:instrText xml:space="preserve"> TOC \o "1-3" \h \z \u </w:instrText>
          </w:r>
          <w:r w:rsidRPr="0083056F">
            <w:rPr>
              <w:rFonts w:cs="Arial"/>
              <w:b/>
            </w:rPr>
            <w:fldChar w:fldCharType="separate"/>
          </w:r>
          <w:hyperlink w:anchor="_Toc60407817" w:history="1">
            <w:r w:rsidR="0083056F" w:rsidRPr="0083056F">
              <w:rPr>
                <w:rStyle w:val="Hyperlink"/>
                <w:b/>
                <w:noProof/>
              </w:rPr>
              <w:t>Executive Summary</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_Toc60407817 \h </w:instrText>
            </w:r>
            <w:r w:rsidR="0083056F" w:rsidRPr="0083056F">
              <w:rPr>
                <w:b/>
                <w:noProof/>
                <w:webHidden/>
              </w:rPr>
            </w:r>
            <w:r w:rsidR="0083056F" w:rsidRPr="0083056F">
              <w:rPr>
                <w:b/>
                <w:noProof/>
                <w:webHidden/>
              </w:rPr>
              <w:fldChar w:fldCharType="separate"/>
            </w:r>
            <w:r w:rsidR="00F92D8C">
              <w:rPr>
                <w:b/>
                <w:noProof/>
                <w:webHidden/>
              </w:rPr>
              <w:t>1</w:t>
            </w:r>
            <w:r w:rsidR="0083056F" w:rsidRPr="0083056F">
              <w:rPr>
                <w:b/>
                <w:noProof/>
                <w:webHidden/>
              </w:rPr>
              <w:fldChar w:fldCharType="end"/>
            </w:r>
          </w:hyperlink>
        </w:p>
        <w:p w14:paraId="6BD3D90B" w14:textId="77777777" w:rsidR="0083056F" w:rsidRPr="0083056F" w:rsidRDefault="00EE7421">
          <w:pPr>
            <w:pStyle w:val="TOC1"/>
            <w:tabs>
              <w:tab w:val="right" w:leader="dot" w:pos="9350"/>
            </w:tabs>
            <w:rPr>
              <w:rFonts w:asciiTheme="minorHAnsi" w:eastAsiaTheme="minorEastAsia" w:hAnsiTheme="minorHAnsi"/>
              <w:b/>
              <w:noProof/>
              <w:lang w:val="bg-BG" w:eastAsia="bg-BG"/>
            </w:rPr>
          </w:pPr>
          <w:hyperlink w:anchor="_Toc60407818" w:history="1">
            <w:r w:rsidR="0083056F" w:rsidRPr="0083056F">
              <w:rPr>
                <w:rStyle w:val="Hyperlink"/>
                <w:b/>
                <w:noProof/>
              </w:rPr>
              <w:t>Introduction</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_Toc60407818 \h </w:instrText>
            </w:r>
            <w:r w:rsidR="0083056F" w:rsidRPr="0083056F">
              <w:rPr>
                <w:b/>
                <w:noProof/>
                <w:webHidden/>
              </w:rPr>
            </w:r>
            <w:r w:rsidR="0083056F" w:rsidRPr="0083056F">
              <w:rPr>
                <w:b/>
                <w:noProof/>
                <w:webHidden/>
              </w:rPr>
              <w:fldChar w:fldCharType="separate"/>
            </w:r>
            <w:r w:rsidR="00F92D8C">
              <w:rPr>
                <w:b/>
                <w:noProof/>
                <w:webHidden/>
              </w:rPr>
              <w:t>1</w:t>
            </w:r>
            <w:r w:rsidR="0083056F" w:rsidRPr="0083056F">
              <w:rPr>
                <w:b/>
                <w:noProof/>
                <w:webHidden/>
              </w:rPr>
              <w:fldChar w:fldCharType="end"/>
            </w:r>
          </w:hyperlink>
        </w:p>
        <w:p w14:paraId="393A6099" w14:textId="77777777" w:rsidR="0083056F" w:rsidRPr="0083056F" w:rsidRDefault="00EE7421">
          <w:pPr>
            <w:pStyle w:val="TOC2"/>
            <w:tabs>
              <w:tab w:val="right" w:leader="dot" w:pos="9350"/>
            </w:tabs>
            <w:rPr>
              <w:b/>
              <w:noProof/>
            </w:rPr>
          </w:pPr>
          <w:hyperlink w:anchor="_Toc60407819" w:history="1">
            <w:r w:rsidR="0083056F" w:rsidRPr="0083056F">
              <w:rPr>
                <w:rStyle w:val="Hyperlink"/>
                <w:rFonts w:cs="Arial"/>
                <w:b/>
                <w:noProof/>
              </w:rPr>
              <w:t>Organisation history- Microsoft</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_Toc60407819 \h </w:instrText>
            </w:r>
            <w:r w:rsidR="0083056F" w:rsidRPr="0083056F">
              <w:rPr>
                <w:b/>
                <w:noProof/>
                <w:webHidden/>
              </w:rPr>
            </w:r>
            <w:r w:rsidR="0083056F" w:rsidRPr="0083056F">
              <w:rPr>
                <w:b/>
                <w:noProof/>
                <w:webHidden/>
              </w:rPr>
              <w:fldChar w:fldCharType="separate"/>
            </w:r>
            <w:r w:rsidR="00F92D8C">
              <w:rPr>
                <w:b/>
                <w:noProof/>
                <w:webHidden/>
              </w:rPr>
              <w:t>2</w:t>
            </w:r>
            <w:r w:rsidR="0083056F" w:rsidRPr="0083056F">
              <w:rPr>
                <w:b/>
                <w:noProof/>
                <w:webHidden/>
              </w:rPr>
              <w:fldChar w:fldCharType="end"/>
            </w:r>
          </w:hyperlink>
        </w:p>
        <w:p w14:paraId="0F98B31D" w14:textId="77777777" w:rsidR="0083056F" w:rsidRPr="0083056F" w:rsidRDefault="00EE7421">
          <w:pPr>
            <w:pStyle w:val="TOC2"/>
            <w:tabs>
              <w:tab w:val="right" w:leader="dot" w:pos="9350"/>
            </w:tabs>
            <w:rPr>
              <w:b/>
              <w:noProof/>
            </w:rPr>
          </w:pPr>
          <w:hyperlink w:anchor="_Toc60407820" w:history="1">
            <w:r w:rsidR="0083056F" w:rsidRPr="0083056F">
              <w:rPr>
                <w:rStyle w:val="Hyperlink"/>
                <w:rFonts w:cs="Arial"/>
                <w:b/>
                <w:noProof/>
              </w:rPr>
              <w:t>Industry size</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_Toc60407820 \h </w:instrText>
            </w:r>
            <w:r w:rsidR="0083056F" w:rsidRPr="0083056F">
              <w:rPr>
                <w:b/>
                <w:noProof/>
                <w:webHidden/>
              </w:rPr>
            </w:r>
            <w:r w:rsidR="0083056F" w:rsidRPr="0083056F">
              <w:rPr>
                <w:b/>
                <w:noProof/>
                <w:webHidden/>
              </w:rPr>
              <w:fldChar w:fldCharType="separate"/>
            </w:r>
            <w:r w:rsidR="00F92D8C">
              <w:rPr>
                <w:b/>
                <w:noProof/>
                <w:webHidden/>
              </w:rPr>
              <w:t>2</w:t>
            </w:r>
            <w:r w:rsidR="0083056F" w:rsidRPr="0083056F">
              <w:rPr>
                <w:b/>
                <w:noProof/>
                <w:webHidden/>
              </w:rPr>
              <w:fldChar w:fldCharType="end"/>
            </w:r>
          </w:hyperlink>
        </w:p>
        <w:p w14:paraId="701C17BB" w14:textId="77777777" w:rsidR="0083056F" w:rsidRPr="0083056F" w:rsidRDefault="00EE7421">
          <w:pPr>
            <w:pStyle w:val="TOC2"/>
            <w:tabs>
              <w:tab w:val="right" w:leader="dot" w:pos="9350"/>
            </w:tabs>
            <w:rPr>
              <w:b/>
              <w:noProof/>
            </w:rPr>
          </w:pPr>
          <w:hyperlink w:anchor="_Toc60407821" w:history="1">
            <w:r w:rsidR="0083056F" w:rsidRPr="0083056F">
              <w:rPr>
                <w:rStyle w:val="Hyperlink"/>
                <w:rFonts w:cs="Arial"/>
                <w:b/>
                <w:noProof/>
              </w:rPr>
              <w:t>Competitiveness and growth</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_Toc60407821 \h </w:instrText>
            </w:r>
            <w:r w:rsidR="0083056F" w:rsidRPr="0083056F">
              <w:rPr>
                <w:b/>
                <w:noProof/>
                <w:webHidden/>
              </w:rPr>
            </w:r>
            <w:r w:rsidR="0083056F" w:rsidRPr="0083056F">
              <w:rPr>
                <w:b/>
                <w:noProof/>
                <w:webHidden/>
              </w:rPr>
              <w:fldChar w:fldCharType="separate"/>
            </w:r>
            <w:r w:rsidR="00F92D8C">
              <w:rPr>
                <w:b/>
                <w:noProof/>
                <w:webHidden/>
              </w:rPr>
              <w:t>3</w:t>
            </w:r>
            <w:r w:rsidR="0083056F" w:rsidRPr="0083056F">
              <w:rPr>
                <w:b/>
                <w:noProof/>
                <w:webHidden/>
              </w:rPr>
              <w:fldChar w:fldCharType="end"/>
            </w:r>
          </w:hyperlink>
        </w:p>
        <w:p w14:paraId="00C7439E" w14:textId="77777777" w:rsidR="0083056F" w:rsidRPr="0083056F" w:rsidRDefault="00EE7421">
          <w:pPr>
            <w:pStyle w:val="TOC1"/>
            <w:tabs>
              <w:tab w:val="right" w:leader="dot" w:pos="9350"/>
            </w:tabs>
            <w:rPr>
              <w:rFonts w:asciiTheme="minorHAnsi" w:eastAsiaTheme="minorEastAsia" w:hAnsiTheme="minorHAnsi"/>
              <w:b/>
              <w:noProof/>
              <w:lang w:val="bg-BG" w:eastAsia="bg-BG"/>
            </w:rPr>
          </w:pPr>
          <w:hyperlink w:anchor="_Toc60407822" w:history="1">
            <w:r w:rsidR="0083056F" w:rsidRPr="0083056F">
              <w:rPr>
                <w:rStyle w:val="Hyperlink"/>
                <w:b/>
                <w:noProof/>
              </w:rPr>
              <w:t>Management theories/models</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_Toc60407822 \h </w:instrText>
            </w:r>
            <w:r w:rsidR="0083056F" w:rsidRPr="0083056F">
              <w:rPr>
                <w:b/>
                <w:noProof/>
                <w:webHidden/>
              </w:rPr>
            </w:r>
            <w:r w:rsidR="0083056F" w:rsidRPr="0083056F">
              <w:rPr>
                <w:b/>
                <w:noProof/>
                <w:webHidden/>
              </w:rPr>
              <w:fldChar w:fldCharType="separate"/>
            </w:r>
            <w:r w:rsidR="00F92D8C">
              <w:rPr>
                <w:b/>
                <w:noProof/>
                <w:webHidden/>
              </w:rPr>
              <w:t>4</w:t>
            </w:r>
            <w:r w:rsidR="0083056F" w:rsidRPr="0083056F">
              <w:rPr>
                <w:b/>
                <w:noProof/>
                <w:webHidden/>
              </w:rPr>
              <w:fldChar w:fldCharType="end"/>
            </w:r>
          </w:hyperlink>
        </w:p>
        <w:p w14:paraId="7779C06A" w14:textId="77777777" w:rsidR="0083056F" w:rsidRPr="0083056F" w:rsidRDefault="00EE7421">
          <w:pPr>
            <w:pStyle w:val="TOC2"/>
            <w:tabs>
              <w:tab w:val="right" w:leader="dot" w:pos="9350"/>
            </w:tabs>
            <w:rPr>
              <w:b/>
              <w:noProof/>
            </w:rPr>
          </w:pPr>
          <w:hyperlink w:anchor="_Toc60407823" w:history="1">
            <w:r w:rsidR="0083056F" w:rsidRPr="0083056F">
              <w:rPr>
                <w:rStyle w:val="Hyperlink"/>
                <w:rFonts w:cs="Arial"/>
                <w:b/>
                <w:noProof/>
              </w:rPr>
              <w:t>PESTLE analysis</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_Toc60407823 \h </w:instrText>
            </w:r>
            <w:r w:rsidR="0083056F" w:rsidRPr="0083056F">
              <w:rPr>
                <w:b/>
                <w:noProof/>
                <w:webHidden/>
              </w:rPr>
            </w:r>
            <w:r w:rsidR="0083056F" w:rsidRPr="0083056F">
              <w:rPr>
                <w:b/>
                <w:noProof/>
                <w:webHidden/>
              </w:rPr>
              <w:fldChar w:fldCharType="separate"/>
            </w:r>
            <w:r w:rsidR="00F92D8C">
              <w:rPr>
                <w:b/>
                <w:noProof/>
                <w:webHidden/>
              </w:rPr>
              <w:t>4</w:t>
            </w:r>
            <w:r w:rsidR="0083056F" w:rsidRPr="0083056F">
              <w:rPr>
                <w:b/>
                <w:noProof/>
                <w:webHidden/>
              </w:rPr>
              <w:fldChar w:fldCharType="end"/>
            </w:r>
          </w:hyperlink>
        </w:p>
        <w:p w14:paraId="14D78F4F" w14:textId="77777777" w:rsidR="0083056F" w:rsidRPr="0083056F" w:rsidRDefault="00EE7421">
          <w:pPr>
            <w:pStyle w:val="TOC2"/>
            <w:tabs>
              <w:tab w:val="right" w:leader="dot" w:pos="9350"/>
            </w:tabs>
            <w:rPr>
              <w:b/>
              <w:noProof/>
            </w:rPr>
          </w:pPr>
          <w:hyperlink w:anchor="_Toc60407824" w:history="1">
            <w:r w:rsidR="0083056F" w:rsidRPr="0083056F">
              <w:rPr>
                <w:rStyle w:val="Hyperlink"/>
                <w:rFonts w:cs="Arial"/>
                <w:b/>
                <w:noProof/>
              </w:rPr>
              <w:t>Porter’s 5 forces analysis</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_Toc60407824 \h </w:instrText>
            </w:r>
            <w:r w:rsidR="0083056F" w:rsidRPr="0083056F">
              <w:rPr>
                <w:b/>
                <w:noProof/>
                <w:webHidden/>
              </w:rPr>
            </w:r>
            <w:r w:rsidR="0083056F" w:rsidRPr="0083056F">
              <w:rPr>
                <w:b/>
                <w:noProof/>
                <w:webHidden/>
              </w:rPr>
              <w:fldChar w:fldCharType="separate"/>
            </w:r>
            <w:r w:rsidR="00F92D8C">
              <w:rPr>
                <w:b/>
                <w:noProof/>
                <w:webHidden/>
              </w:rPr>
              <w:t>5</w:t>
            </w:r>
            <w:r w:rsidR="0083056F" w:rsidRPr="0083056F">
              <w:rPr>
                <w:b/>
                <w:noProof/>
                <w:webHidden/>
              </w:rPr>
              <w:fldChar w:fldCharType="end"/>
            </w:r>
          </w:hyperlink>
        </w:p>
        <w:p w14:paraId="2CA17ED3" w14:textId="77777777" w:rsidR="0083056F" w:rsidRPr="0083056F" w:rsidRDefault="00EE7421">
          <w:pPr>
            <w:pStyle w:val="TOC1"/>
            <w:tabs>
              <w:tab w:val="right" w:leader="dot" w:pos="9350"/>
            </w:tabs>
            <w:rPr>
              <w:rFonts w:asciiTheme="minorHAnsi" w:eastAsiaTheme="minorEastAsia" w:hAnsiTheme="minorHAnsi"/>
              <w:b/>
              <w:noProof/>
              <w:lang w:val="bg-BG" w:eastAsia="bg-BG"/>
            </w:rPr>
          </w:pPr>
          <w:hyperlink w:anchor="_Toc60407825" w:history="1">
            <w:r w:rsidR="0083056F" w:rsidRPr="0083056F">
              <w:rPr>
                <w:rStyle w:val="Hyperlink"/>
                <w:b/>
                <w:noProof/>
              </w:rPr>
              <w:t>Applying the key theories/models/methods to Microsoft</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_Toc60407825 \h </w:instrText>
            </w:r>
            <w:r w:rsidR="0083056F" w:rsidRPr="0083056F">
              <w:rPr>
                <w:b/>
                <w:noProof/>
                <w:webHidden/>
              </w:rPr>
            </w:r>
            <w:r w:rsidR="0083056F" w:rsidRPr="0083056F">
              <w:rPr>
                <w:b/>
                <w:noProof/>
                <w:webHidden/>
              </w:rPr>
              <w:fldChar w:fldCharType="separate"/>
            </w:r>
            <w:r w:rsidR="00F92D8C">
              <w:rPr>
                <w:b/>
                <w:noProof/>
                <w:webHidden/>
              </w:rPr>
              <w:t>6</w:t>
            </w:r>
            <w:r w:rsidR="0083056F" w:rsidRPr="0083056F">
              <w:rPr>
                <w:b/>
                <w:noProof/>
                <w:webHidden/>
              </w:rPr>
              <w:fldChar w:fldCharType="end"/>
            </w:r>
          </w:hyperlink>
        </w:p>
        <w:p w14:paraId="4A8B362D" w14:textId="77777777" w:rsidR="0083056F" w:rsidRPr="0083056F" w:rsidRDefault="00EE7421">
          <w:pPr>
            <w:pStyle w:val="TOC2"/>
            <w:tabs>
              <w:tab w:val="right" w:leader="dot" w:pos="9350"/>
            </w:tabs>
            <w:rPr>
              <w:b/>
              <w:noProof/>
            </w:rPr>
          </w:pPr>
          <w:hyperlink w:anchor="_Toc60407826" w:history="1">
            <w:r w:rsidR="0083056F" w:rsidRPr="0083056F">
              <w:rPr>
                <w:rStyle w:val="Hyperlink"/>
                <w:rFonts w:cs="Arial"/>
                <w:b/>
                <w:noProof/>
              </w:rPr>
              <w:t>POTER’S 5 FORCES</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_Toc60407826 \h </w:instrText>
            </w:r>
            <w:r w:rsidR="0083056F" w:rsidRPr="0083056F">
              <w:rPr>
                <w:b/>
                <w:noProof/>
                <w:webHidden/>
              </w:rPr>
            </w:r>
            <w:r w:rsidR="0083056F" w:rsidRPr="0083056F">
              <w:rPr>
                <w:b/>
                <w:noProof/>
                <w:webHidden/>
              </w:rPr>
              <w:fldChar w:fldCharType="separate"/>
            </w:r>
            <w:r w:rsidR="00F92D8C">
              <w:rPr>
                <w:b/>
                <w:noProof/>
                <w:webHidden/>
              </w:rPr>
              <w:t>6</w:t>
            </w:r>
            <w:r w:rsidR="0083056F" w:rsidRPr="0083056F">
              <w:rPr>
                <w:b/>
                <w:noProof/>
                <w:webHidden/>
              </w:rPr>
              <w:fldChar w:fldCharType="end"/>
            </w:r>
          </w:hyperlink>
        </w:p>
        <w:p w14:paraId="59AA27CD" w14:textId="77777777" w:rsidR="0083056F" w:rsidRPr="0083056F" w:rsidRDefault="00EE7421">
          <w:pPr>
            <w:pStyle w:val="TOC2"/>
            <w:tabs>
              <w:tab w:val="right" w:leader="dot" w:pos="9350"/>
            </w:tabs>
            <w:rPr>
              <w:b/>
              <w:noProof/>
            </w:rPr>
          </w:pPr>
          <w:hyperlink w:anchor="_Toc60407827" w:history="1">
            <w:r w:rsidR="0083056F" w:rsidRPr="0083056F">
              <w:rPr>
                <w:rStyle w:val="Hyperlink"/>
                <w:rFonts w:cs="Arial"/>
                <w:b/>
                <w:noProof/>
              </w:rPr>
              <w:t>PESTLE ANALYSIS</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_Toc60407827 \h </w:instrText>
            </w:r>
            <w:r w:rsidR="0083056F" w:rsidRPr="0083056F">
              <w:rPr>
                <w:b/>
                <w:noProof/>
                <w:webHidden/>
              </w:rPr>
            </w:r>
            <w:r w:rsidR="0083056F" w:rsidRPr="0083056F">
              <w:rPr>
                <w:b/>
                <w:noProof/>
                <w:webHidden/>
              </w:rPr>
              <w:fldChar w:fldCharType="separate"/>
            </w:r>
            <w:r w:rsidR="00F92D8C">
              <w:rPr>
                <w:b/>
                <w:noProof/>
                <w:webHidden/>
              </w:rPr>
              <w:t>9</w:t>
            </w:r>
            <w:r w:rsidR="0083056F" w:rsidRPr="0083056F">
              <w:rPr>
                <w:b/>
                <w:noProof/>
                <w:webHidden/>
              </w:rPr>
              <w:fldChar w:fldCharType="end"/>
            </w:r>
          </w:hyperlink>
        </w:p>
        <w:p w14:paraId="6FC5B9F0" w14:textId="77777777" w:rsidR="0083056F" w:rsidRPr="0083056F" w:rsidRDefault="00EE7421">
          <w:pPr>
            <w:pStyle w:val="TOC1"/>
            <w:tabs>
              <w:tab w:val="right" w:leader="dot" w:pos="9350"/>
            </w:tabs>
            <w:rPr>
              <w:rFonts w:asciiTheme="minorHAnsi" w:eastAsiaTheme="minorEastAsia" w:hAnsiTheme="minorHAnsi"/>
              <w:b/>
              <w:noProof/>
              <w:lang w:val="bg-BG" w:eastAsia="bg-BG"/>
            </w:rPr>
          </w:pPr>
          <w:hyperlink w:anchor="_Toc60407828" w:history="1">
            <w:r w:rsidR="0083056F" w:rsidRPr="0083056F">
              <w:rPr>
                <w:rStyle w:val="Hyperlink"/>
                <w:b/>
                <w:noProof/>
              </w:rPr>
              <w:t>Critically evaluation of Microsoft presents cultural and ethical standards. Personal ethical standards, values and beliefs of Microsoft employees.</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_Toc60407828 \h </w:instrText>
            </w:r>
            <w:r w:rsidR="0083056F" w:rsidRPr="0083056F">
              <w:rPr>
                <w:b/>
                <w:noProof/>
                <w:webHidden/>
              </w:rPr>
            </w:r>
            <w:r w:rsidR="0083056F" w:rsidRPr="0083056F">
              <w:rPr>
                <w:b/>
                <w:noProof/>
                <w:webHidden/>
              </w:rPr>
              <w:fldChar w:fldCharType="separate"/>
            </w:r>
            <w:r w:rsidR="00F92D8C">
              <w:rPr>
                <w:b/>
                <w:noProof/>
                <w:webHidden/>
              </w:rPr>
              <w:t>11</w:t>
            </w:r>
            <w:r w:rsidR="0083056F" w:rsidRPr="0083056F">
              <w:rPr>
                <w:b/>
                <w:noProof/>
                <w:webHidden/>
              </w:rPr>
              <w:fldChar w:fldCharType="end"/>
            </w:r>
          </w:hyperlink>
        </w:p>
        <w:p w14:paraId="0F7B1D8F" w14:textId="77777777" w:rsidR="0083056F" w:rsidRPr="0083056F" w:rsidRDefault="00EE7421">
          <w:pPr>
            <w:pStyle w:val="TOC1"/>
            <w:tabs>
              <w:tab w:val="right" w:leader="dot" w:pos="9350"/>
            </w:tabs>
            <w:rPr>
              <w:rFonts w:asciiTheme="minorHAnsi" w:eastAsiaTheme="minorEastAsia" w:hAnsiTheme="minorHAnsi"/>
              <w:b/>
              <w:noProof/>
              <w:lang w:val="bg-BG" w:eastAsia="bg-BG"/>
            </w:rPr>
          </w:pPr>
          <w:hyperlink w:anchor="_Toc60407829" w:history="1">
            <w:r w:rsidR="0083056F" w:rsidRPr="0083056F">
              <w:rPr>
                <w:rStyle w:val="Hyperlink"/>
                <w:b/>
                <w:noProof/>
              </w:rPr>
              <w:t>Conclusion</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_Toc60407829 \h </w:instrText>
            </w:r>
            <w:r w:rsidR="0083056F" w:rsidRPr="0083056F">
              <w:rPr>
                <w:b/>
                <w:noProof/>
                <w:webHidden/>
              </w:rPr>
            </w:r>
            <w:r w:rsidR="0083056F" w:rsidRPr="0083056F">
              <w:rPr>
                <w:b/>
                <w:noProof/>
                <w:webHidden/>
              </w:rPr>
              <w:fldChar w:fldCharType="separate"/>
            </w:r>
            <w:r w:rsidR="00F92D8C">
              <w:rPr>
                <w:b/>
                <w:noProof/>
                <w:webHidden/>
              </w:rPr>
              <w:t>16</w:t>
            </w:r>
            <w:r w:rsidR="0083056F" w:rsidRPr="0083056F">
              <w:rPr>
                <w:b/>
                <w:noProof/>
                <w:webHidden/>
              </w:rPr>
              <w:fldChar w:fldCharType="end"/>
            </w:r>
          </w:hyperlink>
        </w:p>
        <w:p w14:paraId="0129A3B0" w14:textId="77777777" w:rsidR="0083056F" w:rsidRPr="0083056F" w:rsidRDefault="00EE7421">
          <w:pPr>
            <w:pStyle w:val="TOC1"/>
            <w:tabs>
              <w:tab w:val="right" w:leader="dot" w:pos="9350"/>
            </w:tabs>
            <w:rPr>
              <w:rFonts w:asciiTheme="minorHAnsi" w:eastAsiaTheme="minorEastAsia" w:hAnsiTheme="minorHAnsi"/>
              <w:b/>
              <w:noProof/>
              <w:lang w:val="bg-BG" w:eastAsia="bg-BG"/>
            </w:rPr>
          </w:pPr>
          <w:hyperlink w:anchor="_Toc60407830" w:history="1">
            <w:r w:rsidR="0083056F" w:rsidRPr="0083056F">
              <w:rPr>
                <w:rStyle w:val="Hyperlink"/>
                <w:b/>
                <w:noProof/>
              </w:rPr>
              <w:t>Reference</w:t>
            </w:r>
            <w:r w:rsidR="0083056F" w:rsidRPr="0083056F">
              <w:rPr>
                <w:b/>
                <w:noProof/>
                <w:webHidden/>
              </w:rPr>
              <w:tab/>
            </w:r>
            <w:r w:rsidR="0083056F" w:rsidRPr="0083056F">
              <w:rPr>
                <w:b/>
                <w:noProof/>
                <w:webHidden/>
              </w:rPr>
              <w:fldChar w:fldCharType="begin"/>
            </w:r>
            <w:r w:rsidR="0083056F" w:rsidRPr="0083056F">
              <w:rPr>
                <w:b/>
                <w:noProof/>
                <w:webHidden/>
              </w:rPr>
              <w:instrText xml:space="preserve"> PAGEREF _Toc60407830 \h </w:instrText>
            </w:r>
            <w:r w:rsidR="0083056F" w:rsidRPr="0083056F">
              <w:rPr>
                <w:b/>
                <w:noProof/>
                <w:webHidden/>
              </w:rPr>
            </w:r>
            <w:r w:rsidR="0083056F" w:rsidRPr="0083056F">
              <w:rPr>
                <w:b/>
                <w:noProof/>
                <w:webHidden/>
              </w:rPr>
              <w:fldChar w:fldCharType="separate"/>
            </w:r>
            <w:r w:rsidR="00F92D8C">
              <w:rPr>
                <w:b/>
                <w:noProof/>
                <w:webHidden/>
              </w:rPr>
              <w:t>17</w:t>
            </w:r>
            <w:r w:rsidR="0083056F" w:rsidRPr="0083056F">
              <w:rPr>
                <w:b/>
                <w:noProof/>
                <w:webHidden/>
              </w:rPr>
              <w:fldChar w:fldCharType="end"/>
            </w:r>
          </w:hyperlink>
        </w:p>
        <w:p w14:paraId="357934E9" w14:textId="77777777" w:rsidR="00F25616" w:rsidRPr="0083056F" w:rsidRDefault="00544DC9">
          <w:pPr>
            <w:rPr>
              <w:rFonts w:cs="Arial"/>
              <w:b/>
            </w:rPr>
          </w:pPr>
          <w:r w:rsidRPr="0083056F">
            <w:rPr>
              <w:rFonts w:cs="Arial"/>
              <w:b/>
            </w:rPr>
            <w:fldChar w:fldCharType="end"/>
          </w:r>
        </w:p>
      </w:sdtContent>
    </w:sdt>
    <w:p w14:paraId="05EF9B4D" w14:textId="77777777" w:rsidR="00642562" w:rsidRPr="0083056F" w:rsidRDefault="00642562">
      <w:pPr>
        <w:spacing w:line="259" w:lineRule="auto"/>
        <w:jc w:val="left"/>
        <w:rPr>
          <w:rFonts w:cs="Arial"/>
          <w:b/>
        </w:rPr>
      </w:pPr>
      <w:r w:rsidRPr="0083056F">
        <w:rPr>
          <w:rFonts w:cs="Arial"/>
          <w:b/>
        </w:rPr>
        <w:br w:type="page"/>
      </w:r>
    </w:p>
    <w:p w14:paraId="542590F1" w14:textId="77777777" w:rsidR="00F96488" w:rsidRDefault="00F96488" w:rsidP="00F96488">
      <w:pPr>
        <w:pStyle w:val="Heading1"/>
        <w:rPr>
          <w:sz w:val="28"/>
          <w:szCs w:val="28"/>
        </w:rPr>
        <w:sectPr w:rsidR="00F96488" w:rsidSect="00F96488">
          <w:footerReference w:type="default" r:id="rId10"/>
          <w:pgSz w:w="12240" w:h="15840"/>
          <w:pgMar w:top="1440" w:right="1440" w:bottom="1440" w:left="1440" w:header="720" w:footer="720" w:gutter="0"/>
          <w:pgNumType w:start="1"/>
          <w:cols w:space="720"/>
          <w:docGrid w:linePitch="360"/>
        </w:sectPr>
      </w:pPr>
      <w:bookmarkStart w:id="0" w:name="_Toc60407817"/>
      <w:bookmarkStart w:id="1" w:name="_Toc60407818"/>
    </w:p>
    <w:p w14:paraId="403661B1" w14:textId="77777777" w:rsidR="00F96488" w:rsidRPr="0083056F" w:rsidRDefault="00F96488" w:rsidP="00F96488">
      <w:pPr>
        <w:pStyle w:val="Heading1"/>
        <w:rPr>
          <w:sz w:val="28"/>
          <w:szCs w:val="28"/>
        </w:rPr>
      </w:pPr>
      <w:r w:rsidRPr="0083056F">
        <w:rPr>
          <w:sz w:val="28"/>
          <w:szCs w:val="28"/>
        </w:rPr>
        <w:lastRenderedPageBreak/>
        <w:t>Executive Summary</w:t>
      </w:r>
      <w:bookmarkEnd w:id="0"/>
    </w:p>
    <w:p w14:paraId="014E8B9C" w14:textId="77777777" w:rsidR="00F96488" w:rsidRPr="00E905D7" w:rsidRDefault="00F96488" w:rsidP="00F96488">
      <w:pPr>
        <w:rPr>
          <w:rFonts w:cs="Arial"/>
        </w:rPr>
      </w:pPr>
      <w:r w:rsidRPr="00E905D7">
        <w:rPr>
          <w:rFonts w:cs="Arial"/>
        </w:rPr>
        <w:t xml:space="preserve">The current study has shed light on how external environmental factors including COVID-19 have influenced the organisational culture and its performance. To conduct this study, Microsoft Corporation has been selected. Based on the two models, Porter’s 5 forces and PESTLE analysis, the study has been proceeded. On the other hand, it had elucidated on how corporate objectives of Microsoft and its social responsibilities are met due to its present culture and ethics. The manner in which the </w:t>
      </w:r>
      <w:r w:rsidRPr="00E905D7">
        <w:rPr>
          <w:rFonts w:cs="Arial"/>
          <w:sz w:val="24"/>
          <w:szCs w:val="24"/>
        </w:rPr>
        <w:t xml:space="preserve">values, beliefs and personal ethical standards of majority of employees help it in accomplishing the </w:t>
      </w:r>
      <w:proofErr w:type="spellStart"/>
      <w:r w:rsidRPr="00E905D7">
        <w:rPr>
          <w:rFonts w:cs="Arial"/>
          <w:sz w:val="24"/>
          <w:szCs w:val="24"/>
        </w:rPr>
        <w:t>goalsof</w:t>
      </w:r>
      <w:proofErr w:type="spellEnd"/>
      <w:r w:rsidRPr="00E905D7">
        <w:rPr>
          <w:rFonts w:cs="Arial"/>
          <w:sz w:val="24"/>
          <w:szCs w:val="24"/>
        </w:rPr>
        <w:t xml:space="preserve"> the company has also be evaluated.</w:t>
      </w:r>
    </w:p>
    <w:p w14:paraId="3D4E9E03" w14:textId="77777777" w:rsidR="00000E04" w:rsidRPr="004F5E6B" w:rsidRDefault="003A5959" w:rsidP="00F86DEB">
      <w:pPr>
        <w:pStyle w:val="Heading1"/>
        <w:rPr>
          <w:sz w:val="28"/>
          <w:szCs w:val="28"/>
        </w:rPr>
      </w:pPr>
      <w:r w:rsidRPr="004F5E6B">
        <w:rPr>
          <w:sz w:val="28"/>
          <w:szCs w:val="28"/>
        </w:rPr>
        <w:t>Introduction</w:t>
      </w:r>
      <w:bookmarkEnd w:id="1"/>
    </w:p>
    <w:p w14:paraId="0C10B7BB" w14:textId="77777777" w:rsidR="003A5959" w:rsidRPr="00E905D7" w:rsidRDefault="003A5959" w:rsidP="00D52DA9">
      <w:pPr>
        <w:rPr>
          <w:rFonts w:cs="Arial"/>
        </w:rPr>
      </w:pPr>
      <w:r w:rsidRPr="00E905D7">
        <w:rPr>
          <w:rFonts w:cs="Arial"/>
        </w:rPr>
        <w:t xml:space="preserve">The large scale of economic-social and COVID-19 shock that this bough has profoundly shifted organisational culture. </w:t>
      </w:r>
      <w:r w:rsidR="00F25616" w:rsidRPr="00E905D7">
        <w:rPr>
          <w:rFonts w:cs="Arial"/>
        </w:rPr>
        <w:t>The personal protective equipment and Perspex screens have replaced well-known signs of the organisational life like open plan workspaces filled with individuals wearing suits</w:t>
      </w:r>
      <w:r w:rsidRPr="00E905D7">
        <w:rPr>
          <w:rFonts w:cs="Arial"/>
        </w:rPr>
        <w:t xml:space="preserve">. Organisational culture is the symbols and signs, shared images and underlying supposition of a company. The current paper is going to cast light on the way broader external environmental factors including COVID-19 shed impact on the organisational culture and their performance. In order to conduct this study, </w:t>
      </w:r>
      <w:r w:rsidRPr="005E4C7C">
        <w:rPr>
          <w:rFonts w:cs="Arial"/>
          <w:bCs/>
        </w:rPr>
        <w:t>Microsoft Corporation,</w:t>
      </w:r>
      <w:r w:rsidRPr="00E905D7">
        <w:rPr>
          <w:rFonts w:cs="Arial"/>
        </w:rPr>
        <w:t xml:space="preserve"> which is an American multinational technology organisation has been chosen.  </w:t>
      </w:r>
    </w:p>
    <w:p w14:paraId="78652951" w14:textId="77777777" w:rsidR="00C05A5A" w:rsidRPr="00E905D7" w:rsidRDefault="00C05A5A" w:rsidP="00D52DA9">
      <w:pPr>
        <w:jc w:val="left"/>
        <w:rPr>
          <w:rFonts w:cs="Arial"/>
          <w:b/>
          <w:bCs/>
        </w:rPr>
      </w:pPr>
      <w:r w:rsidRPr="00E905D7">
        <w:rPr>
          <w:rFonts w:cs="Arial"/>
          <w:b/>
          <w:bCs/>
        </w:rPr>
        <w:br w:type="page"/>
      </w:r>
    </w:p>
    <w:p w14:paraId="5BEF04F5" w14:textId="77777777" w:rsidR="003A5959" w:rsidRPr="004F5E6B" w:rsidRDefault="003A5959" w:rsidP="004F5E6B">
      <w:pPr>
        <w:pStyle w:val="Heading2"/>
        <w:rPr>
          <w:rFonts w:ascii="Arial" w:hAnsi="Arial" w:cs="Arial"/>
          <w:b/>
          <w:color w:val="auto"/>
        </w:rPr>
      </w:pPr>
      <w:bookmarkStart w:id="2" w:name="_Toc60407819"/>
      <w:r w:rsidRPr="004F5E6B">
        <w:rPr>
          <w:rFonts w:ascii="Arial" w:hAnsi="Arial" w:cs="Arial"/>
          <w:b/>
          <w:color w:val="auto"/>
        </w:rPr>
        <w:lastRenderedPageBreak/>
        <w:t>Organisation history</w:t>
      </w:r>
      <w:r w:rsidR="004F5E6B" w:rsidRPr="004F5E6B">
        <w:rPr>
          <w:rFonts w:ascii="Arial" w:hAnsi="Arial" w:cs="Arial"/>
          <w:b/>
          <w:color w:val="auto"/>
        </w:rPr>
        <w:t>- Microsoft</w:t>
      </w:r>
      <w:bookmarkEnd w:id="2"/>
    </w:p>
    <w:p w14:paraId="7B9E00A5" w14:textId="01CB6F92" w:rsidR="003A5959" w:rsidRPr="005E4C7C" w:rsidRDefault="003A5959" w:rsidP="00D52DA9">
      <w:pPr>
        <w:rPr>
          <w:rFonts w:cs="Arial"/>
        </w:rPr>
      </w:pPr>
      <w:r w:rsidRPr="005E4C7C">
        <w:rPr>
          <w:rFonts w:cs="Arial"/>
        </w:rPr>
        <w:t xml:space="preserve">In 1975, when most of the Americans utilised typewriters, Paul Allen and Bill Gates found the organisation, Microsoft Corporation, which builds computer software. This is mainly based in </w:t>
      </w:r>
      <w:proofErr w:type="spellStart"/>
      <w:r w:rsidRPr="005E4C7C">
        <w:rPr>
          <w:rFonts w:cs="Arial"/>
        </w:rPr>
        <w:t>Albuquerquein</w:t>
      </w:r>
      <w:proofErr w:type="spellEnd"/>
      <w:r w:rsidR="005E4C7C">
        <w:rPr>
          <w:rFonts w:cs="Arial"/>
        </w:rPr>
        <w:t xml:space="preserve"> </w:t>
      </w:r>
      <w:r w:rsidRPr="005E4C7C">
        <w:rPr>
          <w:rFonts w:cs="Arial"/>
        </w:rPr>
        <w:t>New Mexico, United States. By 1978, the sales of this company reached more than $1 million. However, in 1979, this was relocated to Bellevue, Washington</w:t>
      </w:r>
      <w:r w:rsidR="00553035">
        <w:rPr>
          <w:rFonts w:cs="Arial"/>
        </w:rPr>
        <w:t xml:space="preserve"> </w:t>
      </w:r>
      <w:r w:rsidRPr="005E4C7C">
        <w:rPr>
          <w:rFonts w:cs="Arial"/>
        </w:rPr>
        <w:t>State and developed into a chief multinational technology corporation. As per the study, this has been found that by 1987 this company went public and this was known for software and microprocessors mainly for producing software for Altair 8800, which was an</w:t>
      </w:r>
      <w:r w:rsidR="00F86DEB" w:rsidRPr="005E4C7C">
        <w:rPr>
          <w:rFonts w:cs="Arial"/>
        </w:rPr>
        <w:t xml:space="preserve"> </w:t>
      </w:r>
      <w:r w:rsidRPr="005E4C7C">
        <w:rPr>
          <w:rFonts w:cs="Arial"/>
        </w:rPr>
        <w:t xml:space="preserve">early PC (personal computer). </w:t>
      </w:r>
    </w:p>
    <w:p w14:paraId="778BAB61" w14:textId="77777777" w:rsidR="003A5959" w:rsidRPr="005E4C7C" w:rsidRDefault="003A5959" w:rsidP="00D52DA9">
      <w:pPr>
        <w:rPr>
          <w:rFonts w:cs="Arial"/>
        </w:rPr>
      </w:pPr>
      <w:r w:rsidRPr="005E4C7C">
        <w:rPr>
          <w:rFonts w:cs="Arial"/>
        </w:rPr>
        <w:t xml:space="preserve">By 1980, as per sales, they had become the largest personal computer software organisation of the world. In 1981, they went on to license their MS-DOS operating system to IBM for their first PC that debuted. In 1985, they released a new system or operating called Windows with the graphical user interface, which involved scroll bars, drop-down menu and some other features and they shifted </w:t>
      </w:r>
      <w:proofErr w:type="gramStart"/>
      <w:r w:rsidRPr="005E4C7C">
        <w:rPr>
          <w:rFonts w:cs="Arial"/>
        </w:rPr>
        <w:t>its</w:t>
      </w:r>
      <w:proofErr w:type="gramEnd"/>
      <w:r w:rsidRPr="005E4C7C">
        <w:rPr>
          <w:rFonts w:cs="Arial"/>
        </w:rPr>
        <w:t xml:space="preserve"> headquarter to Redmond, Washington by going communal at $21 share, hovering $61million. Apart from these, in 2001, they joined the market of video-game with their launching of Xbox support (A&amp;E Television Networks, 2015). </w:t>
      </w:r>
    </w:p>
    <w:p w14:paraId="443AA8BE" w14:textId="77777777" w:rsidR="003A5959" w:rsidRPr="004F5E6B" w:rsidRDefault="003A5959" w:rsidP="004F5E6B">
      <w:pPr>
        <w:pStyle w:val="Heading2"/>
        <w:rPr>
          <w:rFonts w:ascii="Arial" w:hAnsi="Arial" w:cs="Arial"/>
          <w:b/>
          <w:color w:val="auto"/>
        </w:rPr>
      </w:pPr>
      <w:bookmarkStart w:id="3" w:name="_Toc60407820"/>
      <w:r w:rsidRPr="004F5E6B">
        <w:rPr>
          <w:rFonts w:ascii="Arial" w:hAnsi="Arial" w:cs="Arial"/>
          <w:b/>
          <w:color w:val="auto"/>
        </w:rPr>
        <w:t>Industry size</w:t>
      </w:r>
      <w:bookmarkEnd w:id="3"/>
    </w:p>
    <w:p w14:paraId="19684848" w14:textId="77777777" w:rsidR="003A5959" w:rsidRPr="005E4C7C" w:rsidRDefault="003A5959" w:rsidP="00D52DA9">
      <w:pPr>
        <w:rPr>
          <w:rFonts w:cs="Arial"/>
        </w:rPr>
      </w:pPr>
      <w:r w:rsidRPr="005E4C7C">
        <w:rPr>
          <w:rFonts w:cs="Arial"/>
        </w:rPr>
        <w:t>The US is the biggest technology market in the world with 33% of the whole or about $1.7 trillion for the year 2021. As per the study, it has been extracted that at about $1.8 trillion, the technology industry accounts for about 10% of the whole US economy, forming this the 3</w:t>
      </w:r>
      <w:r w:rsidRPr="005E4C7C">
        <w:rPr>
          <w:rFonts w:cs="Arial"/>
          <w:vertAlign w:val="superscript"/>
        </w:rPr>
        <w:t>rd</w:t>
      </w:r>
      <w:r w:rsidRPr="005E4C7C">
        <w:rPr>
          <w:rFonts w:cs="Arial"/>
        </w:rPr>
        <w:t xml:space="preserve"> biggest industry within the economy behind government and manufacturing. Moreover, this has been revealed that the impact of the economy of the US technology industry measured as the percentage of GDP, rises that of the other sector, involving significant industries, like transportation, construction and retail. About 47% of the tech sector occupations are in the tech professions (CompTIA, 2020). </w:t>
      </w:r>
    </w:p>
    <w:p w14:paraId="50A9C207" w14:textId="77777777" w:rsidR="003A5959" w:rsidRPr="00E905D7" w:rsidRDefault="003A5959" w:rsidP="00D52DA9">
      <w:pPr>
        <w:keepNext/>
        <w:jc w:val="center"/>
        <w:rPr>
          <w:rFonts w:cs="Arial"/>
        </w:rPr>
      </w:pPr>
      <w:r w:rsidRPr="00E905D7">
        <w:rPr>
          <w:rFonts w:cs="Arial"/>
          <w:noProof/>
          <w:lang w:val="bg-BG" w:eastAsia="bg-BG"/>
        </w:rPr>
        <w:lastRenderedPageBreak/>
        <w:drawing>
          <wp:inline distT="0" distB="0" distL="0" distR="0" wp14:anchorId="0AF39A56" wp14:editId="3E7485A5">
            <wp:extent cx="4143375" cy="2867025"/>
            <wp:effectExtent l="76200" t="76200" r="14287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43375"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857883" w14:textId="77777777" w:rsidR="003A5959" w:rsidRPr="00E905D7" w:rsidRDefault="003A5959" w:rsidP="00D52DA9">
      <w:pPr>
        <w:pStyle w:val="Caption"/>
        <w:spacing w:line="360" w:lineRule="auto"/>
        <w:jc w:val="center"/>
        <w:rPr>
          <w:rFonts w:cs="Arial"/>
          <w:b/>
          <w:i w:val="0"/>
          <w:color w:val="auto"/>
          <w:sz w:val="24"/>
          <w:szCs w:val="24"/>
        </w:rPr>
      </w:pPr>
      <w:r w:rsidRPr="00E905D7">
        <w:rPr>
          <w:rFonts w:cs="Arial"/>
          <w:b/>
          <w:i w:val="0"/>
          <w:color w:val="auto"/>
          <w:sz w:val="24"/>
          <w:szCs w:val="24"/>
        </w:rPr>
        <w:t xml:space="preserve">Figure </w:t>
      </w:r>
      <w:r w:rsidR="00544DC9" w:rsidRPr="00E905D7">
        <w:rPr>
          <w:rFonts w:cs="Arial"/>
          <w:b/>
          <w:i w:val="0"/>
          <w:color w:val="auto"/>
          <w:sz w:val="24"/>
          <w:szCs w:val="24"/>
        </w:rPr>
        <w:fldChar w:fldCharType="begin"/>
      </w:r>
      <w:r w:rsidRPr="00E905D7">
        <w:rPr>
          <w:rFonts w:cs="Arial"/>
          <w:b/>
          <w:i w:val="0"/>
          <w:color w:val="auto"/>
          <w:sz w:val="24"/>
          <w:szCs w:val="24"/>
        </w:rPr>
        <w:instrText xml:space="preserve"> SEQ Figure \* ARABIC </w:instrText>
      </w:r>
      <w:r w:rsidR="00544DC9" w:rsidRPr="00E905D7">
        <w:rPr>
          <w:rFonts w:cs="Arial"/>
          <w:b/>
          <w:i w:val="0"/>
          <w:color w:val="auto"/>
          <w:sz w:val="24"/>
          <w:szCs w:val="24"/>
        </w:rPr>
        <w:fldChar w:fldCharType="separate"/>
      </w:r>
      <w:r w:rsidRPr="00E905D7">
        <w:rPr>
          <w:rFonts w:cs="Arial"/>
          <w:b/>
          <w:i w:val="0"/>
          <w:noProof/>
          <w:color w:val="auto"/>
          <w:sz w:val="24"/>
          <w:szCs w:val="24"/>
        </w:rPr>
        <w:t>1</w:t>
      </w:r>
      <w:r w:rsidR="00544DC9" w:rsidRPr="00E905D7">
        <w:rPr>
          <w:rFonts w:cs="Arial"/>
          <w:b/>
          <w:i w:val="0"/>
          <w:color w:val="auto"/>
          <w:sz w:val="24"/>
          <w:szCs w:val="24"/>
        </w:rPr>
        <w:fldChar w:fldCharType="end"/>
      </w:r>
      <w:r w:rsidRPr="00E905D7">
        <w:rPr>
          <w:rFonts w:cs="Arial"/>
          <w:b/>
          <w:i w:val="0"/>
          <w:color w:val="auto"/>
          <w:sz w:val="24"/>
          <w:szCs w:val="24"/>
        </w:rPr>
        <w:t>: Tech occupation and tech industry job intersection</w:t>
      </w:r>
    </w:p>
    <w:p w14:paraId="6A6CF7A1" w14:textId="77777777" w:rsidR="003A5959" w:rsidRPr="00E905D7" w:rsidRDefault="003A5959" w:rsidP="00D52DA9">
      <w:pPr>
        <w:jc w:val="center"/>
        <w:rPr>
          <w:rFonts w:cs="Arial"/>
        </w:rPr>
      </w:pPr>
      <w:r w:rsidRPr="00E905D7">
        <w:rPr>
          <w:rFonts w:cs="Arial"/>
        </w:rPr>
        <w:t>(Source: CompTIA, 2020)</w:t>
      </w:r>
    </w:p>
    <w:p w14:paraId="7164C49C" w14:textId="77777777" w:rsidR="003A5959" w:rsidRPr="004F5E6B" w:rsidRDefault="003A5959" w:rsidP="004F5E6B">
      <w:pPr>
        <w:pStyle w:val="Heading2"/>
        <w:rPr>
          <w:rFonts w:ascii="Arial" w:hAnsi="Arial" w:cs="Arial"/>
          <w:b/>
          <w:color w:val="auto"/>
        </w:rPr>
      </w:pPr>
      <w:bookmarkStart w:id="4" w:name="_Toc60407821"/>
      <w:r w:rsidRPr="004F5E6B">
        <w:rPr>
          <w:rFonts w:ascii="Arial" w:hAnsi="Arial" w:cs="Arial"/>
          <w:b/>
          <w:color w:val="auto"/>
        </w:rPr>
        <w:t>Competitiveness and growth</w:t>
      </w:r>
      <w:bookmarkEnd w:id="4"/>
    </w:p>
    <w:p w14:paraId="41D78ECE" w14:textId="77777777" w:rsidR="003A5959" w:rsidRPr="005E4C7C" w:rsidRDefault="003A5959" w:rsidP="00D52DA9">
      <w:pPr>
        <w:rPr>
          <w:rFonts w:cs="Arial"/>
        </w:rPr>
      </w:pPr>
      <w:r w:rsidRPr="005E4C7C">
        <w:rPr>
          <w:rFonts w:cs="Arial"/>
        </w:rPr>
        <w:t xml:space="preserve">As per the report of Statista, this has been revealed that Microsoft employs about 163,000 (60% in the US) individuals in full-time ranks globally. Microsoft Corporation has a strong brand equity and this is one of the major sources of the competitive advantage. The way they operate internationally with the famous product suites like Azure, Office and Windows makes them unique to compete in this sector. Moreover, regulation, intellectual property (mainly their proprietary software code and patents) and brand strength can provide to competitive moats. Microsoft has invested about 459 billion USD in 2020 with the global revenue of 143 billion USD and net income of 44.28 billion USD (Liu, 2020). </w:t>
      </w:r>
    </w:p>
    <w:p w14:paraId="058E51AD" w14:textId="77777777" w:rsidR="003A5959" w:rsidRPr="00E905D7" w:rsidRDefault="003A5959" w:rsidP="00D52DA9">
      <w:pPr>
        <w:keepNext/>
        <w:jc w:val="center"/>
        <w:rPr>
          <w:rFonts w:cs="Arial"/>
        </w:rPr>
      </w:pPr>
      <w:r w:rsidRPr="00E905D7">
        <w:rPr>
          <w:rFonts w:cs="Arial"/>
          <w:noProof/>
          <w:lang w:val="bg-BG" w:eastAsia="bg-BG"/>
        </w:rPr>
        <w:lastRenderedPageBreak/>
        <w:drawing>
          <wp:inline distT="0" distB="0" distL="0" distR="0" wp14:anchorId="1737F1D2" wp14:editId="5844C7D3">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E00F59" w14:textId="77777777" w:rsidR="003A5959" w:rsidRPr="00E905D7" w:rsidRDefault="003A5959" w:rsidP="00D52DA9">
      <w:pPr>
        <w:pStyle w:val="Caption"/>
        <w:spacing w:line="360" w:lineRule="auto"/>
        <w:jc w:val="center"/>
        <w:rPr>
          <w:rFonts w:cs="Arial"/>
          <w:b/>
          <w:i w:val="0"/>
          <w:color w:val="auto"/>
          <w:sz w:val="24"/>
          <w:szCs w:val="24"/>
        </w:rPr>
      </w:pPr>
      <w:r w:rsidRPr="00E905D7">
        <w:rPr>
          <w:rFonts w:cs="Arial"/>
          <w:b/>
          <w:i w:val="0"/>
          <w:color w:val="auto"/>
          <w:sz w:val="24"/>
          <w:szCs w:val="24"/>
        </w:rPr>
        <w:t xml:space="preserve">Figure </w:t>
      </w:r>
      <w:r w:rsidR="00544DC9" w:rsidRPr="00E905D7">
        <w:rPr>
          <w:rFonts w:cs="Arial"/>
          <w:b/>
          <w:i w:val="0"/>
          <w:color w:val="auto"/>
          <w:sz w:val="24"/>
          <w:szCs w:val="24"/>
        </w:rPr>
        <w:fldChar w:fldCharType="begin"/>
      </w:r>
      <w:r w:rsidRPr="00E905D7">
        <w:rPr>
          <w:rFonts w:cs="Arial"/>
          <w:b/>
          <w:i w:val="0"/>
          <w:color w:val="auto"/>
          <w:sz w:val="24"/>
          <w:szCs w:val="24"/>
        </w:rPr>
        <w:instrText xml:space="preserve"> SEQ Figure \* ARABIC </w:instrText>
      </w:r>
      <w:r w:rsidR="00544DC9" w:rsidRPr="00E905D7">
        <w:rPr>
          <w:rFonts w:cs="Arial"/>
          <w:b/>
          <w:i w:val="0"/>
          <w:color w:val="auto"/>
          <w:sz w:val="24"/>
          <w:szCs w:val="24"/>
        </w:rPr>
        <w:fldChar w:fldCharType="separate"/>
      </w:r>
      <w:r w:rsidRPr="00E905D7">
        <w:rPr>
          <w:rFonts w:cs="Arial"/>
          <w:b/>
          <w:i w:val="0"/>
          <w:noProof/>
          <w:color w:val="auto"/>
          <w:sz w:val="24"/>
          <w:szCs w:val="24"/>
        </w:rPr>
        <w:t>2</w:t>
      </w:r>
      <w:r w:rsidR="00544DC9" w:rsidRPr="00E905D7">
        <w:rPr>
          <w:rFonts w:cs="Arial"/>
          <w:b/>
          <w:i w:val="0"/>
          <w:color w:val="auto"/>
          <w:sz w:val="24"/>
          <w:szCs w:val="24"/>
        </w:rPr>
        <w:fldChar w:fldCharType="end"/>
      </w:r>
      <w:r w:rsidRPr="00E905D7">
        <w:rPr>
          <w:rFonts w:cs="Arial"/>
          <w:b/>
          <w:i w:val="0"/>
          <w:color w:val="auto"/>
          <w:sz w:val="24"/>
          <w:szCs w:val="24"/>
        </w:rPr>
        <w:t>: Elevation of number of employees</w:t>
      </w:r>
    </w:p>
    <w:p w14:paraId="11B99756" w14:textId="77777777" w:rsidR="003A5959" w:rsidRPr="00E905D7" w:rsidRDefault="003A5959" w:rsidP="00D52DA9">
      <w:pPr>
        <w:jc w:val="center"/>
        <w:rPr>
          <w:rFonts w:cs="Arial"/>
        </w:rPr>
      </w:pPr>
      <w:r w:rsidRPr="00E905D7">
        <w:rPr>
          <w:rFonts w:cs="Arial"/>
        </w:rPr>
        <w:t xml:space="preserve">(Source: </w:t>
      </w:r>
      <w:r w:rsidR="00AE374F" w:rsidRPr="00E905D7">
        <w:rPr>
          <w:rFonts w:cs="Arial"/>
        </w:rPr>
        <w:t>Liu, 2020</w:t>
      </w:r>
      <w:r w:rsidRPr="00E905D7">
        <w:rPr>
          <w:rFonts w:cs="Arial"/>
        </w:rPr>
        <w:t>)</w:t>
      </w:r>
    </w:p>
    <w:p w14:paraId="17EF7518" w14:textId="77777777" w:rsidR="00000E04" w:rsidRPr="004F5E6B" w:rsidRDefault="004F5E6B" w:rsidP="004F5E6B">
      <w:pPr>
        <w:pStyle w:val="Heading1"/>
        <w:rPr>
          <w:sz w:val="28"/>
          <w:szCs w:val="28"/>
        </w:rPr>
      </w:pPr>
      <w:bookmarkStart w:id="5" w:name="_Toc60407822"/>
      <w:r w:rsidRPr="004F5E6B">
        <w:rPr>
          <w:sz w:val="28"/>
          <w:szCs w:val="28"/>
        </w:rPr>
        <w:t>M</w:t>
      </w:r>
      <w:r w:rsidR="00000E04" w:rsidRPr="004F5E6B">
        <w:rPr>
          <w:sz w:val="28"/>
          <w:szCs w:val="28"/>
        </w:rPr>
        <w:t>anagement theories/models</w:t>
      </w:r>
      <w:bookmarkEnd w:id="5"/>
    </w:p>
    <w:p w14:paraId="586BCBB2" w14:textId="77777777" w:rsidR="00E73E14" w:rsidRPr="004F5E6B" w:rsidRDefault="00E73E14" w:rsidP="004F5E6B">
      <w:pPr>
        <w:pStyle w:val="Heading2"/>
        <w:rPr>
          <w:rFonts w:ascii="Arial" w:hAnsi="Arial" w:cs="Arial"/>
          <w:b/>
          <w:color w:val="auto"/>
        </w:rPr>
      </w:pPr>
      <w:bookmarkStart w:id="6" w:name="_Toc60407823"/>
      <w:r w:rsidRPr="004F5E6B">
        <w:rPr>
          <w:rFonts w:ascii="Arial" w:hAnsi="Arial" w:cs="Arial"/>
          <w:b/>
          <w:color w:val="auto"/>
        </w:rPr>
        <w:t>PESTLE analysis</w:t>
      </w:r>
      <w:bookmarkEnd w:id="6"/>
    </w:p>
    <w:p w14:paraId="3A724B6C" w14:textId="77777777" w:rsidR="00E73E14" w:rsidRPr="00E905D7" w:rsidRDefault="00E73E14" w:rsidP="00D52DA9">
      <w:pPr>
        <w:keepNext/>
        <w:jc w:val="center"/>
        <w:rPr>
          <w:rFonts w:cs="Arial"/>
        </w:rPr>
      </w:pPr>
      <w:r w:rsidRPr="00E905D7">
        <w:rPr>
          <w:rFonts w:cs="Arial"/>
          <w:noProof/>
          <w:lang w:val="bg-BG" w:eastAsia="bg-BG"/>
        </w:rPr>
        <w:drawing>
          <wp:inline distT="0" distB="0" distL="0" distR="0" wp14:anchorId="61B2CEE1" wp14:editId="23B776CA">
            <wp:extent cx="2314575" cy="2363078"/>
            <wp:effectExtent l="76200" t="76200" r="123825" b="132715"/>
            <wp:docPr id="3" name="Picture 3" descr="PESTEL Analysis - Corporate Financ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Corporate Finance Institu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19650" cy="2368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C44D51" w14:textId="77777777" w:rsidR="00E73E14" w:rsidRPr="00E905D7" w:rsidRDefault="00E73E14" w:rsidP="00D52DA9">
      <w:pPr>
        <w:pStyle w:val="Caption"/>
        <w:spacing w:line="360" w:lineRule="auto"/>
        <w:jc w:val="center"/>
        <w:rPr>
          <w:rFonts w:cs="Arial"/>
          <w:b/>
          <w:i w:val="0"/>
          <w:color w:val="auto"/>
          <w:sz w:val="24"/>
          <w:szCs w:val="24"/>
        </w:rPr>
      </w:pPr>
      <w:r w:rsidRPr="00E905D7">
        <w:rPr>
          <w:rFonts w:cs="Arial"/>
          <w:b/>
          <w:i w:val="0"/>
          <w:color w:val="auto"/>
          <w:sz w:val="24"/>
          <w:szCs w:val="24"/>
        </w:rPr>
        <w:t xml:space="preserve">Figure </w:t>
      </w:r>
      <w:r w:rsidR="00544DC9" w:rsidRPr="00E905D7">
        <w:rPr>
          <w:rFonts w:cs="Arial"/>
          <w:b/>
          <w:i w:val="0"/>
          <w:color w:val="auto"/>
          <w:sz w:val="24"/>
          <w:szCs w:val="24"/>
        </w:rPr>
        <w:fldChar w:fldCharType="begin"/>
      </w:r>
      <w:r w:rsidRPr="00E905D7">
        <w:rPr>
          <w:rFonts w:cs="Arial"/>
          <w:b/>
          <w:i w:val="0"/>
          <w:color w:val="auto"/>
          <w:sz w:val="24"/>
          <w:szCs w:val="24"/>
        </w:rPr>
        <w:instrText xml:space="preserve"> SEQ Figure \* ARABIC </w:instrText>
      </w:r>
      <w:r w:rsidR="00544DC9" w:rsidRPr="00E905D7">
        <w:rPr>
          <w:rFonts w:cs="Arial"/>
          <w:b/>
          <w:i w:val="0"/>
          <w:color w:val="auto"/>
          <w:sz w:val="24"/>
          <w:szCs w:val="24"/>
        </w:rPr>
        <w:fldChar w:fldCharType="separate"/>
      </w:r>
      <w:r w:rsidRPr="00E905D7">
        <w:rPr>
          <w:rFonts w:cs="Arial"/>
          <w:b/>
          <w:i w:val="0"/>
          <w:noProof/>
          <w:color w:val="auto"/>
          <w:sz w:val="24"/>
          <w:szCs w:val="24"/>
        </w:rPr>
        <w:t>3</w:t>
      </w:r>
      <w:r w:rsidR="00544DC9" w:rsidRPr="00E905D7">
        <w:rPr>
          <w:rFonts w:cs="Arial"/>
          <w:b/>
          <w:i w:val="0"/>
          <w:color w:val="auto"/>
          <w:sz w:val="24"/>
          <w:szCs w:val="24"/>
        </w:rPr>
        <w:fldChar w:fldCharType="end"/>
      </w:r>
      <w:r w:rsidRPr="00E905D7">
        <w:rPr>
          <w:rFonts w:cs="Arial"/>
          <w:b/>
          <w:i w:val="0"/>
          <w:color w:val="auto"/>
          <w:sz w:val="24"/>
          <w:szCs w:val="24"/>
        </w:rPr>
        <w:t>: PESTLE analysis</w:t>
      </w:r>
    </w:p>
    <w:p w14:paraId="7ED70985" w14:textId="77777777" w:rsidR="00E73E14" w:rsidRPr="00E905D7" w:rsidRDefault="00F86DEB" w:rsidP="00D52DA9">
      <w:pPr>
        <w:jc w:val="center"/>
        <w:rPr>
          <w:rFonts w:cs="Arial"/>
        </w:rPr>
      </w:pPr>
      <w:r>
        <w:rPr>
          <w:rFonts w:cs="Arial"/>
        </w:rPr>
        <w:t xml:space="preserve">(Source: </w:t>
      </w:r>
      <w:proofErr w:type="spellStart"/>
      <w:r>
        <w:rPr>
          <w:rFonts w:cs="Arial"/>
        </w:rPr>
        <w:t>Nandonde</w:t>
      </w:r>
      <w:proofErr w:type="spellEnd"/>
      <w:r>
        <w:rPr>
          <w:rFonts w:cs="Arial"/>
        </w:rPr>
        <w:t>, 2019</w:t>
      </w:r>
      <w:r w:rsidR="00E73E14" w:rsidRPr="00E905D7">
        <w:rPr>
          <w:rFonts w:cs="Arial"/>
        </w:rPr>
        <w:t>)</w:t>
      </w:r>
    </w:p>
    <w:p w14:paraId="1A951F24" w14:textId="77777777" w:rsidR="00E73E14" w:rsidRPr="00E905D7" w:rsidRDefault="00F86DEB" w:rsidP="00D52DA9">
      <w:pPr>
        <w:rPr>
          <w:rFonts w:cs="Arial"/>
        </w:rPr>
      </w:pPr>
      <w:r>
        <w:rPr>
          <w:rFonts w:cs="Arial"/>
        </w:rPr>
        <w:t xml:space="preserve">According to </w:t>
      </w:r>
      <w:proofErr w:type="spellStart"/>
      <w:r>
        <w:rPr>
          <w:rFonts w:cs="Arial"/>
        </w:rPr>
        <w:t>Nandonde</w:t>
      </w:r>
      <w:proofErr w:type="spellEnd"/>
      <w:r>
        <w:rPr>
          <w:rFonts w:cs="Arial"/>
        </w:rPr>
        <w:t xml:space="preserve"> (2019</w:t>
      </w:r>
      <w:r w:rsidR="00E73E14" w:rsidRPr="00E905D7">
        <w:rPr>
          <w:rFonts w:cs="Arial"/>
        </w:rPr>
        <w:t xml:space="preserve">), PESTLE analysis assists to look at various influential and different factors that could </w:t>
      </w:r>
      <w:r w:rsidRPr="00E905D7">
        <w:rPr>
          <w:rFonts w:cs="Arial"/>
        </w:rPr>
        <w:t>affect</w:t>
      </w:r>
      <w:r w:rsidR="00E73E14" w:rsidRPr="00E905D7">
        <w:rPr>
          <w:rFonts w:cs="Arial"/>
        </w:rPr>
        <w:t xml:space="preserve"> the achievement of the product introduction or launch. This </w:t>
      </w:r>
      <w:r w:rsidR="00E73E14" w:rsidRPr="00E905D7">
        <w:rPr>
          <w:rFonts w:cs="Arial"/>
        </w:rPr>
        <w:lastRenderedPageBreak/>
        <w:t xml:space="preserve">even motivates the growth of the strategic thinking for having a deeper insight of the strategic plan. This is the strategic planning process for reducing business threats. Christodoulou and Cullinane (2019,) have stated that by </w:t>
      </w:r>
      <w:r w:rsidR="00E73E14" w:rsidRPr="005E4C7C">
        <w:rPr>
          <w:rFonts w:cs="Arial"/>
        </w:rPr>
        <w:t>investigating Political, Economic, Social,</w:t>
      </w:r>
      <w:r w:rsidR="00E73E14" w:rsidRPr="00E905D7">
        <w:rPr>
          <w:rFonts w:cs="Arial"/>
          <w:b/>
        </w:rPr>
        <w:t xml:space="preserve"> </w:t>
      </w:r>
      <w:r w:rsidR="00E73E14" w:rsidRPr="005E4C7C">
        <w:rPr>
          <w:rFonts w:cs="Arial"/>
          <w:bCs/>
        </w:rPr>
        <w:t>Technological, Legal and Environmental constraints. Such benefits assist with the concept phase, content marketing policies, product introduction to rise success. This analysis can be utilised for shaping actions and policies by the US government and Microsoft, which is performing on managing the situation of COVID-19. Due to the outbreak of COVD-19, the community work has severely affected and totally stopped. In the current work, PESTLE analysis would help to understand the way these environmental factors affect the life of the</w:t>
      </w:r>
      <w:r w:rsidR="00E73E14" w:rsidRPr="00E905D7">
        <w:rPr>
          <w:rFonts w:cs="Arial"/>
        </w:rPr>
        <w:t xml:space="preserve"> daily-wagers and the company on day-to-day existence. </w:t>
      </w:r>
    </w:p>
    <w:p w14:paraId="65D86A3D" w14:textId="77777777" w:rsidR="00E73E14" w:rsidRPr="004F5E6B" w:rsidRDefault="00E73E14" w:rsidP="004F5E6B">
      <w:pPr>
        <w:pStyle w:val="Heading2"/>
        <w:rPr>
          <w:rFonts w:ascii="Arial" w:hAnsi="Arial" w:cs="Arial"/>
          <w:b/>
          <w:color w:val="auto"/>
        </w:rPr>
      </w:pPr>
      <w:bookmarkStart w:id="7" w:name="_Toc60407824"/>
      <w:r w:rsidRPr="004F5E6B">
        <w:rPr>
          <w:rFonts w:ascii="Arial" w:hAnsi="Arial" w:cs="Arial"/>
          <w:b/>
          <w:color w:val="auto"/>
        </w:rPr>
        <w:t>Porter’s 5 forces analysis</w:t>
      </w:r>
      <w:bookmarkEnd w:id="7"/>
    </w:p>
    <w:p w14:paraId="3A708EE9" w14:textId="77777777" w:rsidR="00E73E14" w:rsidRPr="00E905D7" w:rsidRDefault="00E73E14" w:rsidP="00D52DA9">
      <w:pPr>
        <w:keepNext/>
        <w:jc w:val="center"/>
        <w:rPr>
          <w:rFonts w:cs="Arial"/>
        </w:rPr>
      </w:pPr>
      <w:r w:rsidRPr="00E905D7">
        <w:rPr>
          <w:rFonts w:cs="Arial"/>
          <w:noProof/>
          <w:lang w:val="bg-BG" w:eastAsia="bg-BG"/>
        </w:rPr>
        <w:drawing>
          <wp:inline distT="0" distB="0" distL="0" distR="0" wp14:anchorId="5054F02F" wp14:editId="658F1BE1">
            <wp:extent cx="5943600" cy="2780227"/>
            <wp:effectExtent l="76200" t="76200" r="133350" b="134620"/>
            <wp:docPr id="4" name="Picture 4" descr="Porter's five forces- determine how attractive your market is, increas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determine how attractive your market is, increase  busin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7802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2757F1" w14:textId="77777777" w:rsidR="00E73E14" w:rsidRPr="00E905D7" w:rsidRDefault="00E73E14" w:rsidP="00D52DA9">
      <w:pPr>
        <w:pStyle w:val="Caption"/>
        <w:spacing w:line="360" w:lineRule="auto"/>
        <w:jc w:val="center"/>
        <w:rPr>
          <w:rFonts w:cs="Arial"/>
          <w:b/>
          <w:i w:val="0"/>
          <w:color w:val="auto"/>
          <w:sz w:val="24"/>
          <w:szCs w:val="24"/>
        </w:rPr>
      </w:pPr>
      <w:r w:rsidRPr="00E905D7">
        <w:rPr>
          <w:rFonts w:cs="Arial"/>
          <w:b/>
          <w:i w:val="0"/>
          <w:color w:val="auto"/>
          <w:sz w:val="24"/>
          <w:szCs w:val="24"/>
        </w:rPr>
        <w:t xml:space="preserve">Figure </w:t>
      </w:r>
      <w:r w:rsidR="00544DC9" w:rsidRPr="00E905D7">
        <w:rPr>
          <w:rFonts w:cs="Arial"/>
          <w:b/>
          <w:i w:val="0"/>
          <w:color w:val="auto"/>
          <w:sz w:val="24"/>
          <w:szCs w:val="24"/>
        </w:rPr>
        <w:fldChar w:fldCharType="begin"/>
      </w:r>
      <w:r w:rsidRPr="00E905D7">
        <w:rPr>
          <w:rFonts w:cs="Arial"/>
          <w:b/>
          <w:i w:val="0"/>
          <w:color w:val="auto"/>
          <w:sz w:val="24"/>
          <w:szCs w:val="24"/>
        </w:rPr>
        <w:instrText xml:space="preserve"> SEQ Figure \* ARABIC </w:instrText>
      </w:r>
      <w:r w:rsidR="00544DC9" w:rsidRPr="00E905D7">
        <w:rPr>
          <w:rFonts w:cs="Arial"/>
          <w:b/>
          <w:i w:val="0"/>
          <w:color w:val="auto"/>
          <w:sz w:val="24"/>
          <w:szCs w:val="24"/>
        </w:rPr>
        <w:fldChar w:fldCharType="separate"/>
      </w:r>
      <w:r w:rsidRPr="00E905D7">
        <w:rPr>
          <w:rFonts w:cs="Arial"/>
          <w:b/>
          <w:i w:val="0"/>
          <w:noProof/>
          <w:color w:val="auto"/>
          <w:sz w:val="24"/>
          <w:szCs w:val="24"/>
        </w:rPr>
        <w:t>4</w:t>
      </w:r>
      <w:r w:rsidR="00544DC9" w:rsidRPr="00E905D7">
        <w:rPr>
          <w:rFonts w:cs="Arial"/>
          <w:b/>
          <w:i w:val="0"/>
          <w:color w:val="auto"/>
          <w:sz w:val="24"/>
          <w:szCs w:val="24"/>
        </w:rPr>
        <w:fldChar w:fldCharType="end"/>
      </w:r>
      <w:r w:rsidRPr="00E905D7">
        <w:rPr>
          <w:rFonts w:cs="Arial"/>
          <w:b/>
          <w:i w:val="0"/>
          <w:color w:val="auto"/>
          <w:sz w:val="24"/>
          <w:szCs w:val="24"/>
        </w:rPr>
        <w:t>: Porter's 5 forces analysis</w:t>
      </w:r>
    </w:p>
    <w:p w14:paraId="7F655D1D" w14:textId="77777777" w:rsidR="00E73E14" w:rsidRPr="00E905D7" w:rsidRDefault="00E73E14" w:rsidP="00D52DA9">
      <w:pPr>
        <w:jc w:val="center"/>
        <w:rPr>
          <w:rFonts w:cs="Arial"/>
        </w:rPr>
      </w:pPr>
      <w:r w:rsidRPr="00E905D7">
        <w:rPr>
          <w:rFonts w:cs="Arial"/>
        </w:rPr>
        <w:t xml:space="preserve">(Source: </w:t>
      </w:r>
      <w:proofErr w:type="spellStart"/>
      <w:r w:rsidRPr="00E905D7">
        <w:rPr>
          <w:rFonts w:cs="Arial"/>
        </w:rPr>
        <w:t>Mehjabeen</w:t>
      </w:r>
      <w:proofErr w:type="spellEnd"/>
      <w:r w:rsidRPr="00E905D7">
        <w:rPr>
          <w:rFonts w:cs="Arial"/>
        </w:rPr>
        <w:t>, 2018)</w:t>
      </w:r>
    </w:p>
    <w:p w14:paraId="6EB213F3" w14:textId="49D9F92E" w:rsidR="00E73E14" w:rsidRPr="005E4C7C" w:rsidRDefault="00E73E14" w:rsidP="00D52DA9">
      <w:pPr>
        <w:rPr>
          <w:rFonts w:cs="Arial"/>
        </w:rPr>
      </w:pPr>
      <w:proofErr w:type="spellStart"/>
      <w:r w:rsidRPr="00E905D7">
        <w:rPr>
          <w:rFonts w:cs="Arial"/>
        </w:rPr>
        <w:t>Mehjabeen</w:t>
      </w:r>
      <w:proofErr w:type="spellEnd"/>
      <w:r w:rsidRPr="00E905D7">
        <w:rPr>
          <w:rFonts w:cs="Arial"/>
        </w:rPr>
        <w:t xml:space="preserve"> (2018) have added that Porter’s 5 forces analysis is essential tool for having an insight of the forces, which frame competition within the sector. this is helpful for assisting one to adjust the strategy for suiting the </w:t>
      </w:r>
      <w:r w:rsidRPr="005E4C7C">
        <w:rPr>
          <w:rFonts w:cs="Arial"/>
        </w:rPr>
        <w:t>competitive environment as well as to enhance the possible profit. With the use of this model, one can address where the</w:t>
      </w:r>
      <w:r w:rsidR="005E4C7C" w:rsidRPr="005E4C7C">
        <w:rPr>
          <w:rFonts w:cs="Arial"/>
        </w:rPr>
        <w:t xml:space="preserve"> </w:t>
      </w:r>
      <w:r w:rsidRPr="005E4C7C">
        <w:rPr>
          <w:rFonts w:cs="Arial"/>
        </w:rPr>
        <w:t>power presents in the business context and this is also helpful both in having understandings of the strength of the position, which may look for moving into and the strength of the</w:t>
      </w:r>
      <w:r w:rsidRPr="00E905D7">
        <w:rPr>
          <w:rFonts w:cs="Arial"/>
        </w:rPr>
        <w:t xml:space="preserve"> present competitive position of the </w:t>
      </w:r>
      <w:r w:rsidRPr="005E4C7C">
        <w:rPr>
          <w:rFonts w:cs="Arial"/>
        </w:rPr>
        <w:lastRenderedPageBreak/>
        <w:t xml:space="preserve">company. The five forces of this model are “the threat of new entry, competitive rivalry, buyer and supplier power and threat of substitution”. </w:t>
      </w:r>
    </w:p>
    <w:p w14:paraId="40B43934" w14:textId="77777777" w:rsidR="00E73E14" w:rsidRPr="005E4C7C" w:rsidRDefault="00E73E14" w:rsidP="00D52DA9">
      <w:pPr>
        <w:rPr>
          <w:rFonts w:cs="Arial"/>
        </w:rPr>
      </w:pPr>
      <w:r w:rsidRPr="005E4C7C">
        <w:rPr>
          <w:rFonts w:cs="Arial"/>
        </w:rPr>
        <w:t xml:space="preserve">According to </w:t>
      </w:r>
      <w:proofErr w:type="spellStart"/>
      <w:r w:rsidRPr="005E4C7C">
        <w:rPr>
          <w:rFonts w:cs="Arial"/>
        </w:rPr>
        <w:t>Wenxi</w:t>
      </w:r>
      <w:proofErr w:type="spellEnd"/>
      <w:r w:rsidRPr="005E4C7C">
        <w:rPr>
          <w:rFonts w:cs="Arial"/>
        </w:rPr>
        <w:t xml:space="preserve"> (2017), the five forces analysis assists companies for understanding the factors influencing profitability in certain sector and can assist for informing decision based on whether to penetrate any certain sector whether to rise capacity in certain sector. in addition to these, in establishing competitive policies. In the situation of COVID-19 and other environmental situation, internet-based</w:t>
      </w:r>
      <w:r w:rsidR="004B6EB6" w:rsidRPr="005E4C7C">
        <w:rPr>
          <w:rFonts w:cs="Arial"/>
        </w:rPr>
        <w:t xml:space="preserve"> </w:t>
      </w:r>
      <w:r w:rsidRPr="005E4C7C">
        <w:rPr>
          <w:rFonts w:cs="Arial"/>
        </w:rPr>
        <w:t xml:space="preserve">application and electronic gadget do not assist that much for being in the direct touch with their target audience, however, they are a need to be in the tough with the mentors, leads and leaders of the company. With the use of this model, the changes in the organisational culture and the way they need to work on the strategies as well as other ways of groundwork so that the company can get back on the track while these situations improve can be determined. Moreover, the way stakeholders, buyers or the suppliers pressurise the company in terms of weak, strong or moderate force can be discussed or understood. </w:t>
      </w:r>
    </w:p>
    <w:p w14:paraId="5D035755" w14:textId="77777777" w:rsidR="004B6EB6" w:rsidRPr="004F5E6B" w:rsidRDefault="004F5E6B" w:rsidP="004F5E6B">
      <w:pPr>
        <w:pStyle w:val="Heading1"/>
        <w:rPr>
          <w:sz w:val="28"/>
          <w:szCs w:val="28"/>
        </w:rPr>
      </w:pPr>
      <w:bookmarkStart w:id="8" w:name="_Toc60407825"/>
      <w:r w:rsidRPr="004F5E6B">
        <w:rPr>
          <w:sz w:val="28"/>
          <w:szCs w:val="28"/>
        </w:rPr>
        <w:t>A</w:t>
      </w:r>
      <w:r w:rsidR="00000E04" w:rsidRPr="004F5E6B">
        <w:rPr>
          <w:sz w:val="28"/>
          <w:szCs w:val="28"/>
        </w:rPr>
        <w:t>pplying the key theories/models/meth</w:t>
      </w:r>
      <w:r w:rsidRPr="004F5E6B">
        <w:rPr>
          <w:sz w:val="28"/>
          <w:szCs w:val="28"/>
        </w:rPr>
        <w:t>ods</w:t>
      </w:r>
      <w:r w:rsidR="00000E04" w:rsidRPr="004F5E6B">
        <w:rPr>
          <w:sz w:val="28"/>
          <w:szCs w:val="28"/>
        </w:rPr>
        <w:t xml:space="preserve"> to</w:t>
      </w:r>
      <w:r w:rsidRPr="004F5E6B">
        <w:rPr>
          <w:sz w:val="28"/>
          <w:szCs w:val="28"/>
        </w:rPr>
        <w:t xml:space="preserve"> Microsoft</w:t>
      </w:r>
      <w:bookmarkEnd w:id="8"/>
    </w:p>
    <w:p w14:paraId="643A30BE" w14:textId="77777777" w:rsidR="00000E04" w:rsidRPr="004F5E6B" w:rsidRDefault="00000E04" w:rsidP="004F5E6B">
      <w:pPr>
        <w:pStyle w:val="Heading2"/>
        <w:rPr>
          <w:rFonts w:ascii="Arial" w:hAnsi="Arial" w:cs="Arial"/>
          <w:b/>
          <w:color w:val="auto"/>
        </w:rPr>
      </w:pPr>
      <w:bookmarkStart w:id="9" w:name="_Toc60407826"/>
      <w:r w:rsidRPr="004F5E6B">
        <w:rPr>
          <w:rFonts w:ascii="Arial" w:hAnsi="Arial" w:cs="Arial"/>
          <w:b/>
          <w:color w:val="auto"/>
        </w:rPr>
        <w:t>POTER’S 5 FORCES</w:t>
      </w:r>
      <w:bookmarkEnd w:id="9"/>
    </w:p>
    <w:p w14:paraId="276CD333" w14:textId="77777777" w:rsidR="00E73E14" w:rsidRPr="00E905D7" w:rsidRDefault="00E73E14" w:rsidP="00D52DA9">
      <w:pPr>
        <w:rPr>
          <w:rFonts w:cs="Arial"/>
          <w:b/>
          <w:i/>
        </w:rPr>
      </w:pPr>
      <w:r w:rsidRPr="00E905D7">
        <w:rPr>
          <w:rFonts w:cs="Arial"/>
          <w:b/>
          <w:i/>
        </w:rPr>
        <w:t>The threat of substitute (Weak)</w:t>
      </w:r>
    </w:p>
    <w:p w14:paraId="14EF0DC4" w14:textId="77777777" w:rsidR="00E73E14" w:rsidRPr="00E905D7" w:rsidRDefault="00E73E14" w:rsidP="00D52DA9">
      <w:pPr>
        <w:rPr>
          <w:rFonts w:cs="Arial"/>
        </w:rPr>
      </w:pPr>
      <w:r w:rsidRPr="00E905D7">
        <w:rPr>
          <w:rFonts w:cs="Arial"/>
        </w:rPr>
        <w:t xml:space="preserve">As stated by </w:t>
      </w:r>
      <w:proofErr w:type="spellStart"/>
      <w:r w:rsidRPr="00E905D7">
        <w:rPr>
          <w:rFonts w:cs="Arial"/>
        </w:rPr>
        <w:t>Li</w:t>
      </w:r>
      <w:r w:rsidRPr="00E905D7">
        <w:rPr>
          <w:rFonts w:cs="Arial"/>
          <w:i/>
        </w:rPr>
        <w:t>et</w:t>
      </w:r>
      <w:proofErr w:type="spellEnd"/>
      <w:r w:rsidRPr="00E905D7">
        <w:rPr>
          <w:rFonts w:cs="Arial"/>
          <w:i/>
        </w:rPr>
        <w:t xml:space="preserve"> al. </w:t>
      </w:r>
      <w:r w:rsidR="004B6EB6">
        <w:rPr>
          <w:rFonts w:cs="Arial"/>
        </w:rPr>
        <w:t>(2018</w:t>
      </w:r>
      <w:r w:rsidRPr="00E905D7">
        <w:rPr>
          <w:rFonts w:cs="Arial"/>
        </w:rPr>
        <w:t xml:space="preserve">), substitute can minimise the market share of any company. The impact of the substitutes on a company and its sector environment are resolute in this fact. Based on the case of Microsoft, there are some external constraints, which </w:t>
      </w:r>
      <w:r w:rsidRPr="00251343">
        <w:rPr>
          <w:rFonts w:cs="Arial"/>
        </w:rPr>
        <w:t>impose weak push</w:t>
      </w:r>
      <w:r w:rsidRPr="00E905D7">
        <w:rPr>
          <w:rFonts w:cs="Arial"/>
        </w:rPr>
        <w:t xml:space="preserve"> of the substitution on their business. They are as follows:</w:t>
      </w:r>
    </w:p>
    <w:p w14:paraId="31EFE18F" w14:textId="77777777" w:rsidR="00E73E14" w:rsidRPr="00E905D7" w:rsidRDefault="00E73E14" w:rsidP="00D52DA9">
      <w:pPr>
        <w:pStyle w:val="ListParagraph"/>
        <w:numPr>
          <w:ilvl w:val="0"/>
          <w:numId w:val="3"/>
        </w:numPr>
        <w:rPr>
          <w:rFonts w:cs="Arial"/>
        </w:rPr>
      </w:pPr>
      <w:r w:rsidRPr="00E905D7">
        <w:rPr>
          <w:rFonts w:cs="Arial"/>
          <w:b/>
        </w:rPr>
        <w:t>Moderate</w:t>
      </w:r>
      <w:r w:rsidRPr="00E905D7">
        <w:rPr>
          <w:rFonts w:cs="Arial"/>
        </w:rPr>
        <w:t xml:space="preserve"> shifting cost</w:t>
      </w:r>
    </w:p>
    <w:p w14:paraId="5AACFE1E" w14:textId="77777777" w:rsidR="00E73E14" w:rsidRPr="00E905D7" w:rsidRDefault="00E73E14" w:rsidP="00D52DA9">
      <w:pPr>
        <w:pStyle w:val="ListParagraph"/>
        <w:numPr>
          <w:ilvl w:val="0"/>
          <w:numId w:val="3"/>
        </w:numPr>
        <w:rPr>
          <w:rFonts w:cs="Arial"/>
        </w:rPr>
      </w:pPr>
      <w:r w:rsidRPr="00E905D7">
        <w:rPr>
          <w:rFonts w:cs="Arial"/>
          <w:b/>
        </w:rPr>
        <w:t>Low</w:t>
      </w:r>
      <w:r w:rsidRPr="00E905D7">
        <w:rPr>
          <w:rFonts w:cs="Arial"/>
        </w:rPr>
        <w:t xml:space="preserve"> presence of the substitutes</w:t>
      </w:r>
    </w:p>
    <w:p w14:paraId="399DB691" w14:textId="77777777" w:rsidR="00E73E14" w:rsidRPr="00E905D7" w:rsidRDefault="00E73E14" w:rsidP="00D52DA9">
      <w:pPr>
        <w:pStyle w:val="ListParagraph"/>
        <w:numPr>
          <w:ilvl w:val="0"/>
          <w:numId w:val="3"/>
        </w:numPr>
        <w:rPr>
          <w:rFonts w:cs="Arial"/>
        </w:rPr>
      </w:pPr>
      <w:r w:rsidRPr="00E905D7">
        <w:rPr>
          <w:rFonts w:cs="Arial"/>
          <w:b/>
        </w:rPr>
        <w:t>Low</w:t>
      </w:r>
      <w:r w:rsidRPr="00E905D7">
        <w:rPr>
          <w:rFonts w:cs="Arial"/>
        </w:rPr>
        <w:t xml:space="preserve"> performance of the substitutes </w:t>
      </w:r>
    </w:p>
    <w:p w14:paraId="7271A134" w14:textId="77777777" w:rsidR="00E73E14" w:rsidRPr="00E905D7" w:rsidRDefault="00E73E14" w:rsidP="00D52DA9">
      <w:pPr>
        <w:rPr>
          <w:rFonts w:cs="Arial"/>
        </w:rPr>
      </w:pPr>
      <w:r w:rsidRPr="00E905D7">
        <w:rPr>
          <w:rFonts w:cs="Arial"/>
          <w:b/>
        </w:rPr>
        <w:t>Manual-mechanical</w:t>
      </w:r>
      <w:r w:rsidRPr="00E905D7">
        <w:rPr>
          <w:rFonts w:cs="Arial"/>
        </w:rPr>
        <w:t xml:space="preserve"> or </w:t>
      </w:r>
      <w:r w:rsidRPr="00E905D7">
        <w:rPr>
          <w:rFonts w:cs="Arial"/>
          <w:b/>
        </w:rPr>
        <w:t>non-online processes</w:t>
      </w:r>
      <w:r w:rsidRPr="00E905D7">
        <w:rPr>
          <w:rFonts w:cs="Arial"/>
        </w:rPr>
        <w:t xml:space="preserve"> are some of the substitutes, which tend to have </w:t>
      </w:r>
      <w:r w:rsidRPr="005E4C7C">
        <w:rPr>
          <w:rFonts w:cs="Arial"/>
          <w:bCs/>
        </w:rPr>
        <w:t xml:space="preserve">minimal performance in comparison with the present products of Microsoft (Chui </w:t>
      </w:r>
      <w:r w:rsidRPr="005E4C7C">
        <w:rPr>
          <w:rFonts w:cs="Arial"/>
          <w:bCs/>
          <w:i/>
        </w:rPr>
        <w:t xml:space="preserve">et al. </w:t>
      </w:r>
      <w:r w:rsidRPr="005E4C7C">
        <w:rPr>
          <w:rFonts w:cs="Arial"/>
          <w:bCs/>
        </w:rPr>
        <w:t>2016). This weakens substitute’s threat against the organisation. Moreover, the international adoption of progressively advanced technology minimises the presence of the substitutes as well as weakens their threat, which this organisation experiences. However, service such as Google Drive and Dropbox are the substitute for storing hardware drives. This threat can be</w:t>
      </w:r>
      <w:r w:rsidRPr="00E905D7">
        <w:rPr>
          <w:rFonts w:cs="Arial"/>
        </w:rPr>
        <w:t xml:space="preserve"> high in case this offers the value proposition, which is different from the current offering of tech industry. During this pandemic, when moderate shifting charges may assist them to facilitate substitution, </w:t>
      </w:r>
      <w:r w:rsidRPr="00E905D7">
        <w:rPr>
          <w:rFonts w:cs="Arial"/>
        </w:rPr>
        <w:lastRenderedPageBreak/>
        <w:t xml:space="preserve">such factor is not sufficient to notably reinforce substitutes. Thus, this can be stated that the threat of substitute is weak or minor problem in the sector environment of Microsoft Corporation. </w:t>
      </w:r>
    </w:p>
    <w:p w14:paraId="0C424181" w14:textId="77777777" w:rsidR="00E73E14" w:rsidRPr="00E905D7" w:rsidRDefault="00E73E14" w:rsidP="00D52DA9">
      <w:pPr>
        <w:rPr>
          <w:rFonts w:cs="Arial"/>
          <w:b/>
          <w:i/>
        </w:rPr>
      </w:pPr>
      <w:r w:rsidRPr="00E905D7">
        <w:rPr>
          <w:rFonts w:cs="Arial"/>
          <w:b/>
          <w:i/>
        </w:rPr>
        <w:t>Bargaining power of buyers (Moderate)</w:t>
      </w:r>
    </w:p>
    <w:p w14:paraId="64D79DD8" w14:textId="77777777" w:rsidR="00E73E14" w:rsidRPr="00E905D7" w:rsidRDefault="00E73E14" w:rsidP="00D52DA9">
      <w:pPr>
        <w:rPr>
          <w:rFonts w:cs="Arial"/>
        </w:rPr>
      </w:pPr>
      <w:r w:rsidRPr="00E905D7">
        <w:rPr>
          <w:rFonts w:cs="Arial"/>
        </w:rPr>
        <w:t xml:space="preserve">Microsoft Corporation needs to endure satisfying consumers, who notably determine the performance of their company. The influence of the consumers or buyers on the computer software and hardware sector environment is assessed in this analysis. Due to the environmental situation (especially COVID-19 pandemic) of the economy, they need to respond to the </w:t>
      </w:r>
      <w:r w:rsidRPr="00E905D7">
        <w:rPr>
          <w:rFonts w:cs="Arial"/>
          <w:b/>
        </w:rPr>
        <w:t>moderate</w:t>
      </w:r>
      <w:r w:rsidRPr="00E905D7">
        <w:rPr>
          <w:rFonts w:cs="Arial"/>
        </w:rPr>
        <w:t xml:space="preserve"> force of the bargaining power of buyers. Some of the external intensities and factors, which they need to respond are as follows:</w:t>
      </w:r>
    </w:p>
    <w:p w14:paraId="3ECF5936" w14:textId="77777777" w:rsidR="00E73E14" w:rsidRPr="00E905D7" w:rsidRDefault="00E73E14" w:rsidP="00D52DA9">
      <w:pPr>
        <w:pStyle w:val="ListParagraph"/>
        <w:numPr>
          <w:ilvl w:val="0"/>
          <w:numId w:val="2"/>
        </w:numPr>
        <w:rPr>
          <w:rFonts w:cs="Arial"/>
        </w:rPr>
      </w:pPr>
      <w:r w:rsidRPr="00E905D7">
        <w:rPr>
          <w:rFonts w:cs="Arial"/>
          <w:b/>
        </w:rPr>
        <w:t>High</w:t>
      </w:r>
      <w:r w:rsidRPr="00E905D7">
        <w:rPr>
          <w:rFonts w:cs="Arial"/>
        </w:rPr>
        <w:t xml:space="preserve"> standard of data</w:t>
      </w:r>
    </w:p>
    <w:p w14:paraId="339E3C1E" w14:textId="77777777" w:rsidR="00E73E14" w:rsidRPr="00E905D7" w:rsidRDefault="00E73E14" w:rsidP="00D52DA9">
      <w:pPr>
        <w:pStyle w:val="ListParagraph"/>
        <w:numPr>
          <w:ilvl w:val="0"/>
          <w:numId w:val="2"/>
        </w:numPr>
        <w:rPr>
          <w:rFonts w:cs="Arial"/>
        </w:rPr>
      </w:pPr>
      <w:r w:rsidRPr="00E905D7">
        <w:rPr>
          <w:rFonts w:cs="Arial"/>
          <w:b/>
        </w:rPr>
        <w:t>Moderate</w:t>
      </w:r>
      <w:r w:rsidRPr="00E905D7">
        <w:rPr>
          <w:rFonts w:cs="Arial"/>
        </w:rPr>
        <w:t xml:space="preserve"> shifting charges</w:t>
      </w:r>
    </w:p>
    <w:p w14:paraId="58751A06" w14:textId="77777777" w:rsidR="00E73E14" w:rsidRPr="00E905D7" w:rsidRDefault="00E73E14" w:rsidP="00D52DA9">
      <w:pPr>
        <w:pStyle w:val="ListParagraph"/>
        <w:numPr>
          <w:ilvl w:val="0"/>
          <w:numId w:val="2"/>
        </w:numPr>
        <w:rPr>
          <w:rFonts w:cs="Arial"/>
        </w:rPr>
      </w:pPr>
      <w:r w:rsidRPr="00E905D7">
        <w:rPr>
          <w:rFonts w:cs="Arial"/>
          <w:b/>
        </w:rPr>
        <w:t>Low</w:t>
      </w:r>
      <w:r w:rsidRPr="00E905D7">
        <w:rPr>
          <w:rFonts w:cs="Arial"/>
        </w:rPr>
        <w:t xml:space="preserve"> substitute presence </w:t>
      </w:r>
    </w:p>
    <w:p w14:paraId="1F742AD4" w14:textId="77777777" w:rsidR="00E73E14" w:rsidRPr="005E4C7C" w:rsidRDefault="00E73E14" w:rsidP="00D52DA9">
      <w:pPr>
        <w:rPr>
          <w:rFonts w:cs="Arial"/>
        </w:rPr>
      </w:pPr>
      <w:r w:rsidRPr="00E905D7">
        <w:rPr>
          <w:rFonts w:cs="Arial"/>
        </w:rPr>
        <w:t xml:space="preserve">Although the influence of coronavirus is the matter </w:t>
      </w:r>
      <w:r w:rsidRPr="005E4C7C">
        <w:rPr>
          <w:rFonts w:cs="Arial"/>
        </w:rPr>
        <w:t>of the bargaining power, mainly approaches are probable to be proceeded by Microsoft around the organisation for managing the work life. They set up team for managing such approaches like de-risking effort and financial health. During this situation. Buyers may face problems in getting non-computer channel solutions, which are efficient and effective as the products of the company. It may exert a weak push on the industry environment of Microsoft. In fact, the moderate shifting charges can form a considerable push on their business as such intensity of shifting charges, consumer</w:t>
      </w:r>
      <w:r w:rsidRPr="00E905D7">
        <w:rPr>
          <w:rFonts w:cs="Arial"/>
        </w:rPr>
        <w:t xml:space="preserve"> has a </w:t>
      </w:r>
      <w:r w:rsidRPr="005E4C7C">
        <w:rPr>
          <w:rFonts w:cs="Arial"/>
        </w:rPr>
        <w:t>considerable tendency for shifting from the products of company (Prasad</w:t>
      </w:r>
      <w:r w:rsidR="004B6EB6" w:rsidRPr="005E4C7C">
        <w:rPr>
          <w:rFonts w:cs="Arial"/>
        </w:rPr>
        <w:t xml:space="preserve"> </w:t>
      </w:r>
      <w:r w:rsidRPr="005E4C7C">
        <w:rPr>
          <w:rFonts w:cs="Arial"/>
          <w:i/>
        </w:rPr>
        <w:t xml:space="preserve">et al. </w:t>
      </w:r>
      <w:r w:rsidRPr="005E4C7C">
        <w:rPr>
          <w:rFonts w:cs="Arial"/>
        </w:rPr>
        <w:t xml:space="preserve">2019). </w:t>
      </w:r>
    </w:p>
    <w:p w14:paraId="469BC7E7" w14:textId="77777777" w:rsidR="00000E04" w:rsidRPr="00E905D7" w:rsidRDefault="00E73E14" w:rsidP="00D52DA9">
      <w:pPr>
        <w:rPr>
          <w:rFonts w:cs="Arial"/>
        </w:rPr>
      </w:pPr>
      <w:r w:rsidRPr="005E4C7C">
        <w:rPr>
          <w:rFonts w:cs="Arial"/>
        </w:rPr>
        <w:t xml:space="preserve">In fact, they begin utilising the products of other companies like Google, Amazon, </w:t>
      </w:r>
      <w:proofErr w:type="spellStart"/>
      <w:r w:rsidRPr="005E4C7C">
        <w:rPr>
          <w:rFonts w:cs="Arial"/>
        </w:rPr>
        <w:t>VMwareinstead</w:t>
      </w:r>
      <w:proofErr w:type="spellEnd"/>
      <w:r w:rsidRPr="005E4C7C">
        <w:rPr>
          <w:rFonts w:cs="Arial"/>
        </w:rPr>
        <w:t>. The external constraint of high standard data can utilise to compare software and hardware products of Microsoft to competitors (Hardcastle, 2020</w:t>
      </w:r>
      <w:r w:rsidRPr="00E905D7">
        <w:rPr>
          <w:rFonts w:cs="Arial"/>
        </w:rPr>
        <w:t xml:space="preserve">). Information is easily present from the online sources, which is a great threat for them. Thus, they need to involve the moderate push of “bargaining power of buyers” as a notable concern in their business policies. </w:t>
      </w:r>
    </w:p>
    <w:p w14:paraId="6150CE4B" w14:textId="77777777" w:rsidR="00CA64C1" w:rsidRPr="00E905D7" w:rsidRDefault="00CA64C1" w:rsidP="00CA64C1">
      <w:pPr>
        <w:rPr>
          <w:rFonts w:cs="Arial"/>
          <w:b/>
          <w:i/>
        </w:rPr>
      </w:pPr>
      <w:r w:rsidRPr="00E905D7">
        <w:rPr>
          <w:rFonts w:cs="Arial"/>
          <w:b/>
          <w:i/>
        </w:rPr>
        <w:t>The threat of new entrants (High)</w:t>
      </w:r>
    </w:p>
    <w:p w14:paraId="74070A3B" w14:textId="77777777" w:rsidR="00CA64C1" w:rsidRPr="00E905D7" w:rsidRDefault="00CA64C1" w:rsidP="00CA64C1">
      <w:pPr>
        <w:rPr>
          <w:rFonts w:cs="Arial"/>
        </w:rPr>
      </w:pPr>
      <w:r w:rsidRPr="00E905D7">
        <w:rPr>
          <w:rFonts w:cs="Arial"/>
        </w:rPr>
        <w:t xml:space="preserve">Microsoft is faced with a high threat of new entrants in most of its categories of products and services. The rapid pace of technological advancements has led to disruptive innovation and aggressive growth in small firms.  Software Technology can be delivered without the processes of production and hence do not require economies of scale. There is high rate of technology adoption by people as 62 million people used the internet on a monthly basis in the UK in 2020 </w:t>
      </w:r>
      <w:r w:rsidRPr="00E905D7">
        <w:rPr>
          <w:rFonts w:cs="Arial"/>
        </w:rPr>
        <w:lastRenderedPageBreak/>
        <w:t xml:space="preserve">(Johnson, 2020). The number of users is expected to rise to 65 million by 2025. The fast growth of the market for technology and the availability of quality technological skills at several institutes and over the internet has led to several small enterprises launching innovative products and services that address needs in better ways. There are no barriers to entering the market for software and hardware and small start-ups </w:t>
      </w:r>
      <w:r w:rsidR="00F25616" w:rsidRPr="00E905D7">
        <w:rPr>
          <w:rFonts w:cs="Arial"/>
        </w:rPr>
        <w:t>are</w:t>
      </w:r>
      <w:r w:rsidRPr="00E905D7">
        <w:rPr>
          <w:rFonts w:cs="Arial"/>
        </w:rPr>
        <w:t xml:space="preserve"> encouraged to scale up their technologies through investments. New entrants are also launching basic software such as browsers and getting downloaded against millions of times (Wright and </w:t>
      </w:r>
      <w:proofErr w:type="spellStart"/>
      <w:r w:rsidRPr="00E905D7">
        <w:rPr>
          <w:rFonts w:cs="Arial"/>
        </w:rPr>
        <w:t>Mustar</w:t>
      </w:r>
      <w:proofErr w:type="spellEnd"/>
      <w:r w:rsidRPr="00E905D7">
        <w:rPr>
          <w:rFonts w:cs="Arial"/>
        </w:rPr>
        <w:t xml:space="preserve">, 2019). The </w:t>
      </w:r>
      <w:r w:rsidR="00F25616" w:rsidRPr="00E905D7">
        <w:rPr>
          <w:rFonts w:cs="Arial"/>
        </w:rPr>
        <w:t>success of these technologies is</w:t>
      </w:r>
      <w:r w:rsidRPr="00E905D7">
        <w:rPr>
          <w:rFonts w:cs="Arial"/>
        </w:rPr>
        <w:t xml:space="preserve"> against the declining popularity of Microsoft’s browser, Internet Explorer.</w:t>
      </w:r>
    </w:p>
    <w:p w14:paraId="4D20645B" w14:textId="77777777" w:rsidR="00CA64C1" w:rsidRPr="00E905D7" w:rsidRDefault="00CA64C1" w:rsidP="00CA64C1">
      <w:pPr>
        <w:rPr>
          <w:rFonts w:cs="Arial"/>
          <w:b/>
          <w:i/>
        </w:rPr>
      </w:pPr>
      <w:r w:rsidRPr="00E905D7">
        <w:rPr>
          <w:rFonts w:cs="Arial"/>
          <w:b/>
          <w:i/>
        </w:rPr>
        <w:t>Bargaining power of suppliers (Moderate)</w:t>
      </w:r>
    </w:p>
    <w:p w14:paraId="6EB6D8B0" w14:textId="77777777" w:rsidR="00CA64C1" w:rsidRPr="00E905D7" w:rsidRDefault="00CA64C1" w:rsidP="00CA64C1">
      <w:pPr>
        <w:rPr>
          <w:rFonts w:cs="Arial"/>
        </w:rPr>
      </w:pPr>
      <w:r w:rsidRPr="00E905D7">
        <w:rPr>
          <w:rFonts w:cs="Arial"/>
        </w:rPr>
        <w:t xml:space="preserve">Microsoft’s suppliers include coding partners who develop portions of programs or those who supply the materials and plastic parts for their devices. They are also responsible for managing portions of services offered by Microsoft so that the organisation can focus on its core competences. Suppliers have moderate bargaining power because they have the choice of selling to other software and hardware organisations if they feel that the terms of Microsoft are not conducive. The power is not high because suppliers are assured of good volumes of business from Microsoft because it is a large organisation with a global presence. The power of suppliers is lesser in markets where Microsoft is a large entity with substantial market share in different businesses. Microsoft expects its suppliers to adhere to certain standards so that the quality of Microsoft’s offerings can be maintained (microsoft.com, 2020). Based on the acceptance of suppliers, the organisation also gives them benefits and awards them for performance. Microsoft builds long term relationships with their suppliers and partners with them to develop their capabilities so that there can be greater engagement and value addition in the supply chain. </w:t>
      </w:r>
    </w:p>
    <w:p w14:paraId="77A3CBC6" w14:textId="77777777" w:rsidR="00CA64C1" w:rsidRPr="00E905D7" w:rsidRDefault="00CA64C1" w:rsidP="00CA64C1">
      <w:pPr>
        <w:rPr>
          <w:rFonts w:cs="Arial"/>
          <w:b/>
          <w:i/>
        </w:rPr>
      </w:pPr>
      <w:r w:rsidRPr="00E905D7">
        <w:rPr>
          <w:rFonts w:cs="Arial"/>
          <w:b/>
          <w:i/>
        </w:rPr>
        <w:t>Industry rivalry (High)</w:t>
      </w:r>
    </w:p>
    <w:p w14:paraId="61CD643D" w14:textId="77777777" w:rsidR="00CA64C1" w:rsidRPr="00E905D7" w:rsidRDefault="00CA64C1" w:rsidP="00CA64C1">
      <w:pPr>
        <w:rPr>
          <w:rFonts w:cs="Arial"/>
        </w:rPr>
      </w:pPr>
      <w:r w:rsidRPr="00E905D7">
        <w:rPr>
          <w:rFonts w:cs="Arial"/>
        </w:rPr>
        <w:t xml:space="preserve">There is fierce competition in the industry of technology with big and small players trying to attract the attention of consumers with value propositions that claim to solve their needs. There is continuous incremental innovation in software and hardware to differentiate offerings from those of competitors. Sometimes organisations innovate disruptively and competitors try to imitate the functionalities of their offerings to retain their relevance. Microsoft competes with other organisations in the production of hardware and software and providing enterprise solutions to organisations. It competes with organisations such as </w:t>
      </w:r>
      <w:r w:rsidRPr="005E4C7C">
        <w:rPr>
          <w:rFonts w:cs="Arial"/>
          <w:bCs/>
          <w:i/>
        </w:rPr>
        <w:t>Amazon, Cisco</w:t>
      </w:r>
      <w:r w:rsidRPr="005E4C7C">
        <w:rPr>
          <w:rFonts w:cs="Arial"/>
          <w:bCs/>
        </w:rPr>
        <w:t xml:space="preserve"> and </w:t>
      </w:r>
      <w:r w:rsidRPr="005E4C7C">
        <w:rPr>
          <w:rFonts w:cs="Arial"/>
          <w:bCs/>
          <w:i/>
        </w:rPr>
        <w:t>IBM</w:t>
      </w:r>
      <w:r w:rsidRPr="00E905D7">
        <w:rPr>
          <w:rFonts w:cs="Arial"/>
        </w:rPr>
        <w:t xml:space="preserve"> to </w:t>
      </w:r>
      <w:r w:rsidRPr="005E4C7C">
        <w:rPr>
          <w:rFonts w:cs="Arial"/>
        </w:rPr>
        <w:lastRenderedPageBreak/>
        <w:t xml:space="preserve">provide enterprise solutions. In making software for use by end consumers, they compete with </w:t>
      </w:r>
      <w:r w:rsidRPr="005E4C7C">
        <w:rPr>
          <w:rFonts w:cs="Arial"/>
          <w:i/>
        </w:rPr>
        <w:t>Google and Apple</w:t>
      </w:r>
      <w:r w:rsidRPr="005E4C7C">
        <w:rPr>
          <w:rFonts w:cs="Arial"/>
        </w:rPr>
        <w:t xml:space="preserve"> who have their “captive audiences” (Michael and Abbas, 2020). As a</w:t>
      </w:r>
      <w:r w:rsidRPr="00E905D7">
        <w:rPr>
          <w:rFonts w:cs="Arial"/>
        </w:rPr>
        <w:t xml:space="preserve"> provider of cloud services, they operate with Google, IBM and others. There is competitive pricing and compelling communication of benefits between organisations. Microsoft has not been able to compete in consumer mobile applications with Google and Apple and this affects the organisation because consumers prefer to retain inter-operability between devices (Michael and Abbas, 2020). Microsoft’s Bing has also not been able to compete with Google as a search engine (Dolata, 2018). </w:t>
      </w:r>
    </w:p>
    <w:p w14:paraId="1F8B5500" w14:textId="77777777" w:rsidR="00CA64C1" w:rsidRPr="004F5E6B" w:rsidRDefault="00CA64C1" w:rsidP="004F5E6B">
      <w:pPr>
        <w:pStyle w:val="Heading2"/>
        <w:rPr>
          <w:rFonts w:ascii="Arial" w:hAnsi="Arial" w:cs="Arial"/>
          <w:b/>
          <w:color w:val="auto"/>
        </w:rPr>
      </w:pPr>
      <w:bookmarkStart w:id="10" w:name="_Toc60407827"/>
      <w:r w:rsidRPr="004F5E6B">
        <w:rPr>
          <w:rFonts w:ascii="Arial" w:hAnsi="Arial" w:cs="Arial"/>
          <w:b/>
          <w:color w:val="auto"/>
        </w:rPr>
        <w:t>PESTLE ANALYSIS</w:t>
      </w:r>
      <w:bookmarkEnd w:id="10"/>
      <w:r w:rsidRPr="004F5E6B">
        <w:rPr>
          <w:rFonts w:ascii="Arial" w:hAnsi="Arial" w:cs="Arial"/>
          <w:b/>
          <w:color w:val="auto"/>
        </w:rPr>
        <w:t xml:space="preserve"> </w:t>
      </w:r>
    </w:p>
    <w:p w14:paraId="3F489680" w14:textId="77777777" w:rsidR="00CA64C1" w:rsidRPr="00E905D7" w:rsidRDefault="00CA64C1" w:rsidP="00CA64C1">
      <w:pPr>
        <w:pStyle w:val="ListParagraph"/>
        <w:ind w:left="0"/>
        <w:rPr>
          <w:rFonts w:cs="Arial"/>
        </w:rPr>
      </w:pPr>
      <w:r w:rsidRPr="00E905D7">
        <w:rPr>
          <w:rFonts w:cs="Arial"/>
        </w:rPr>
        <w:t>A PESTEL analysis allows organisations to assess their macro environment by assessing different factors.</w:t>
      </w:r>
    </w:p>
    <w:p w14:paraId="5EC27A80" w14:textId="77777777" w:rsidR="00CA64C1" w:rsidRPr="00E905D7" w:rsidRDefault="00CA64C1" w:rsidP="00CA64C1">
      <w:pPr>
        <w:pStyle w:val="ListParagraph"/>
        <w:ind w:left="0"/>
        <w:rPr>
          <w:rFonts w:cs="Arial"/>
        </w:rPr>
      </w:pPr>
      <w:r w:rsidRPr="00E905D7">
        <w:rPr>
          <w:rFonts w:cs="Arial"/>
          <w:b/>
          <w:i/>
        </w:rPr>
        <w:t>Political factors</w:t>
      </w:r>
      <w:r w:rsidRPr="00E905D7">
        <w:rPr>
          <w:rFonts w:cs="Arial"/>
        </w:rPr>
        <w:t xml:space="preserve"> – Brexit is the separation of the Great Britain from the European Union. This factor is capable of affecting organisations adversely by disrupting supply chains and leading to volatility of currency. Brexit can affect the operations of Microsoft by imposing tariffs on the movement of hardware, software and data across borders (Heath and </w:t>
      </w:r>
      <w:proofErr w:type="spellStart"/>
      <w:r w:rsidRPr="00E905D7">
        <w:rPr>
          <w:rFonts w:cs="Arial"/>
        </w:rPr>
        <w:t>Leprince-Ringuet</w:t>
      </w:r>
      <w:proofErr w:type="spellEnd"/>
      <w:r w:rsidRPr="00E905D7">
        <w:rPr>
          <w:rFonts w:cs="Arial"/>
        </w:rPr>
        <w:t>, 2020). The separation of Great Britain from the EU can also result in greater fluctuation in the value of the pound against the Euro. The pound has been showing weak performance against the Euro since the people of Britain voted to leave the EU (Mustoe, 2019). A falling pound will make imports for organisations more expensive and will lead to fluctuating prices for offerings of organisations such as Microsoft.</w:t>
      </w:r>
      <w:r w:rsidR="006B0D99">
        <w:rPr>
          <w:rFonts w:cs="Arial"/>
        </w:rPr>
        <w:t xml:space="preserve"> The organisational culture has been impacted by localisation of teams which have been managing data at national levels. The impact on culture has also been owing to the difficulty in movement of personnel across borders which has affected the talent and skills in the organisation.</w:t>
      </w:r>
    </w:p>
    <w:p w14:paraId="65E25DB5" w14:textId="77777777" w:rsidR="00CA64C1" w:rsidRPr="00E905D7" w:rsidRDefault="00CA64C1" w:rsidP="00CA64C1">
      <w:pPr>
        <w:pStyle w:val="ListParagraph"/>
        <w:ind w:left="0"/>
        <w:rPr>
          <w:rFonts w:cs="Arial"/>
        </w:rPr>
      </w:pPr>
      <w:r w:rsidRPr="00E905D7">
        <w:rPr>
          <w:rFonts w:cs="Arial"/>
        </w:rPr>
        <w:t>The stable political environment of UK is positive factor that allows businesses to operate in an unchanging policy environment. This factor allows organisations to frame strategies that they can make the best used of the organisation’s policies to achieve their organisational objectives. Microsoft is benefitted because of the rule of law in the UK and the stable policies which allow them to pursue their objectives without instability.</w:t>
      </w:r>
    </w:p>
    <w:p w14:paraId="3831E775" w14:textId="77777777" w:rsidR="00CA64C1" w:rsidRPr="00E905D7" w:rsidRDefault="00CA64C1" w:rsidP="00CA64C1">
      <w:pPr>
        <w:pStyle w:val="ListParagraph"/>
        <w:ind w:left="0"/>
        <w:rPr>
          <w:rFonts w:cs="Arial"/>
        </w:rPr>
      </w:pPr>
      <w:r w:rsidRPr="00E905D7">
        <w:rPr>
          <w:rFonts w:cs="Arial"/>
          <w:b/>
          <w:i/>
        </w:rPr>
        <w:t xml:space="preserve">Economic factors </w:t>
      </w:r>
      <w:r w:rsidRPr="00E905D7">
        <w:rPr>
          <w:rFonts w:cs="Arial"/>
        </w:rPr>
        <w:t xml:space="preserve">– The GDP of the UK had fallen by 20.4% between the moths of April and June in 2020 (Smith, 2020). The recession in the UK was due to an economic slowdown which was worsened by the impacts of the coronavirus through the lockdowns. Microsoft has benefitted from the impacts of the coronavirus because more people are working from home. </w:t>
      </w:r>
      <w:r w:rsidRPr="00E905D7">
        <w:rPr>
          <w:rFonts w:cs="Arial"/>
        </w:rPr>
        <w:lastRenderedPageBreak/>
        <w:t xml:space="preserve">The revenue of Windows OEM </w:t>
      </w:r>
      <w:r w:rsidR="00F25616" w:rsidRPr="00E905D7">
        <w:rPr>
          <w:rFonts w:cs="Arial"/>
        </w:rPr>
        <w:t xml:space="preserve">is </w:t>
      </w:r>
      <w:r w:rsidRPr="00E905D7">
        <w:rPr>
          <w:rFonts w:cs="Arial"/>
        </w:rPr>
        <w:t>declined by 5% owing to the reduced purchasing power of individuals and organisations.</w:t>
      </w:r>
    </w:p>
    <w:p w14:paraId="6D895343" w14:textId="77777777" w:rsidR="00CA64C1" w:rsidRPr="00E905D7" w:rsidRDefault="00CA64C1" w:rsidP="00CA64C1">
      <w:pPr>
        <w:pStyle w:val="ListParagraph"/>
        <w:ind w:left="0"/>
        <w:rPr>
          <w:rFonts w:cs="Arial"/>
        </w:rPr>
      </w:pPr>
      <w:r w:rsidRPr="00E905D7">
        <w:rPr>
          <w:rFonts w:cs="Arial"/>
        </w:rPr>
        <w:t>The stable rate of inflation has been a positive factor because it shows that the economy has potential for growth and prices are stable. In 2020, the rate of inflation in UK has been f</w:t>
      </w:r>
      <w:r w:rsidR="00F25616" w:rsidRPr="00E905D7">
        <w:rPr>
          <w:rFonts w:cs="Arial"/>
        </w:rPr>
        <w:t xml:space="preserve">orecasted to be stable at 0.6% </w:t>
      </w:r>
      <w:r w:rsidRPr="00E905D7">
        <w:rPr>
          <w:rFonts w:cs="Arial"/>
        </w:rPr>
        <w:t>(Clark, 2020). Microsoft has been benefitted by this stability because there is stability in their input prices and they can also sell to consumers and organisations at stable prices.</w:t>
      </w:r>
    </w:p>
    <w:p w14:paraId="484C106C" w14:textId="77777777" w:rsidR="00CA64C1" w:rsidRPr="00E905D7" w:rsidRDefault="00CA64C1" w:rsidP="00CA64C1">
      <w:pPr>
        <w:pStyle w:val="ListParagraph"/>
        <w:ind w:left="0"/>
        <w:rPr>
          <w:rFonts w:cs="Arial"/>
        </w:rPr>
      </w:pPr>
      <w:r w:rsidRPr="00E905D7">
        <w:rPr>
          <w:rFonts w:cs="Arial"/>
          <w:b/>
          <w:i/>
        </w:rPr>
        <w:t xml:space="preserve">Social factors </w:t>
      </w:r>
      <w:r w:rsidRPr="00E905D7">
        <w:rPr>
          <w:rFonts w:cs="Arial"/>
        </w:rPr>
        <w:t>– The Corona virus pandemic has affected the whole world and various aspects. There has been implementation of social distancing to stop the spread of the virus. Lockdowns were imposed in the UK and people worked from home wherever possible. Working from home has led to challenges in work and in collaboration between and across teams and departments. Microsoft has benefitted from the growing needs for technological services for organisations and individuals. Organisations have needed Microsoft’s cloud services to manage employees and teams who were working from home (Microsoft.com, 2020). The revenue of the organisation</w:t>
      </w:r>
      <w:r w:rsidR="00F25616" w:rsidRPr="00E905D7">
        <w:rPr>
          <w:rFonts w:cs="Arial"/>
        </w:rPr>
        <w:t xml:space="preserve"> is</w:t>
      </w:r>
      <w:r w:rsidRPr="00E905D7">
        <w:rPr>
          <w:rFonts w:cs="Arial"/>
        </w:rPr>
        <w:t xml:space="preserve"> increased by 12% in 2020 owing to greater demand from organisations and individuals for official purposes.</w:t>
      </w:r>
      <w:r w:rsidR="006B0D99">
        <w:rPr>
          <w:rFonts w:cs="Arial"/>
        </w:rPr>
        <w:t xml:space="preserve"> The organisational culture of Microsoft has also been impacted because employee have been working from home. The organisational culture has moved to online interactions between individuals and teams.</w:t>
      </w:r>
    </w:p>
    <w:p w14:paraId="291EEC68" w14:textId="77777777" w:rsidR="00CA64C1" w:rsidRPr="00E905D7" w:rsidRDefault="00CA64C1" w:rsidP="00CA64C1">
      <w:pPr>
        <w:pStyle w:val="ListParagraph"/>
        <w:ind w:left="0"/>
        <w:rPr>
          <w:rFonts w:cs="Arial"/>
        </w:rPr>
      </w:pPr>
      <w:r w:rsidRPr="00E905D7">
        <w:rPr>
          <w:rFonts w:cs="Arial"/>
        </w:rPr>
        <w:t>Social preferences and tastes have led to greater popularity or Android and Apple iOS which currently dominate the market with 46.53 and 53.24% share of the market respectively (O’Dea, 2020). Microsoft has been largely rejected as a mobile operating system by users. The usage of mobile devices is growing in numbers of people as well as in terms of revenue of the market where operating systems can earn by promoting apps and by showing advertisements to users. Microsoft is affected very strongly because of the tastes of users who have not accepted their operating systems for mobile devices.</w:t>
      </w:r>
    </w:p>
    <w:p w14:paraId="22601E36" w14:textId="77777777" w:rsidR="00CA64C1" w:rsidRPr="00E905D7" w:rsidRDefault="00CA64C1" w:rsidP="00CA64C1">
      <w:pPr>
        <w:pStyle w:val="ListParagraph"/>
        <w:ind w:left="0"/>
        <w:rPr>
          <w:rFonts w:cs="Arial"/>
        </w:rPr>
      </w:pPr>
      <w:r w:rsidRPr="00E905D7">
        <w:rPr>
          <w:rFonts w:cs="Arial"/>
          <w:b/>
          <w:i/>
        </w:rPr>
        <w:t>Technological factors</w:t>
      </w:r>
      <w:r w:rsidRPr="00E905D7">
        <w:rPr>
          <w:rFonts w:cs="Arial"/>
        </w:rPr>
        <w:t xml:space="preserve"> – UK has a high rate of technology adoption where the percentage of households with a computer has been at a stable figure of 88% since 2015-16 (Alsop, 2020). </w:t>
      </w:r>
      <w:r w:rsidR="00F25616" w:rsidRPr="00E905D7">
        <w:rPr>
          <w:rFonts w:cs="Arial"/>
        </w:rPr>
        <w:t>The people using computers on a large scale even for domestic use benefit organisations that offer software and hardware products and services</w:t>
      </w:r>
      <w:r w:rsidRPr="00E905D7">
        <w:rPr>
          <w:rFonts w:cs="Arial"/>
        </w:rPr>
        <w:t xml:space="preserve">. Microsoft can benefit from the high use of computers in the UK by catering to the needs of people in terms of software and hardware peripherals. </w:t>
      </w:r>
    </w:p>
    <w:p w14:paraId="5C73BB95" w14:textId="77777777" w:rsidR="00CA64C1" w:rsidRPr="00E905D7" w:rsidRDefault="00CA64C1" w:rsidP="00CA64C1">
      <w:pPr>
        <w:pStyle w:val="ListParagraph"/>
        <w:ind w:left="0"/>
        <w:rPr>
          <w:rFonts w:cs="Arial"/>
        </w:rPr>
      </w:pPr>
      <w:r w:rsidRPr="00E905D7">
        <w:rPr>
          <w:rFonts w:cs="Arial"/>
        </w:rPr>
        <w:t xml:space="preserve">A negative technological factor is the rise of start-ups that launch innovative software and hardware that can lead to traditional business models being disrupted. Established technological organisations have to continuously spend on research and development to stay in </w:t>
      </w:r>
      <w:r w:rsidRPr="00E905D7">
        <w:rPr>
          <w:rFonts w:cs="Arial"/>
        </w:rPr>
        <w:lastRenderedPageBreak/>
        <w:t>pace with technological developments. There is fierce competition between organisations to try and attract more consumers in a market that is growing very fast. Microsoft is adversely affected because of high spending on research and development to stay close to the competition or to lead the market.</w:t>
      </w:r>
      <w:r w:rsidR="006B0D99">
        <w:rPr>
          <w:rFonts w:cs="Arial"/>
        </w:rPr>
        <w:t xml:space="preserve"> Microsoft’s organisational culture is impacted by being more innovative to add value to the products, services and processes of the organisation. Innovation as part of the organisational culture is helping the organisation to compete in the market.</w:t>
      </w:r>
    </w:p>
    <w:p w14:paraId="5EF02549" w14:textId="77777777" w:rsidR="00CA64C1" w:rsidRPr="00E905D7" w:rsidRDefault="00CA64C1" w:rsidP="00CA64C1">
      <w:pPr>
        <w:pStyle w:val="ListParagraph"/>
        <w:ind w:left="0"/>
        <w:rPr>
          <w:rFonts w:cs="Arial"/>
        </w:rPr>
      </w:pPr>
      <w:r w:rsidRPr="00E905D7">
        <w:rPr>
          <w:rFonts w:cs="Arial"/>
          <w:b/>
          <w:i/>
        </w:rPr>
        <w:t>Environmental factors</w:t>
      </w:r>
      <w:r w:rsidRPr="00E905D7">
        <w:rPr>
          <w:rFonts w:cs="Arial"/>
        </w:rPr>
        <w:t xml:space="preserve"> – The Environmental Protection Act of 1974 governs management of waste and emissions affecting environment in the UK (field.org.uk, 2020). Electronic waste of discarded hardware has </w:t>
      </w:r>
      <w:r w:rsidR="00F25616" w:rsidRPr="00E905D7">
        <w:rPr>
          <w:rFonts w:cs="Arial"/>
        </w:rPr>
        <w:t>materials, which are harmful for the environment,</w:t>
      </w:r>
      <w:r w:rsidRPr="00E905D7">
        <w:rPr>
          <w:rFonts w:cs="Arial"/>
        </w:rPr>
        <w:t xml:space="preserve"> and such waste is growing in the UK (</w:t>
      </w:r>
      <w:proofErr w:type="spellStart"/>
      <w:r w:rsidRPr="00E905D7">
        <w:rPr>
          <w:rFonts w:cs="Arial"/>
        </w:rPr>
        <w:t>Mahy</w:t>
      </w:r>
      <w:proofErr w:type="spellEnd"/>
      <w:r w:rsidRPr="00E905D7">
        <w:rPr>
          <w:rFonts w:cs="Arial"/>
        </w:rPr>
        <w:t>, 2020).  Microsoft will be affected by additional spending to ensure the proper disposal of e-waste. The organisation will also have to implement collection programs from customer so that e-waste can be collected when new hardware is bought.</w:t>
      </w:r>
    </w:p>
    <w:p w14:paraId="3DD33969" w14:textId="77777777" w:rsidR="00CA64C1" w:rsidRPr="00E905D7" w:rsidRDefault="00CA64C1" w:rsidP="00CA64C1">
      <w:pPr>
        <w:pStyle w:val="ListParagraph"/>
        <w:ind w:left="0"/>
        <w:rPr>
          <w:rFonts w:cs="Arial"/>
        </w:rPr>
      </w:pPr>
      <w:r w:rsidRPr="00E905D7">
        <w:rPr>
          <w:rFonts w:cs="Arial"/>
        </w:rPr>
        <w:t xml:space="preserve">A positive factor is the growing awareness of consumers about the environment. Microsoft can benefit by enhanced reputation owing to its sustainability initiatives of becoming carbon negative in its operations by 2030 (bbc.com, 2020). </w:t>
      </w:r>
    </w:p>
    <w:p w14:paraId="6B4E4D74" w14:textId="77777777" w:rsidR="00CA64C1" w:rsidRPr="00E905D7" w:rsidRDefault="00CA64C1" w:rsidP="00CA64C1">
      <w:pPr>
        <w:pStyle w:val="ListParagraph"/>
        <w:ind w:left="0"/>
        <w:rPr>
          <w:rFonts w:cs="Arial"/>
        </w:rPr>
      </w:pPr>
      <w:r w:rsidRPr="00E905D7">
        <w:rPr>
          <w:rFonts w:cs="Arial"/>
          <w:b/>
          <w:i/>
        </w:rPr>
        <w:t>Legal factors</w:t>
      </w:r>
      <w:r w:rsidRPr="00E905D7">
        <w:rPr>
          <w:rFonts w:cs="Arial"/>
        </w:rPr>
        <w:t xml:space="preserve"> – The Equality Act of 2010 mandates equal pay for equal work done by employers (legislation.gov.uk, 2020). Organisations benefit from this factor because it promotes fair treatment of all employees without any discrimination. Microsoft benefits from this law because it allows for fair and non-discriminatory treatment of employees. Employees will be motivated by equal treatment and will perform to achieve the objectives of the organisation.</w:t>
      </w:r>
      <w:r w:rsidR="006B0D99">
        <w:rPr>
          <w:rFonts w:cs="Arial"/>
        </w:rPr>
        <w:t xml:space="preserve"> The organisational culture of Microsoft is impacted by being an egalitarian workspace where there is mutual respect between employees.</w:t>
      </w:r>
    </w:p>
    <w:p w14:paraId="35FE52F4" w14:textId="77777777" w:rsidR="003C301E" w:rsidRDefault="00CA64C1" w:rsidP="003C301E">
      <w:pPr>
        <w:pStyle w:val="ListParagraph"/>
        <w:ind w:left="0"/>
        <w:rPr>
          <w:rFonts w:cs="Arial"/>
        </w:rPr>
      </w:pPr>
      <w:r w:rsidRPr="00E905D7">
        <w:rPr>
          <w:rFonts w:cs="Arial"/>
        </w:rPr>
        <w:t xml:space="preserve">A negative factor is the National Minimum Wage Act of </w:t>
      </w:r>
      <w:r w:rsidR="002913E6" w:rsidRPr="00E905D7">
        <w:rPr>
          <w:rFonts w:cs="Arial"/>
        </w:rPr>
        <w:t>1998 that</w:t>
      </w:r>
      <w:r w:rsidRPr="00E905D7">
        <w:rPr>
          <w:rFonts w:cs="Arial"/>
        </w:rPr>
        <w:t xml:space="preserve"> mandates the payment of a living wage to employees (gov.uk, 2020). The wages are revised upwards periodically to allow for matching rise in prices and the wages paid by organisations also have to be revised to be above the same level. Organisations are affected because the upward revision of wages adds to their expenses in terms of salaries. Microsoft is affected by greater spending on salaries. There are also expenses of litigation if the law is not adhered to.</w:t>
      </w:r>
    </w:p>
    <w:p w14:paraId="78C11F32" w14:textId="77777777" w:rsidR="00000E04" w:rsidRPr="003C301E" w:rsidRDefault="004F5E6B" w:rsidP="003C301E">
      <w:pPr>
        <w:pStyle w:val="Heading1"/>
        <w:rPr>
          <w:rFonts w:cs="Arial"/>
          <w:sz w:val="28"/>
          <w:szCs w:val="28"/>
        </w:rPr>
      </w:pPr>
      <w:r w:rsidRPr="003C301E">
        <w:rPr>
          <w:sz w:val="28"/>
          <w:szCs w:val="28"/>
        </w:rPr>
        <w:t xml:space="preserve"> </w:t>
      </w:r>
      <w:bookmarkStart w:id="11" w:name="_Toc60407828"/>
      <w:r w:rsidRPr="003C301E">
        <w:rPr>
          <w:sz w:val="28"/>
          <w:szCs w:val="28"/>
        </w:rPr>
        <w:t xml:space="preserve">Critically </w:t>
      </w:r>
      <w:r w:rsidR="003C301E" w:rsidRPr="003C301E">
        <w:rPr>
          <w:sz w:val="28"/>
          <w:szCs w:val="28"/>
        </w:rPr>
        <w:t>evaluation of Microsoft presents</w:t>
      </w:r>
      <w:r w:rsidR="00000E04" w:rsidRPr="003C301E">
        <w:rPr>
          <w:sz w:val="28"/>
          <w:szCs w:val="28"/>
        </w:rPr>
        <w:t xml:space="preserve"> cultural</w:t>
      </w:r>
      <w:r w:rsidR="003C301E" w:rsidRPr="003C301E">
        <w:rPr>
          <w:sz w:val="28"/>
          <w:szCs w:val="28"/>
        </w:rPr>
        <w:t xml:space="preserve"> and ethical standards. P</w:t>
      </w:r>
      <w:r w:rsidR="00000E04" w:rsidRPr="003C301E">
        <w:rPr>
          <w:sz w:val="28"/>
          <w:szCs w:val="28"/>
        </w:rPr>
        <w:t>ersonal ethical stand</w:t>
      </w:r>
      <w:r w:rsidR="003C301E" w:rsidRPr="003C301E">
        <w:rPr>
          <w:sz w:val="28"/>
          <w:szCs w:val="28"/>
        </w:rPr>
        <w:t>ards, values and beliefs of Microsoft</w:t>
      </w:r>
      <w:r w:rsidR="00000E04" w:rsidRPr="003C301E">
        <w:rPr>
          <w:sz w:val="28"/>
          <w:szCs w:val="28"/>
        </w:rPr>
        <w:t xml:space="preserve"> employees</w:t>
      </w:r>
      <w:r w:rsidR="003C301E" w:rsidRPr="003C301E">
        <w:rPr>
          <w:sz w:val="28"/>
          <w:szCs w:val="28"/>
        </w:rPr>
        <w:t>.</w:t>
      </w:r>
      <w:bookmarkEnd w:id="11"/>
    </w:p>
    <w:p w14:paraId="23D6C916" w14:textId="77777777" w:rsidR="00230FAC" w:rsidRPr="00251343" w:rsidRDefault="00230FAC" w:rsidP="00230FAC">
      <w:pPr>
        <w:rPr>
          <w:rFonts w:cs="Arial"/>
        </w:rPr>
      </w:pPr>
      <w:r w:rsidRPr="00E905D7">
        <w:rPr>
          <w:rFonts w:cs="Arial"/>
        </w:rPr>
        <w:t xml:space="preserve">According to </w:t>
      </w:r>
      <w:proofErr w:type="spellStart"/>
      <w:r w:rsidRPr="00E905D7">
        <w:rPr>
          <w:rFonts w:cs="Arial"/>
        </w:rPr>
        <w:t>Mitonga-Monga</w:t>
      </w:r>
      <w:r w:rsidRPr="00E905D7">
        <w:rPr>
          <w:rFonts w:cs="Arial"/>
          <w:i/>
        </w:rPr>
        <w:t>et</w:t>
      </w:r>
      <w:proofErr w:type="spellEnd"/>
      <w:r w:rsidRPr="00E905D7">
        <w:rPr>
          <w:rFonts w:cs="Arial"/>
          <w:i/>
        </w:rPr>
        <w:t xml:space="preserve"> al.</w:t>
      </w:r>
      <w:r w:rsidR="00167387" w:rsidRPr="00E905D7">
        <w:rPr>
          <w:rFonts w:cs="Arial"/>
        </w:rPr>
        <w:t xml:space="preserve"> (2016</w:t>
      </w:r>
      <w:r w:rsidRPr="00E905D7">
        <w:rPr>
          <w:rFonts w:cs="Arial"/>
        </w:rPr>
        <w:t xml:space="preserve">), </w:t>
      </w:r>
      <w:r w:rsidRPr="00E905D7">
        <w:rPr>
          <w:rFonts w:cs="Arial"/>
          <w:b/>
          <w:i/>
        </w:rPr>
        <w:t>culture</w:t>
      </w:r>
      <w:r w:rsidRPr="00E905D7">
        <w:rPr>
          <w:rFonts w:cs="Arial"/>
        </w:rPr>
        <w:t xml:space="preserve"> and </w:t>
      </w:r>
      <w:r w:rsidRPr="00E905D7">
        <w:rPr>
          <w:rFonts w:cs="Arial"/>
          <w:b/>
          <w:i/>
        </w:rPr>
        <w:t>ethics</w:t>
      </w:r>
      <w:r w:rsidRPr="00E905D7">
        <w:rPr>
          <w:rFonts w:cs="Arial"/>
        </w:rPr>
        <w:t xml:space="preserve"> are the two most important aspects of an organisation. As defined by </w:t>
      </w:r>
      <w:proofErr w:type="spellStart"/>
      <w:r w:rsidR="000473A3" w:rsidRPr="00E905D7">
        <w:rPr>
          <w:rFonts w:cs="Arial"/>
        </w:rPr>
        <w:t>Lee</w:t>
      </w:r>
      <w:r w:rsidRPr="00E905D7">
        <w:rPr>
          <w:rFonts w:cs="Arial"/>
          <w:i/>
        </w:rPr>
        <w:t>et</w:t>
      </w:r>
      <w:proofErr w:type="spellEnd"/>
      <w:r w:rsidRPr="00E905D7">
        <w:rPr>
          <w:rFonts w:cs="Arial"/>
          <w:i/>
        </w:rPr>
        <w:t xml:space="preserve"> al</w:t>
      </w:r>
      <w:r w:rsidR="00167387" w:rsidRPr="00E905D7">
        <w:rPr>
          <w:rFonts w:cs="Arial"/>
        </w:rPr>
        <w:t>. (2019</w:t>
      </w:r>
      <w:r w:rsidRPr="00E905D7">
        <w:rPr>
          <w:rFonts w:cs="Arial"/>
        </w:rPr>
        <w:t xml:space="preserve">), the culture of an organisation is </w:t>
      </w:r>
      <w:r w:rsidRPr="00E905D7">
        <w:rPr>
          <w:rFonts w:cs="Arial"/>
        </w:rPr>
        <w:lastRenderedPageBreak/>
        <w:t xml:space="preserve">defined as a collection of practices, expectations and values, which inform and guide the actions of its members. On the other hand, Ferrell </w:t>
      </w:r>
      <w:r w:rsidRPr="00E905D7">
        <w:rPr>
          <w:rFonts w:cs="Arial"/>
          <w:i/>
        </w:rPr>
        <w:t>et al</w:t>
      </w:r>
      <w:r w:rsidR="00167387" w:rsidRPr="00E905D7">
        <w:rPr>
          <w:rFonts w:cs="Arial"/>
        </w:rPr>
        <w:t>. (2019</w:t>
      </w:r>
      <w:r w:rsidRPr="00E905D7">
        <w:rPr>
          <w:rFonts w:cs="Arial"/>
        </w:rPr>
        <w:t xml:space="preserve">) defined ethics in the context of a </w:t>
      </w:r>
      <w:r w:rsidRPr="00251343">
        <w:rPr>
          <w:rFonts w:cs="Arial"/>
        </w:rPr>
        <w:t xml:space="preserve">business is the code of conduct of the people who work in a specific organisation. The performance of an organisation and its sustainability depends largely on culture and ethics. At the same time, the </w:t>
      </w:r>
      <w:r w:rsidRPr="00251343">
        <w:rPr>
          <w:rFonts w:cs="Arial"/>
          <w:i/>
        </w:rPr>
        <w:t>values</w:t>
      </w:r>
      <w:r w:rsidRPr="00251343">
        <w:rPr>
          <w:rFonts w:cs="Arial"/>
        </w:rPr>
        <w:t xml:space="preserve"> and </w:t>
      </w:r>
      <w:r w:rsidRPr="00251343">
        <w:rPr>
          <w:rFonts w:cs="Arial"/>
          <w:i/>
        </w:rPr>
        <w:t>beliefs</w:t>
      </w:r>
      <w:r w:rsidRPr="00251343">
        <w:rPr>
          <w:rFonts w:cs="Arial"/>
        </w:rPr>
        <w:t xml:space="preserve"> of the organisation and its employees along with their </w:t>
      </w:r>
      <w:r w:rsidRPr="00251343">
        <w:rPr>
          <w:rFonts w:cs="Arial"/>
          <w:i/>
        </w:rPr>
        <w:t>personal ethical standards</w:t>
      </w:r>
      <w:r w:rsidRPr="00251343">
        <w:rPr>
          <w:rFonts w:cs="Arial"/>
        </w:rPr>
        <w:t xml:space="preserve"> also have an effect over organisational sustainability.</w:t>
      </w:r>
    </w:p>
    <w:p w14:paraId="01ED17A7" w14:textId="77777777" w:rsidR="00230FAC" w:rsidRPr="00E905D7" w:rsidRDefault="00230FAC" w:rsidP="00230FAC">
      <w:pPr>
        <w:rPr>
          <w:rFonts w:cs="Arial"/>
          <w:lang w:val="en-US"/>
        </w:rPr>
      </w:pPr>
      <w:r w:rsidRPr="00251343">
        <w:rPr>
          <w:rFonts w:cs="Arial"/>
        </w:rPr>
        <w:t xml:space="preserve">All these factors and aspects mentioned in the above are helpful for the accomplishment of the </w:t>
      </w:r>
      <w:r w:rsidRPr="00251343">
        <w:rPr>
          <w:rFonts w:cs="Arial"/>
          <w:i/>
        </w:rPr>
        <w:t>corporate objectives</w:t>
      </w:r>
      <w:r w:rsidRPr="00251343">
        <w:rPr>
          <w:rFonts w:cs="Arial"/>
        </w:rPr>
        <w:t xml:space="preserve"> and the </w:t>
      </w:r>
      <w:r w:rsidRPr="00251343">
        <w:rPr>
          <w:rFonts w:cs="Arial"/>
          <w:i/>
        </w:rPr>
        <w:t>social responsibilities</w:t>
      </w:r>
      <w:r w:rsidRPr="00251343">
        <w:rPr>
          <w:rFonts w:cs="Arial"/>
        </w:rPr>
        <w:t xml:space="preserve"> of a company. As defined by Boateng et al. (2019, p. 1-18), corporate objectives are the business objectives, which are related to an organisation as a whole and are usually focused</w:t>
      </w:r>
      <w:r w:rsidRPr="00E905D7">
        <w:rPr>
          <w:rFonts w:cs="Arial"/>
        </w:rPr>
        <w:t xml:space="preserve"> on its desired results and performance. On the other hand, </w:t>
      </w:r>
      <w:r w:rsidRPr="00E905D7">
        <w:rPr>
          <w:rFonts w:cs="Arial"/>
          <w:lang w:val="en-US"/>
        </w:rPr>
        <w:t xml:space="preserve">Freeman and </w:t>
      </w:r>
      <w:proofErr w:type="spellStart"/>
      <w:proofErr w:type="gramStart"/>
      <w:r w:rsidRPr="00E905D7">
        <w:rPr>
          <w:rFonts w:cs="Arial"/>
          <w:lang w:val="en-US"/>
        </w:rPr>
        <w:t>Dmytriyev</w:t>
      </w:r>
      <w:proofErr w:type="spellEnd"/>
      <w:r w:rsidR="00167387" w:rsidRPr="00E905D7">
        <w:rPr>
          <w:rFonts w:cs="Arial"/>
        </w:rPr>
        <w:t>(</w:t>
      </w:r>
      <w:proofErr w:type="gramEnd"/>
      <w:r w:rsidR="00167387" w:rsidRPr="00E905D7">
        <w:rPr>
          <w:rFonts w:cs="Arial"/>
        </w:rPr>
        <w:t>2017</w:t>
      </w:r>
      <w:r w:rsidRPr="00E905D7">
        <w:rPr>
          <w:rFonts w:cs="Arial"/>
        </w:rPr>
        <w:t>) defined social responsibility as the duty of business organisations to act as per the best interest of the society and the environment on a whole. In the context of Microsoft, it can be determined that social responsibilities and corporate objectives are achieved largely due to the cultural and ethical standards of the organisation. The values, beliefs and personal ethical standards of the employees in the organisation also have a considerable effect over the accomplishment of these objectives.</w:t>
      </w:r>
    </w:p>
    <w:p w14:paraId="7FB12028" w14:textId="77777777" w:rsidR="00230FAC" w:rsidRPr="00251343" w:rsidRDefault="00230FAC" w:rsidP="00230FAC">
      <w:pPr>
        <w:rPr>
          <w:rFonts w:cs="Arial"/>
        </w:rPr>
      </w:pPr>
      <w:r w:rsidRPr="00E905D7">
        <w:rPr>
          <w:rFonts w:cs="Arial"/>
        </w:rPr>
        <w:t xml:space="preserve">According to Lombardo (2017), </w:t>
      </w:r>
      <w:r w:rsidRPr="00251343">
        <w:rPr>
          <w:rFonts w:cs="Arial"/>
          <w:bCs/>
          <w:i/>
        </w:rPr>
        <w:t>cultural standards</w:t>
      </w:r>
      <w:r w:rsidRPr="00E905D7">
        <w:rPr>
          <w:rFonts w:cs="Arial"/>
          <w:b/>
          <w:i/>
        </w:rPr>
        <w:t xml:space="preserve"> </w:t>
      </w:r>
      <w:r w:rsidRPr="00E905D7">
        <w:rPr>
          <w:rFonts w:cs="Arial"/>
        </w:rPr>
        <w:t xml:space="preserve">of Microsoft are high. The culture of the organisation ascertains resilience within workforce and their ability of addressing the needs of the business within the dynamic market for both computer software and hardware. Its corporate culture is related to facilitation of innovation as well as facilitation of customer satisfaction. The long-term success of Microsoft is partly dependent over its culture as well as the corresponding competence of its </w:t>
      </w:r>
      <w:r w:rsidRPr="00251343">
        <w:rPr>
          <w:rFonts w:cs="Arial"/>
        </w:rPr>
        <w:t xml:space="preserve">human resources. The common features of the organisational culture at Microsoft include </w:t>
      </w:r>
      <w:r w:rsidRPr="00251343">
        <w:rPr>
          <w:rFonts w:cs="Arial"/>
          <w:i/>
        </w:rPr>
        <w:t>quality and innovation</w:t>
      </w:r>
      <w:r w:rsidRPr="00251343">
        <w:rPr>
          <w:rFonts w:cs="Arial"/>
        </w:rPr>
        <w:t xml:space="preserve">, </w:t>
      </w:r>
      <w:r w:rsidRPr="00251343">
        <w:rPr>
          <w:rFonts w:cs="Arial"/>
          <w:i/>
        </w:rPr>
        <w:t>diversity</w:t>
      </w:r>
      <w:r w:rsidR="004B6EB6" w:rsidRPr="00251343">
        <w:rPr>
          <w:rFonts w:cs="Arial"/>
          <w:i/>
        </w:rPr>
        <w:t xml:space="preserve"> </w:t>
      </w:r>
      <w:r w:rsidRPr="00251343">
        <w:rPr>
          <w:rFonts w:cs="Arial"/>
          <w:i/>
        </w:rPr>
        <w:t>and inclusion</w:t>
      </w:r>
      <w:r w:rsidRPr="00251343">
        <w:rPr>
          <w:rFonts w:cs="Arial"/>
        </w:rPr>
        <w:t xml:space="preserve">, </w:t>
      </w:r>
      <w:r w:rsidRPr="00251343">
        <w:rPr>
          <w:rFonts w:cs="Arial"/>
          <w:i/>
        </w:rPr>
        <w:t>growth mindset</w:t>
      </w:r>
      <w:r w:rsidRPr="00251343">
        <w:rPr>
          <w:rFonts w:cs="Arial"/>
        </w:rPr>
        <w:t xml:space="preserve">, </w:t>
      </w:r>
      <w:r w:rsidRPr="00251343">
        <w:rPr>
          <w:rFonts w:cs="Arial"/>
          <w:i/>
        </w:rPr>
        <w:t>accountability</w:t>
      </w:r>
      <w:r w:rsidRPr="00251343">
        <w:rPr>
          <w:rFonts w:cs="Arial"/>
        </w:rPr>
        <w:t xml:space="preserve"> along with </w:t>
      </w:r>
      <w:r w:rsidRPr="00251343">
        <w:rPr>
          <w:rFonts w:cs="Arial"/>
          <w:i/>
        </w:rPr>
        <w:t>responsiveness to customers</w:t>
      </w:r>
      <w:r w:rsidRPr="00251343">
        <w:rPr>
          <w:rFonts w:cs="Arial"/>
        </w:rPr>
        <w:t xml:space="preserve">. </w:t>
      </w:r>
    </w:p>
    <w:p w14:paraId="492B8B1B" w14:textId="77777777" w:rsidR="00230FAC" w:rsidRPr="00E905D7" w:rsidRDefault="00230FAC" w:rsidP="00230FAC">
      <w:pPr>
        <w:rPr>
          <w:rFonts w:cs="Arial"/>
        </w:rPr>
      </w:pPr>
      <w:r w:rsidRPr="00251343">
        <w:rPr>
          <w:rFonts w:cs="Arial"/>
        </w:rPr>
        <w:t xml:space="preserve">As mentioned in Microsoft (2020), the </w:t>
      </w:r>
      <w:r w:rsidRPr="00251343">
        <w:rPr>
          <w:rFonts w:cs="Arial"/>
          <w:i/>
        </w:rPr>
        <w:t>corporate objectives</w:t>
      </w:r>
      <w:r w:rsidRPr="00251343">
        <w:rPr>
          <w:rFonts w:cs="Arial"/>
        </w:rPr>
        <w:t xml:space="preserve"> of Microsoft are considerable in number. The mission of the organisation is empowering</w:t>
      </w:r>
      <w:r w:rsidRPr="00E905D7">
        <w:rPr>
          <w:rFonts w:cs="Arial"/>
        </w:rPr>
        <w:t xml:space="preserve"> every individual and every company on this planet for accomplishing more. Another corporate objective of the organisation in ensure its global presence and keep helping people through continuous improvement while satisfying customers and meeting their needs timely. All these corporate objectives of Microsoft are met through its cultural standards. This is because the organisational culture of the company helps it in continuing its global operations and achieving the objective of global success through responsiveness towards customer concerns and innovation. At the same time, the other features of its organisational culture such as quality, growth mindset and accountability helps it </w:t>
      </w:r>
      <w:r w:rsidRPr="00E905D7">
        <w:rPr>
          <w:rFonts w:cs="Arial"/>
        </w:rPr>
        <w:lastRenderedPageBreak/>
        <w:t>in accomplishing the objective of maintaining market position. Contrastingly, the objective of increasing customer base and maintaining investor relations is attained through the accountability feature of its organisational culture.</w:t>
      </w:r>
    </w:p>
    <w:p w14:paraId="26845CDB" w14:textId="77777777" w:rsidR="00230FAC" w:rsidRPr="00553035" w:rsidRDefault="00230FAC" w:rsidP="00230FAC">
      <w:pPr>
        <w:rPr>
          <w:rFonts w:cs="Arial"/>
        </w:rPr>
      </w:pPr>
      <w:r w:rsidRPr="00E905D7">
        <w:rPr>
          <w:rFonts w:cs="Arial"/>
        </w:rPr>
        <w:t xml:space="preserve">On the contrary, according to </w:t>
      </w:r>
      <w:r w:rsidRPr="00553035">
        <w:rPr>
          <w:rFonts w:cs="Arial"/>
        </w:rPr>
        <w:t xml:space="preserve">Microsoft (2020), compliance and ethics are the two major areas of concentration at Microsoft. </w:t>
      </w:r>
      <w:r w:rsidRPr="00553035">
        <w:rPr>
          <w:rFonts w:cs="Arial"/>
          <w:i/>
        </w:rPr>
        <w:t>Ethical standards</w:t>
      </w:r>
      <w:r w:rsidRPr="00553035">
        <w:rPr>
          <w:rFonts w:cs="Arial"/>
        </w:rPr>
        <w:t xml:space="preserve"> of the company are highly defined and transparent. The compliance and ethics team of the organisation mentions the commitment of the organisation towards integrity and corporate responsibility. The ethics and compliance program of the organisation is built on three major pillars. These pillars include </w:t>
      </w:r>
      <w:r w:rsidRPr="00553035">
        <w:rPr>
          <w:rFonts w:cs="Arial"/>
          <w:i/>
        </w:rPr>
        <w:t>detection</w:t>
      </w:r>
      <w:r w:rsidRPr="00553035">
        <w:rPr>
          <w:rFonts w:cs="Arial"/>
        </w:rPr>
        <w:t xml:space="preserve">, </w:t>
      </w:r>
      <w:r w:rsidRPr="00553035">
        <w:rPr>
          <w:rFonts w:cs="Arial"/>
          <w:i/>
        </w:rPr>
        <w:t>remediation</w:t>
      </w:r>
      <w:r w:rsidRPr="00553035">
        <w:rPr>
          <w:rFonts w:cs="Arial"/>
        </w:rPr>
        <w:t xml:space="preserve"> and </w:t>
      </w:r>
      <w:r w:rsidRPr="00553035">
        <w:rPr>
          <w:rFonts w:cs="Arial"/>
          <w:i/>
        </w:rPr>
        <w:t>prevention</w:t>
      </w:r>
      <w:r w:rsidRPr="00553035">
        <w:rPr>
          <w:rFonts w:cs="Arial"/>
        </w:rPr>
        <w:t xml:space="preserve">. Prevention is related to preventing the issues that arise in the first place. This is done by focusing a </w:t>
      </w:r>
      <w:r w:rsidRPr="00553035">
        <w:rPr>
          <w:rFonts w:cs="Arial"/>
          <w:i/>
        </w:rPr>
        <w:t>culture of integrity and ethics</w:t>
      </w:r>
      <w:r w:rsidRPr="00553035">
        <w:rPr>
          <w:rFonts w:cs="Arial"/>
        </w:rPr>
        <w:t>. On the other hand, detection is related to the derivation of the potential issues related to compliance through several ways such as Internal Audit and Control and Compliance teams. The remediation, however, is concerned we the assessment of the root cause of the problems occurring within the organisation and the continuous enhancement of the processes and control within it.</w:t>
      </w:r>
    </w:p>
    <w:p w14:paraId="3EEB136D" w14:textId="77777777" w:rsidR="00230FAC" w:rsidRPr="00E905D7" w:rsidRDefault="00230FAC" w:rsidP="00230FAC">
      <w:pPr>
        <w:rPr>
          <w:rFonts w:cs="Arial"/>
          <w:b/>
        </w:rPr>
      </w:pPr>
      <w:r w:rsidRPr="00553035">
        <w:rPr>
          <w:rFonts w:cs="Arial"/>
        </w:rPr>
        <w:t xml:space="preserve">In addition, the </w:t>
      </w:r>
      <w:r w:rsidRPr="00553035">
        <w:rPr>
          <w:rFonts w:cs="Arial"/>
          <w:i/>
        </w:rPr>
        <w:t xml:space="preserve">values </w:t>
      </w:r>
      <w:r w:rsidRPr="00553035">
        <w:rPr>
          <w:rFonts w:cs="Arial"/>
        </w:rPr>
        <w:t xml:space="preserve">and </w:t>
      </w:r>
      <w:r w:rsidRPr="00553035">
        <w:rPr>
          <w:rFonts w:cs="Arial"/>
          <w:i/>
        </w:rPr>
        <w:t>corporate social responsibility</w:t>
      </w:r>
      <w:r w:rsidRPr="00553035">
        <w:rPr>
          <w:rFonts w:cs="Arial"/>
        </w:rPr>
        <w:t xml:space="preserve"> of the organisation are important aspects of its ethical standards. According to Microsoft (2020), privacy</w:t>
      </w:r>
      <w:r w:rsidRPr="00E905D7">
        <w:rPr>
          <w:rFonts w:cs="Arial"/>
        </w:rPr>
        <w:t xml:space="preserve"> and cyber security, environmental sustainability, skills for employability and technology for non-profits are the four major aspects of Microsoft’s corporate social responsibilities. In terms of commitment of accessibility, the organisation mentions that there is no limit to what people can accomplish when technology is a reflection of the diversity amongst people. Due to this, Microsoft designs its products and services for people with all capabilities. The values of the organisation, which include trustworthy computing, artificial intelligence and several others, are also based on its ethics and mission.</w:t>
      </w:r>
    </w:p>
    <w:p w14:paraId="5B551C94" w14:textId="77777777" w:rsidR="00230FAC" w:rsidRPr="00E905D7" w:rsidRDefault="00230FAC" w:rsidP="00230FAC">
      <w:pPr>
        <w:rPr>
          <w:rFonts w:cs="Arial"/>
        </w:rPr>
      </w:pPr>
      <w:r w:rsidRPr="00E905D7">
        <w:rPr>
          <w:rFonts w:cs="Arial"/>
        </w:rPr>
        <w:t xml:space="preserve">All these ethical standards, value and corporate social responsibility of Microsoft help the organisation in accomplishing its </w:t>
      </w:r>
      <w:r w:rsidRPr="00553035">
        <w:rPr>
          <w:rFonts w:cs="Arial"/>
          <w:bCs/>
          <w:i/>
        </w:rPr>
        <w:t>social responsibilities</w:t>
      </w:r>
      <w:r w:rsidRPr="00553035">
        <w:rPr>
          <w:rFonts w:cs="Arial"/>
          <w:bCs/>
        </w:rPr>
        <w:t>. For example, Microsoft (2020) mentions the success of Microsoft towards investing $125 million towards its social responsibility of using artificial intelligence for tackling biggest challenges of the society. Similarly, the organisation has accomplished the social responsibility</w:t>
      </w:r>
      <w:r w:rsidRPr="00E905D7">
        <w:rPr>
          <w:rFonts w:cs="Arial"/>
        </w:rPr>
        <w:t xml:space="preserve"> objective of using renewable energy for powering 60% of its data centres (Microsoft, 2020). The social responsibility objective of reduce and replenish has also been progressed largely through taking responsibility of the use of water within it. It is also working through collaborating on technology platforms for helping other firms in doing the same. Achievement of all these objectives has been possible due to maintenance of ethics </w:t>
      </w:r>
      <w:r w:rsidRPr="00E905D7">
        <w:rPr>
          <w:rFonts w:cs="Arial"/>
        </w:rPr>
        <w:lastRenderedPageBreak/>
        <w:t>within the organisation, following its values and developing stronger corporate social responsibility policies.</w:t>
      </w:r>
    </w:p>
    <w:p w14:paraId="6B364DC1" w14:textId="77777777" w:rsidR="00230FAC" w:rsidRPr="00E905D7" w:rsidRDefault="00230FAC" w:rsidP="00230FAC">
      <w:pPr>
        <w:rPr>
          <w:rFonts w:cs="Arial"/>
        </w:rPr>
      </w:pPr>
      <w:r w:rsidRPr="00E905D7">
        <w:rPr>
          <w:rFonts w:cs="Arial"/>
        </w:rPr>
        <w:t xml:space="preserve">According to </w:t>
      </w:r>
      <w:proofErr w:type="spellStart"/>
      <w:r w:rsidRPr="00E905D7">
        <w:rPr>
          <w:rFonts w:cs="Arial"/>
        </w:rPr>
        <w:t>Hejjas</w:t>
      </w:r>
      <w:r w:rsidRPr="00E905D7">
        <w:rPr>
          <w:rFonts w:cs="Arial"/>
          <w:i/>
        </w:rPr>
        <w:t>et</w:t>
      </w:r>
      <w:proofErr w:type="spellEnd"/>
      <w:r w:rsidRPr="00E905D7">
        <w:rPr>
          <w:rFonts w:cs="Arial"/>
          <w:i/>
        </w:rPr>
        <w:t xml:space="preserve"> al</w:t>
      </w:r>
      <w:r w:rsidR="00557554" w:rsidRPr="00E905D7">
        <w:rPr>
          <w:rFonts w:cs="Arial"/>
        </w:rPr>
        <w:t>. (2019</w:t>
      </w:r>
      <w:r w:rsidRPr="00E905D7">
        <w:rPr>
          <w:rFonts w:cs="Arial"/>
        </w:rPr>
        <w:t xml:space="preserve">), another factor that helps in accomplishing the corporate </w:t>
      </w:r>
      <w:r w:rsidRPr="00251343">
        <w:rPr>
          <w:rFonts w:cs="Arial"/>
        </w:rPr>
        <w:t xml:space="preserve">objectives as well as social responsibilities of an organisation is the </w:t>
      </w:r>
      <w:r w:rsidRPr="00251343">
        <w:rPr>
          <w:rFonts w:cs="Arial"/>
          <w:i/>
        </w:rPr>
        <w:t>values, beliefs and personal ethical standards of employees</w:t>
      </w:r>
      <w:r w:rsidRPr="00251343">
        <w:rPr>
          <w:rFonts w:cs="Arial"/>
        </w:rPr>
        <w:t>. In case of Microsoft, the values, beliefs and personal ethical</w:t>
      </w:r>
      <w:r w:rsidRPr="00E905D7">
        <w:rPr>
          <w:rFonts w:cs="Arial"/>
        </w:rPr>
        <w:t xml:space="preserve"> standards of its employees is one of the main causes behind its success. One of the key factors of accomplishment of its corporate objectives as well as its social responsibility objectives is the sustainable values, beliefs and personal ethical standards of its employees. The positive and strong organisational culture of the organisation reflects that the values and beliefs of its employees are sustainable in nature. This is because the culture of an organisation is made up of the values and beliefs that prevail amongst its employees along with their behavioural expectations. As the organisational culture of Microsoft is positive and ensures human resilience, it can be determined that the values and beliefs of its employees are sustainable. </w:t>
      </w:r>
    </w:p>
    <w:p w14:paraId="1D51C5D9" w14:textId="77777777" w:rsidR="00230FAC" w:rsidRPr="00E905D7" w:rsidRDefault="00230FAC" w:rsidP="00230FAC">
      <w:pPr>
        <w:rPr>
          <w:rFonts w:cs="Arial"/>
        </w:rPr>
      </w:pPr>
      <w:r w:rsidRPr="00E905D7">
        <w:rPr>
          <w:rFonts w:cs="Arial"/>
        </w:rPr>
        <w:t xml:space="preserve">These personal values and beliefs are also underlying causes of Microsoft’s corporate objectives attainment. It is because these values and beliefs help in achieving the corporate objective of Microsoft to strengthen and safeguard business integrity while adapting to responsible business practices (Microsoft, 2020). Besides this, the objective of efficient use of resources while being accountable towards stewardship of the resources is also accomplished due to the sustainable personal values and beliefs of employees. On the other hand, the ethical </w:t>
      </w:r>
      <w:r w:rsidRPr="00251343">
        <w:rPr>
          <w:rFonts w:cs="Arial"/>
        </w:rPr>
        <w:t xml:space="preserve">standards currently prevailing within Microsoft are an indicator of the </w:t>
      </w:r>
      <w:r w:rsidRPr="00251343">
        <w:rPr>
          <w:rFonts w:cs="Arial"/>
          <w:i/>
        </w:rPr>
        <w:t>personal ethical standards</w:t>
      </w:r>
      <w:r w:rsidRPr="00E905D7">
        <w:rPr>
          <w:rFonts w:cs="Arial"/>
        </w:rPr>
        <w:t xml:space="preserve"> of the organisation. According to Jeanes (2017), ethics of an organisation and its compliance codes can be developed and set by its management. </w:t>
      </w:r>
    </w:p>
    <w:p w14:paraId="651FDC7D" w14:textId="77777777" w:rsidR="00230FAC" w:rsidRPr="00E905D7" w:rsidRDefault="00230FAC" w:rsidP="00230FAC">
      <w:pPr>
        <w:rPr>
          <w:rFonts w:cs="Arial"/>
        </w:rPr>
      </w:pPr>
      <w:r w:rsidRPr="00E905D7">
        <w:rPr>
          <w:rFonts w:cs="Arial"/>
        </w:rPr>
        <w:t xml:space="preserve">However, the adherence with these ethical standards and codes depend largely on the personal ethics of the employees. It is because employees adhere by their workplace ethical standards only if they match their personal ethical standards. The discussions made in the above section reflect the efficiency with which the social responsibility objectives of Microsoft are achieved. These would not have been possible in case if the personal ethical standards of the organisation’s employees were not sustainable. The diversity and inclusion of the organisation have ended up with improvement of the personal ethical standards of all its employees. Microsoft is also noticed on facilitating the competence of all its human resources. Due to this, the personal ethical standards of its employees have increased and have turned out being sustainable. Thus, in these ways, the present ethical and cultural standards of Microsoft along </w:t>
      </w:r>
      <w:r w:rsidRPr="00E905D7">
        <w:rPr>
          <w:rFonts w:cs="Arial"/>
        </w:rPr>
        <w:lastRenderedPageBreak/>
        <w:t>with values, beliefs and personal ethical standards of majority of employees help it in accomplishing its goals.</w:t>
      </w:r>
      <w:r w:rsidRPr="00E905D7">
        <w:rPr>
          <w:rFonts w:cs="Arial"/>
          <w:b/>
          <w:bCs/>
        </w:rPr>
        <w:br w:type="page"/>
      </w:r>
    </w:p>
    <w:p w14:paraId="125A8C44" w14:textId="77777777" w:rsidR="00000E04" w:rsidRPr="003C301E" w:rsidRDefault="00000E04" w:rsidP="003C301E">
      <w:pPr>
        <w:pStyle w:val="Heading1"/>
        <w:rPr>
          <w:sz w:val="28"/>
          <w:szCs w:val="28"/>
        </w:rPr>
      </w:pPr>
      <w:bookmarkStart w:id="12" w:name="_Toc60407829"/>
      <w:r w:rsidRPr="003C301E">
        <w:rPr>
          <w:sz w:val="28"/>
          <w:szCs w:val="28"/>
        </w:rPr>
        <w:lastRenderedPageBreak/>
        <w:t>Conclusion</w:t>
      </w:r>
      <w:bookmarkEnd w:id="12"/>
    </w:p>
    <w:p w14:paraId="36C3D2E9" w14:textId="77777777" w:rsidR="005F2FDD" w:rsidRPr="00E905D7" w:rsidRDefault="00230FAC" w:rsidP="00DA1DD4">
      <w:pPr>
        <w:rPr>
          <w:rFonts w:cs="Arial"/>
        </w:rPr>
      </w:pPr>
      <w:r w:rsidRPr="00E905D7">
        <w:rPr>
          <w:rFonts w:cs="Arial"/>
        </w:rPr>
        <w:t>Therefore, from this report, it can be concluded that the business environment within which Microsoft operates is a dynamic one. The industry in which it operates is a big one while the growth and competitiveness of the organisation is considerable. Usefulness of various models, theories, methods and environmental scanning tools could be done in the study, which include Porter’s five forces analysis and PESTLE analysis. The Porter’s five forces helped in understanding the Microsoft has poor substitutes, moderate bargaining power, strong competition and various such aspects. Similarly, the PESTLE analysis indicated that there are various factors in the external business environment, which affects it both positively and negatively. On the other hand, the discussion on ethics and culture of Microsoft assisted in determining that the present cultural and ethical standards of the company help it in achieving its objectives. Similarly, the ways in which the objectives of Microsoft are achieved through personal ethics, beliefs and values of employees could also be evaluated.</w:t>
      </w:r>
      <w:r w:rsidR="005F2FDD" w:rsidRPr="00E905D7">
        <w:rPr>
          <w:rFonts w:cs="Arial"/>
        </w:rPr>
        <w:br w:type="page"/>
      </w:r>
    </w:p>
    <w:p w14:paraId="117F160E" w14:textId="77777777" w:rsidR="008C3480" w:rsidRPr="003C301E" w:rsidRDefault="005F2FDD" w:rsidP="003C301E">
      <w:pPr>
        <w:pStyle w:val="Heading1"/>
        <w:rPr>
          <w:sz w:val="28"/>
          <w:szCs w:val="28"/>
        </w:rPr>
      </w:pPr>
      <w:bookmarkStart w:id="13" w:name="_Toc60407830"/>
      <w:r w:rsidRPr="003C301E">
        <w:rPr>
          <w:sz w:val="28"/>
          <w:szCs w:val="28"/>
        </w:rPr>
        <w:lastRenderedPageBreak/>
        <w:t>Reference</w:t>
      </w:r>
      <w:bookmarkEnd w:id="13"/>
      <w:r w:rsidRPr="003C301E">
        <w:rPr>
          <w:sz w:val="28"/>
          <w:szCs w:val="28"/>
        </w:rPr>
        <w:t xml:space="preserve"> </w:t>
      </w:r>
    </w:p>
    <w:p w14:paraId="537DCFA8" w14:textId="77777777" w:rsidR="00F84D2D" w:rsidRPr="00E905D7" w:rsidRDefault="00F84D2D" w:rsidP="00D52DA9">
      <w:pPr>
        <w:rPr>
          <w:rFonts w:cs="Arial"/>
        </w:rPr>
      </w:pPr>
      <w:r w:rsidRPr="00E905D7">
        <w:rPr>
          <w:rFonts w:cs="Arial"/>
        </w:rPr>
        <w:t>A&amp;E Television Networks, (2015). HISTORY. Available at: https://www.history.com/this-day-in-history/microsoft-founded (Accessed: 21 November 2020)</w:t>
      </w:r>
    </w:p>
    <w:p w14:paraId="1C943F31" w14:textId="77777777" w:rsidR="00F84D2D" w:rsidRPr="00E905D7" w:rsidRDefault="00F84D2D" w:rsidP="00F84D2D">
      <w:pPr>
        <w:rPr>
          <w:rFonts w:cs="Arial"/>
        </w:rPr>
      </w:pPr>
      <w:r w:rsidRPr="00E905D7">
        <w:rPr>
          <w:rFonts w:cs="Arial"/>
        </w:rPr>
        <w:t xml:space="preserve">Alsop, T., </w:t>
      </w:r>
      <w:r w:rsidR="00E905D7" w:rsidRPr="00E905D7">
        <w:rPr>
          <w:rFonts w:cs="Arial"/>
        </w:rPr>
        <w:t>(</w:t>
      </w:r>
      <w:r w:rsidRPr="00E905D7">
        <w:rPr>
          <w:rFonts w:cs="Arial"/>
        </w:rPr>
        <w:t>2020</w:t>
      </w:r>
      <w:r w:rsidR="00E905D7" w:rsidRPr="00E905D7">
        <w:rPr>
          <w:rFonts w:cs="Arial"/>
        </w:rPr>
        <w:t>)</w:t>
      </w:r>
      <w:r w:rsidRPr="00E905D7">
        <w:rPr>
          <w:rFonts w:cs="Arial"/>
        </w:rPr>
        <w:t>. </w:t>
      </w:r>
      <w:r w:rsidRPr="00E905D7">
        <w:rPr>
          <w:rFonts w:cs="Arial"/>
          <w:i/>
          <w:iCs/>
        </w:rPr>
        <w:t xml:space="preserve">UK Households: Ownership </w:t>
      </w:r>
      <w:proofErr w:type="gramStart"/>
      <w:r w:rsidRPr="00E905D7">
        <w:rPr>
          <w:rFonts w:cs="Arial"/>
          <w:i/>
          <w:iCs/>
        </w:rPr>
        <w:t>Of</w:t>
      </w:r>
      <w:proofErr w:type="gramEnd"/>
      <w:r w:rsidRPr="00E905D7">
        <w:rPr>
          <w:rFonts w:cs="Arial"/>
          <w:i/>
          <w:iCs/>
        </w:rPr>
        <w:t xml:space="preserve"> Home Computers 1985-2018 | Statista</w:t>
      </w:r>
      <w:r w:rsidRPr="00E905D7">
        <w:rPr>
          <w:rFonts w:cs="Arial"/>
        </w:rPr>
        <w:t>. [online] Statista. Available at: &lt;https://www.statista.com/statistics/289191/household-penetration-of-home-computers-in-the-uk/&gt; [Accessed 24 November 2020].</w:t>
      </w:r>
    </w:p>
    <w:p w14:paraId="7E49087F" w14:textId="77777777" w:rsidR="00F84D2D" w:rsidRPr="00E905D7" w:rsidRDefault="00F84D2D" w:rsidP="00F84D2D">
      <w:pPr>
        <w:rPr>
          <w:rFonts w:cs="Arial"/>
        </w:rPr>
      </w:pPr>
      <w:r w:rsidRPr="00E905D7">
        <w:rPr>
          <w:rFonts w:cs="Arial"/>
        </w:rPr>
        <w:t xml:space="preserve">BBC News. </w:t>
      </w:r>
      <w:r w:rsidR="00E905D7" w:rsidRPr="00E905D7">
        <w:rPr>
          <w:rFonts w:cs="Arial"/>
        </w:rPr>
        <w:t>(</w:t>
      </w:r>
      <w:r w:rsidRPr="00E905D7">
        <w:rPr>
          <w:rFonts w:cs="Arial"/>
        </w:rPr>
        <w:t>2020</w:t>
      </w:r>
      <w:r w:rsidR="00E905D7" w:rsidRPr="00E905D7">
        <w:rPr>
          <w:rFonts w:cs="Arial"/>
        </w:rPr>
        <w:t>)</w:t>
      </w:r>
      <w:r w:rsidRPr="00E905D7">
        <w:rPr>
          <w:rFonts w:cs="Arial"/>
        </w:rPr>
        <w:t>. </w:t>
      </w:r>
      <w:r w:rsidRPr="00E905D7">
        <w:rPr>
          <w:rFonts w:cs="Arial"/>
          <w:i/>
          <w:iCs/>
        </w:rPr>
        <w:t>Microsoft Makes 'Carbon Negative' Pledge</w:t>
      </w:r>
      <w:r w:rsidRPr="00E905D7">
        <w:rPr>
          <w:rFonts w:cs="Arial"/>
        </w:rPr>
        <w:t>. [online] Available at: &lt;https://www.bbc.com/news/technology-51133811&gt; [Accessed 24 November 2020].</w:t>
      </w:r>
    </w:p>
    <w:p w14:paraId="52D7FE33" w14:textId="77777777" w:rsidR="00F84D2D" w:rsidRPr="00E905D7" w:rsidRDefault="00F84D2D" w:rsidP="003544CC">
      <w:pPr>
        <w:rPr>
          <w:rFonts w:cs="Arial"/>
          <w:sz w:val="24"/>
        </w:rPr>
      </w:pPr>
      <w:r w:rsidRPr="00E905D7">
        <w:rPr>
          <w:rFonts w:cs="Arial"/>
          <w:color w:val="222222"/>
          <w:shd w:val="clear" w:color="auto" w:fill="FFFFFF"/>
        </w:rPr>
        <w:t xml:space="preserve">Boateng, F., Owusu-Manu, D.G., </w:t>
      </w:r>
      <w:proofErr w:type="spellStart"/>
      <w:r w:rsidRPr="00E905D7">
        <w:rPr>
          <w:rFonts w:cs="Arial"/>
          <w:color w:val="222222"/>
          <w:shd w:val="clear" w:color="auto" w:fill="FFFFFF"/>
        </w:rPr>
        <w:t>Adesi</w:t>
      </w:r>
      <w:proofErr w:type="spellEnd"/>
      <w:r w:rsidRPr="00E905D7">
        <w:rPr>
          <w:rFonts w:cs="Arial"/>
          <w:color w:val="222222"/>
          <w:shd w:val="clear" w:color="auto" w:fill="FFFFFF"/>
        </w:rPr>
        <w:t xml:space="preserve">, M., </w:t>
      </w:r>
      <w:proofErr w:type="spellStart"/>
      <w:r w:rsidRPr="00E905D7">
        <w:rPr>
          <w:rFonts w:cs="Arial"/>
          <w:color w:val="222222"/>
          <w:shd w:val="clear" w:color="auto" w:fill="FFFFFF"/>
        </w:rPr>
        <w:t>Parn</w:t>
      </w:r>
      <w:proofErr w:type="spellEnd"/>
      <w:r w:rsidRPr="00E905D7">
        <w:rPr>
          <w:rFonts w:cs="Arial"/>
          <w:color w:val="222222"/>
          <w:shd w:val="clear" w:color="auto" w:fill="FFFFFF"/>
        </w:rPr>
        <w:t>, E. and Edwards, D.J. (2019) ALIGNING STRATEGIC OBJECTIVES TO CORPORATE GOVERNANCE OBJECTIVES IN CONSTRUCTION PROFESSIONAL SERVICE FIRMS. </w:t>
      </w:r>
      <w:r w:rsidRPr="00E905D7">
        <w:rPr>
          <w:rFonts w:cs="Arial"/>
          <w:i/>
          <w:iCs/>
          <w:color w:val="222222"/>
          <w:shd w:val="clear" w:color="auto" w:fill="FFFFFF"/>
        </w:rPr>
        <w:t>Journal of Construction Project Management and Innovation</w:t>
      </w:r>
      <w:r w:rsidRPr="00E905D7">
        <w:rPr>
          <w:rFonts w:cs="Arial"/>
          <w:color w:val="222222"/>
          <w:shd w:val="clear" w:color="auto" w:fill="FFFFFF"/>
        </w:rPr>
        <w:t>, </w:t>
      </w:r>
      <w:r w:rsidRPr="00E905D7">
        <w:rPr>
          <w:rFonts w:cs="Arial"/>
          <w:i/>
          <w:iCs/>
          <w:color w:val="222222"/>
          <w:shd w:val="clear" w:color="auto" w:fill="FFFFFF"/>
        </w:rPr>
        <w:t>9</w:t>
      </w:r>
      <w:r w:rsidRPr="00E905D7">
        <w:rPr>
          <w:rFonts w:cs="Arial"/>
          <w:color w:val="222222"/>
          <w:shd w:val="clear" w:color="auto" w:fill="FFFFFF"/>
        </w:rPr>
        <w:t>(1), pp.1-18.</w:t>
      </w:r>
    </w:p>
    <w:p w14:paraId="433FD35A" w14:textId="77777777" w:rsidR="00F84D2D" w:rsidRPr="00E905D7" w:rsidRDefault="00F84D2D" w:rsidP="00D52DA9">
      <w:pPr>
        <w:rPr>
          <w:rFonts w:cs="Arial"/>
        </w:rPr>
      </w:pPr>
      <w:r w:rsidRPr="00E905D7">
        <w:rPr>
          <w:rFonts w:cs="Arial"/>
        </w:rPr>
        <w:t>Christodoulou, A. and Cullinane, K., (2019). ‘Identifying the Main Opportunities and Challenges from the Implementation of a Port Energy Management System: A SWOT/PESTLE Analysis’. </w:t>
      </w:r>
      <w:r w:rsidRPr="00E905D7">
        <w:rPr>
          <w:rFonts w:cs="Arial"/>
          <w:i/>
          <w:iCs/>
        </w:rPr>
        <w:t>Sustainability</w:t>
      </w:r>
      <w:r w:rsidRPr="00E905D7">
        <w:rPr>
          <w:rFonts w:cs="Arial"/>
        </w:rPr>
        <w:t>, </w:t>
      </w:r>
      <w:r w:rsidRPr="00E905D7">
        <w:rPr>
          <w:rFonts w:cs="Arial"/>
          <w:i/>
          <w:iCs/>
        </w:rPr>
        <w:t>11</w:t>
      </w:r>
      <w:r w:rsidRPr="00E905D7">
        <w:rPr>
          <w:rFonts w:cs="Arial"/>
        </w:rPr>
        <w:t>(21), p.6046.</w:t>
      </w:r>
    </w:p>
    <w:p w14:paraId="029C01F6" w14:textId="77777777" w:rsidR="00F84D2D" w:rsidRPr="00E905D7" w:rsidRDefault="00F84D2D" w:rsidP="00D52DA9">
      <w:pPr>
        <w:rPr>
          <w:rFonts w:cs="Arial"/>
        </w:rPr>
      </w:pPr>
      <w:r w:rsidRPr="00E905D7">
        <w:rPr>
          <w:rFonts w:cs="Arial"/>
        </w:rPr>
        <w:t xml:space="preserve">Chui, M., </w:t>
      </w:r>
      <w:proofErr w:type="spellStart"/>
      <w:proofErr w:type="gramStart"/>
      <w:r w:rsidRPr="00E905D7">
        <w:rPr>
          <w:rFonts w:cs="Arial"/>
        </w:rPr>
        <w:t>Manyika</w:t>
      </w:r>
      <w:proofErr w:type="spellEnd"/>
      <w:r w:rsidRPr="00E905D7">
        <w:rPr>
          <w:rFonts w:cs="Arial"/>
        </w:rPr>
        <w:t>,,</w:t>
      </w:r>
      <w:proofErr w:type="gramEnd"/>
      <w:r w:rsidRPr="00E905D7">
        <w:rPr>
          <w:rFonts w:cs="Arial"/>
        </w:rPr>
        <w:t xml:space="preserve"> J., and </w:t>
      </w:r>
      <w:proofErr w:type="spellStart"/>
      <w:r w:rsidRPr="00E905D7">
        <w:rPr>
          <w:rFonts w:cs="Arial"/>
        </w:rPr>
        <w:t>Miremadi</w:t>
      </w:r>
      <w:proofErr w:type="spellEnd"/>
      <w:r w:rsidRPr="00E905D7">
        <w:rPr>
          <w:rFonts w:cs="Arial"/>
        </w:rPr>
        <w:t xml:space="preserve">, M., (2016). </w:t>
      </w:r>
      <w:r w:rsidRPr="00E905D7">
        <w:rPr>
          <w:rFonts w:cs="Arial"/>
          <w:i/>
        </w:rPr>
        <w:t>Where machines could replace humans—and where they can’t (yet).</w:t>
      </w:r>
      <w:r w:rsidRPr="00E905D7">
        <w:rPr>
          <w:rFonts w:cs="Arial"/>
        </w:rPr>
        <w:t>Available at: https://www.mckinsey.com/business-functions/mckinsey-digital/our-insights/where-machines-could-replace-humans-and-where-they-cant-yet (Accessed: 21 November 2020)</w:t>
      </w:r>
    </w:p>
    <w:p w14:paraId="3603DAD0" w14:textId="77777777" w:rsidR="00F84D2D" w:rsidRPr="00E905D7" w:rsidRDefault="00F84D2D" w:rsidP="00F84D2D">
      <w:pPr>
        <w:rPr>
          <w:rFonts w:cs="Arial"/>
        </w:rPr>
      </w:pPr>
      <w:r w:rsidRPr="00E905D7">
        <w:rPr>
          <w:rFonts w:cs="Arial"/>
        </w:rPr>
        <w:t xml:space="preserve">Clark, D., </w:t>
      </w:r>
      <w:r w:rsidR="00E905D7" w:rsidRPr="00E905D7">
        <w:rPr>
          <w:rFonts w:cs="Arial"/>
        </w:rPr>
        <w:t>(</w:t>
      </w:r>
      <w:r w:rsidRPr="00E905D7">
        <w:rPr>
          <w:rFonts w:cs="Arial"/>
        </w:rPr>
        <w:t>2020</w:t>
      </w:r>
      <w:r w:rsidR="00E905D7" w:rsidRPr="00E905D7">
        <w:rPr>
          <w:rFonts w:cs="Arial"/>
        </w:rPr>
        <w:t>)</w:t>
      </w:r>
      <w:r w:rsidRPr="00E905D7">
        <w:rPr>
          <w:rFonts w:cs="Arial"/>
        </w:rPr>
        <w:t>. </w:t>
      </w:r>
      <w:r w:rsidRPr="00E905D7">
        <w:rPr>
          <w:rFonts w:cs="Arial"/>
          <w:i/>
          <w:iCs/>
        </w:rPr>
        <w:t>UK Inflation Rate Forecast 2019-2024 | Statista</w:t>
      </w:r>
      <w:r w:rsidRPr="00E905D7">
        <w:rPr>
          <w:rFonts w:cs="Arial"/>
        </w:rPr>
        <w:t>. [online] Statista. Available at: &lt;https://www.statista.com/statistics/306720/cpi-rate-forecast-uk/#:~:text=CPI%20rate%20forecast%20UK%202014%2D2024&amp;text=As%20of%20October%202020%2C%20the,percent%20in%20</w:t>
      </w:r>
      <w:r w:rsidR="003C301E">
        <w:rPr>
          <w:rFonts w:cs="Arial"/>
        </w:rPr>
        <w:t>2022%20and%202023.&gt; [Accessed 28</w:t>
      </w:r>
      <w:r w:rsidRPr="00E905D7">
        <w:rPr>
          <w:rFonts w:cs="Arial"/>
        </w:rPr>
        <w:t xml:space="preserve"> November 2020].</w:t>
      </w:r>
    </w:p>
    <w:p w14:paraId="4CEE29FE" w14:textId="77777777" w:rsidR="00F84D2D" w:rsidRPr="00E905D7" w:rsidRDefault="00F84D2D" w:rsidP="00D52DA9">
      <w:pPr>
        <w:rPr>
          <w:rFonts w:cs="Arial"/>
        </w:rPr>
      </w:pPr>
      <w:r w:rsidRPr="00E905D7">
        <w:rPr>
          <w:rFonts w:cs="Arial"/>
        </w:rPr>
        <w:t xml:space="preserve">CompTIA, (2020). </w:t>
      </w:r>
      <w:r w:rsidRPr="00E905D7">
        <w:rPr>
          <w:rFonts w:cs="Arial"/>
          <w:i/>
        </w:rPr>
        <w:t xml:space="preserve">KEY </w:t>
      </w:r>
      <w:proofErr w:type="spellStart"/>
      <w:r w:rsidRPr="00E905D7">
        <w:rPr>
          <w:rFonts w:cs="Arial"/>
          <w:i/>
        </w:rPr>
        <w:t>FINDINGS.</w:t>
      </w:r>
      <w:r w:rsidRPr="00E905D7">
        <w:rPr>
          <w:rFonts w:cs="Arial"/>
        </w:rPr>
        <w:t>Available</w:t>
      </w:r>
      <w:proofErr w:type="spellEnd"/>
      <w:r w:rsidRPr="00E905D7">
        <w:rPr>
          <w:rFonts w:cs="Arial"/>
        </w:rPr>
        <w:t xml:space="preserve"> at: https://www.cyberstates.org/ (Accessed: 21 November 2020)</w:t>
      </w:r>
    </w:p>
    <w:p w14:paraId="67CDCA3D" w14:textId="77777777" w:rsidR="00F84D2D" w:rsidRPr="00E905D7" w:rsidRDefault="00F84D2D" w:rsidP="00F84D2D">
      <w:pPr>
        <w:rPr>
          <w:rFonts w:cs="Arial"/>
        </w:rPr>
      </w:pPr>
      <w:r w:rsidRPr="00E905D7">
        <w:rPr>
          <w:rFonts w:cs="Arial"/>
        </w:rPr>
        <w:t xml:space="preserve">Dolata, U., </w:t>
      </w:r>
      <w:r w:rsidR="00E905D7" w:rsidRPr="00E905D7">
        <w:rPr>
          <w:rFonts w:cs="Arial"/>
        </w:rPr>
        <w:t>(</w:t>
      </w:r>
      <w:r w:rsidRPr="00E905D7">
        <w:rPr>
          <w:rFonts w:cs="Arial"/>
        </w:rPr>
        <w:t>2018</w:t>
      </w:r>
      <w:r w:rsidR="00E905D7" w:rsidRPr="00E905D7">
        <w:rPr>
          <w:rFonts w:cs="Arial"/>
        </w:rPr>
        <w:t>)</w:t>
      </w:r>
      <w:r w:rsidRPr="00E905D7">
        <w:rPr>
          <w:rFonts w:cs="Arial"/>
        </w:rPr>
        <w:t>. Internet companies: Market concentration, competition and power. In </w:t>
      </w:r>
      <w:proofErr w:type="spellStart"/>
      <w:r w:rsidRPr="00E905D7">
        <w:rPr>
          <w:rFonts w:cs="Arial"/>
          <w:i/>
          <w:iCs/>
        </w:rPr>
        <w:t>Collectivity</w:t>
      </w:r>
      <w:proofErr w:type="spellEnd"/>
      <w:r w:rsidRPr="00E905D7">
        <w:rPr>
          <w:rFonts w:cs="Arial"/>
          <w:i/>
          <w:iCs/>
        </w:rPr>
        <w:t xml:space="preserve"> and Power on the Internet</w:t>
      </w:r>
      <w:r w:rsidRPr="00E905D7">
        <w:rPr>
          <w:rFonts w:cs="Arial"/>
        </w:rPr>
        <w:t> (pp. 85-108). Springer, Cham.</w:t>
      </w:r>
    </w:p>
    <w:p w14:paraId="5CD4859D" w14:textId="77777777" w:rsidR="00F84D2D" w:rsidRPr="00E905D7" w:rsidRDefault="00F84D2D" w:rsidP="003544CC">
      <w:pPr>
        <w:rPr>
          <w:rFonts w:cs="Arial"/>
          <w:sz w:val="24"/>
        </w:rPr>
      </w:pPr>
      <w:r w:rsidRPr="00E905D7">
        <w:rPr>
          <w:rFonts w:cs="Arial"/>
          <w:color w:val="222222"/>
          <w:shd w:val="clear" w:color="auto" w:fill="FFFFFF"/>
        </w:rPr>
        <w:t>Ferrell, O.C., Harrison, D.E., Ferrell, L. and Hair, J.F. (2019) Business ethics, corporate social responsibility, and brand attitudes: An exploratory study. </w:t>
      </w:r>
      <w:r w:rsidRPr="00E905D7">
        <w:rPr>
          <w:rFonts w:cs="Arial"/>
          <w:i/>
          <w:iCs/>
          <w:color w:val="222222"/>
          <w:shd w:val="clear" w:color="auto" w:fill="FFFFFF"/>
        </w:rPr>
        <w:t>Journal of Business Research</w:t>
      </w:r>
      <w:r w:rsidRPr="00E905D7">
        <w:rPr>
          <w:rFonts w:cs="Arial"/>
          <w:color w:val="222222"/>
          <w:shd w:val="clear" w:color="auto" w:fill="FFFFFF"/>
        </w:rPr>
        <w:t>, </w:t>
      </w:r>
      <w:r w:rsidRPr="00E905D7">
        <w:rPr>
          <w:rFonts w:cs="Arial"/>
          <w:i/>
          <w:iCs/>
          <w:color w:val="222222"/>
          <w:shd w:val="clear" w:color="auto" w:fill="FFFFFF"/>
        </w:rPr>
        <w:t>95</w:t>
      </w:r>
      <w:r w:rsidRPr="00E905D7">
        <w:rPr>
          <w:rFonts w:cs="Arial"/>
          <w:color w:val="222222"/>
          <w:shd w:val="clear" w:color="auto" w:fill="FFFFFF"/>
        </w:rPr>
        <w:t>, pp.491-501.</w:t>
      </w:r>
    </w:p>
    <w:p w14:paraId="6016B0C0" w14:textId="77777777" w:rsidR="00F84D2D" w:rsidRPr="00E905D7" w:rsidRDefault="00F84D2D" w:rsidP="00F84D2D">
      <w:pPr>
        <w:rPr>
          <w:rFonts w:cs="Arial"/>
        </w:rPr>
      </w:pPr>
      <w:r w:rsidRPr="00E905D7">
        <w:rPr>
          <w:rFonts w:cs="Arial"/>
        </w:rPr>
        <w:lastRenderedPageBreak/>
        <w:t xml:space="preserve">Field.org.uk. </w:t>
      </w:r>
      <w:r w:rsidR="00E905D7" w:rsidRPr="00E905D7">
        <w:rPr>
          <w:rFonts w:cs="Arial"/>
        </w:rPr>
        <w:t>(</w:t>
      </w:r>
      <w:r w:rsidRPr="00E905D7">
        <w:rPr>
          <w:rFonts w:cs="Arial"/>
        </w:rPr>
        <w:t>2020</w:t>
      </w:r>
      <w:r w:rsidR="00E905D7" w:rsidRPr="00E905D7">
        <w:rPr>
          <w:rFonts w:cs="Arial"/>
        </w:rPr>
        <w:t>)</w:t>
      </w:r>
      <w:r w:rsidRPr="00E905D7">
        <w:rPr>
          <w:rFonts w:cs="Arial"/>
        </w:rPr>
        <w:t>. </w:t>
      </w:r>
      <w:r w:rsidRPr="00E905D7">
        <w:rPr>
          <w:rFonts w:cs="Arial"/>
          <w:i/>
          <w:iCs/>
        </w:rPr>
        <w:t xml:space="preserve">List </w:t>
      </w:r>
      <w:proofErr w:type="gramStart"/>
      <w:r w:rsidRPr="00E905D7">
        <w:rPr>
          <w:rFonts w:cs="Arial"/>
          <w:i/>
          <w:iCs/>
        </w:rPr>
        <w:t>Of</w:t>
      </w:r>
      <w:proofErr w:type="gramEnd"/>
      <w:r w:rsidRPr="00E905D7">
        <w:rPr>
          <w:rFonts w:cs="Arial"/>
          <w:i/>
          <w:iCs/>
        </w:rPr>
        <w:t xml:space="preserve"> Environmental Laws | Field</w:t>
      </w:r>
      <w:r w:rsidRPr="00E905D7">
        <w:rPr>
          <w:rFonts w:cs="Arial"/>
        </w:rPr>
        <w:t>. [online] Available at: &lt;http://www.field.org.uk/list-of-e</w:t>
      </w:r>
      <w:r w:rsidR="003C301E">
        <w:rPr>
          <w:rFonts w:cs="Arial"/>
        </w:rPr>
        <w:t>nvironmental-laws/&gt; [Accessed 29</w:t>
      </w:r>
      <w:r w:rsidRPr="00E905D7">
        <w:rPr>
          <w:rFonts w:cs="Arial"/>
        </w:rPr>
        <w:t xml:space="preserve"> November 2020].</w:t>
      </w:r>
    </w:p>
    <w:p w14:paraId="618791FC" w14:textId="77777777" w:rsidR="00F84D2D" w:rsidRPr="00E905D7" w:rsidRDefault="00F84D2D" w:rsidP="003544CC">
      <w:pPr>
        <w:rPr>
          <w:rFonts w:cs="Arial"/>
          <w:sz w:val="24"/>
        </w:rPr>
      </w:pPr>
      <w:r w:rsidRPr="00E905D7">
        <w:rPr>
          <w:rFonts w:cs="Arial"/>
          <w:color w:val="222222"/>
          <w:shd w:val="clear" w:color="auto" w:fill="FFFFFF"/>
        </w:rPr>
        <w:t xml:space="preserve">Freeman, R.E. and </w:t>
      </w:r>
      <w:proofErr w:type="spellStart"/>
      <w:r w:rsidRPr="00E905D7">
        <w:rPr>
          <w:rFonts w:cs="Arial"/>
          <w:color w:val="222222"/>
          <w:shd w:val="clear" w:color="auto" w:fill="FFFFFF"/>
        </w:rPr>
        <w:t>Dmytriyev</w:t>
      </w:r>
      <w:proofErr w:type="spellEnd"/>
      <w:r w:rsidRPr="00E905D7">
        <w:rPr>
          <w:rFonts w:cs="Arial"/>
          <w:color w:val="222222"/>
          <w:shd w:val="clear" w:color="auto" w:fill="FFFFFF"/>
        </w:rPr>
        <w:t>, S. (</w:t>
      </w:r>
      <w:proofErr w:type="gramStart"/>
      <w:r w:rsidRPr="00E905D7">
        <w:rPr>
          <w:rFonts w:cs="Arial"/>
          <w:color w:val="222222"/>
          <w:shd w:val="clear" w:color="auto" w:fill="FFFFFF"/>
        </w:rPr>
        <w:t>2017)Corporate</w:t>
      </w:r>
      <w:proofErr w:type="gramEnd"/>
      <w:r w:rsidRPr="00E905D7">
        <w:rPr>
          <w:rFonts w:cs="Arial"/>
          <w:color w:val="222222"/>
          <w:shd w:val="clear" w:color="auto" w:fill="FFFFFF"/>
        </w:rPr>
        <w:t xml:space="preserve"> social responsibility and stakeholder theory: Learning from each other. </w:t>
      </w:r>
      <w:proofErr w:type="spellStart"/>
      <w:r w:rsidRPr="00E905D7">
        <w:rPr>
          <w:rFonts w:cs="Arial"/>
          <w:i/>
          <w:iCs/>
          <w:color w:val="222222"/>
          <w:shd w:val="clear" w:color="auto" w:fill="FFFFFF"/>
        </w:rPr>
        <w:t>Symphonya</w:t>
      </w:r>
      <w:proofErr w:type="spellEnd"/>
      <w:r w:rsidRPr="00E905D7">
        <w:rPr>
          <w:rFonts w:cs="Arial"/>
          <w:i/>
          <w:iCs/>
          <w:color w:val="222222"/>
          <w:shd w:val="clear" w:color="auto" w:fill="FFFFFF"/>
        </w:rPr>
        <w:t>. Emerging Issues in Management</w:t>
      </w:r>
      <w:r w:rsidRPr="00E905D7">
        <w:rPr>
          <w:rFonts w:cs="Arial"/>
          <w:color w:val="222222"/>
          <w:shd w:val="clear" w:color="auto" w:fill="FFFFFF"/>
        </w:rPr>
        <w:t>, (1), pp.7-15.</w:t>
      </w:r>
    </w:p>
    <w:p w14:paraId="28F86164" w14:textId="77777777" w:rsidR="00F84D2D" w:rsidRPr="00E905D7" w:rsidRDefault="00F84D2D" w:rsidP="00F84D2D">
      <w:pPr>
        <w:rPr>
          <w:rFonts w:cs="Arial"/>
        </w:rPr>
      </w:pPr>
      <w:r w:rsidRPr="00E905D7">
        <w:rPr>
          <w:rFonts w:cs="Arial"/>
        </w:rPr>
        <w:t>GOV.UK. 2020. </w:t>
      </w:r>
      <w:r w:rsidRPr="00E905D7">
        <w:rPr>
          <w:rFonts w:cs="Arial"/>
          <w:i/>
          <w:iCs/>
        </w:rPr>
        <w:t xml:space="preserve">National Minimum Wage </w:t>
      </w:r>
      <w:proofErr w:type="gramStart"/>
      <w:r w:rsidRPr="00E905D7">
        <w:rPr>
          <w:rFonts w:cs="Arial"/>
          <w:i/>
          <w:iCs/>
        </w:rPr>
        <w:t>And</w:t>
      </w:r>
      <w:proofErr w:type="gramEnd"/>
      <w:r w:rsidRPr="00E905D7">
        <w:rPr>
          <w:rFonts w:cs="Arial"/>
          <w:i/>
          <w:iCs/>
        </w:rPr>
        <w:t xml:space="preserve"> National Living Wage Rates</w:t>
      </w:r>
      <w:r w:rsidRPr="00E905D7">
        <w:rPr>
          <w:rFonts w:cs="Arial"/>
        </w:rPr>
        <w:t>. [online] Available at: &lt;https://www.gov.uk/national-minimum-wage-rates&gt; [Accessed 24 November 2020].</w:t>
      </w:r>
    </w:p>
    <w:p w14:paraId="5BBD01EF" w14:textId="77777777" w:rsidR="00F84D2D" w:rsidRPr="00E905D7" w:rsidRDefault="00F84D2D" w:rsidP="00D52DA9">
      <w:pPr>
        <w:rPr>
          <w:rFonts w:cs="Arial"/>
        </w:rPr>
      </w:pPr>
      <w:r w:rsidRPr="00E905D7">
        <w:rPr>
          <w:rFonts w:cs="Arial"/>
        </w:rPr>
        <w:t xml:space="preserve">Hardcastle, J. L., (2020). </w:t>
      </w:r>
      <w:r w:rsidRPr="00E905D7">
        <w:rPr>
          <w:rFonts w:cs="Arial"/>
          <w:i/>
        </w:rPr>
        <w:t xml:space="preserve">Google Takes Aim at AWS </w:t>
      </w:r>
      <w:proofErr w:type="gramStart"/>
      <w:r w:rsidRPr="00E905D7">
        <w:rPr>
          <w:rFonts w:cs="Arial"/>
          <w:i/>
        </w:rPr>
        <w:t>With</w:t>
      </w:r>
      <w:proofErr w:type="gramEnd"/>
      <w:r w:rsidRPr="00E905D7">
        <w:rPr>
          <w:rFonts w:cs="Arial"/>
          <w:i/>
        </w:rPr>
        <w:t xml:space="preserve"> VMware </w:t>
      </w:r>
      <w:proofErr w:type="spellStart"/>
      <w:r w:rsidRPr="00E905D7">
        <w:rPr>
          <w:rFonts w:cs="Arial"/>
          <w:i/>
        </w:rPr>
        <w:t>Engine.</w:t>
      </w:r>
      <w:r w:rsidRPr="00E905D7">
        <w:rPr>
          <w:rFonts w:cs="Arial"/>
        </w:rPr>
        <w:t>Available</w:t>
      </w:r>
      <w:proofErr w:type="spellEnd"/>
      <w:r w:rsidRPr="00E905D7">
        <w:rPr>
          <w:rFonts w:cs="Arial"/>
        </w:rPr>
        <w:t xml:space="preserve"> at: https://www.sdxcentral.com/articles/news/google-takes-aim-at-aws-with-vmware-engine/2020/05/ (Accessed: 21 November 2020)</w:t>
      </w:r>
    </w:p>
    <w:p w14:paraId="7D000809" w14:textId="77777777" w:rsidR="00F84D2D" w:rsidRPr="00E905D7" w:rsidRDefault="00F84D2D" w:rsidP="00F84D2D">
      <w:pPr>
        <w:rPr>
          <w:rFonts w:cs="Arial"/>
        </w:rPr>
      </w:pPr>
      <w:r w:rsidRPr="00E905D7">
        <w:rPr>
          <w:rFonts w:cs="Arial"/>
        </w:rPr>
        <w:t xml:space="preserve">Heath, N. and </w:t>
      </w:r>
      <w:proofErr w:type="spellStart"/>
      <w:r w:rsidRPr="00E905D7">
        <w:rPr>
          <w:rFonts w:cs="Arial"/>
        </w:rPr>
        <w:t>Leprince-Ringuet</w:t>
      </w:r>
      <w:proofErr w:type="spellEnd"/>
      <w:r w:rsidRPr="00E905D7">
        <w:rPr>
          <w:rFonts w:cs="Arial"/>
        </w:rPr>
        <w:t xml:space="preserve">, D., </w:t>
      </w:r>
      <w:r w:rsidR="00E905D7" w:rsidRPr="00E905D7">
        <w:rPr>
          <w:rFonts w:cs="Arial"/>
        </w:rPr>
        <w:t>(</w:t>
      </w:r>
      <w:r w:rsidRPr="00E905D7">
        <w:rPr>
          <w:rFonts w:cs="Arial"/>
        </w:rPr>
        <w:t>2020</w:t>
      </w:r>
      <w:r w:rsidR="00E905D7" w:rsidRPr="00E905D7">
        <w:rPr>
          <w:rFonts w:cs="Arial"/>
        </w:rPr>
        <w:t>)</w:t>
      </w:r>
      <w:r w:rsidRPr="00E905D7">
        <w:rPr>
          <w:rFonts w:cs="Arial"/>
        </w:rPr>
        <w:t>. </w:t>
      </w:r>
      <w:r w:rsidRPr="00E905D7">
        <w:rPr>
          <w:rFonts w:cs="Arial"/>
          <w:i/>
          <w:iCs/>
        </w:rPr>
        <w:t xml:space="preserve">Brexit And Its Impact </w:t>
      </w:r>
      <w:proofErr w:type="gramStart"/>
      <w:r w:rsidRPr="00E905D7">
        <w:rPr>
          <w:rFonts w:cs="Arial"/>
          <w:i/>
          <w:iCs/>
        </w:rPr>
        <w:t>On</w:t>
      </w:r>
      <w:proofErr w:type="gramEnd"/>
      <w:r w:rsidRPr="00E905D7">
        <w:rPr>
          <w:rFonts w:cs="Arial"/>
          <w:i/>
          <w:iCs/>
        </w:rPr>
        <w:t xml:space="preserve"> Tech Jobs And Companies: A Cheat Sheet</w:t>
      </w:r>
      <w:r w:rsidRPr="00E905D7">
        <w:rPr>
          <w:rFonts w:cs="Arial"/>
        </w:rPr>
        <w:t>. [online] TechRepublic. Available at: &lt;https://www.techrepublic.com/article/brexit-a-cheat-sheet/&gt; [Accessed 24 November 2020].</w:t>
      </w:r>
    </w:p>
    <w:p w14:paraId="054135C9" w14:textId="77777777" w:rsidR="00F84D2D" w:rsidRPr="00E905D7" w:rsidRDefault="00F84D2D" w:rsidP="003544CC">
      <w:pPr>
        <w:rPr>
          <w:rFonts w:cs="Arial"/>
          <w:sz w:val="24"/>
        </w:rPr>
      </w:pPr>
      <w:proofErr w:type="spellStart"/>
      <w:r w:rsidRPr="00E905D7">
        <w:rPr>
          <w:rFonts w:cs="Arial"/>
          <w:color w:val="222222"/>
          <w:shd w:val="clear" w:color="auto" w:fill="FFFFFF"/>
        </w:rPr>
        <w:t>Hejjas</w:t>
      </w:r>
      <w:proofErr w:type="spellEnd"/>
      <w:r w:rsidRPr="00E905D7">
        <w:rPr>
          <w:rFonts w:cs="Arial"/>
          <w:color w:val="222222"/>
          <w:shd w:val="clear" w:color="auto" w:fill="FFFFFF"/>
        </w:rPr>
        <w:t xml:space="preserve">, K., Miller, G. and </w:t>
      </w:r>
      <w:proofErr w:type="spellStart"/>
      <w:r w:rsidRPr="00E905D7">
        <w:rPr>
          <w:rFonts w:cs="Arial"/>
          <w:color w:val="222222"/>
          <w:shd w:val="clear" w:color="auto" w:fill="FFFFFF"/>
        </w:rPr>
        <w:t>Scarles</w:t>
      </w:r>
      <w:proofErr w:type="spellEnd"/>
      <w:r w:rsidRPr="00E905D7">
        <w:rPr>
          <w:rFonts w:cs="Arial"/>
          <w:color w:val="222222"/>
          <w:shd w:val="clear" w:color="auto" w:fill="FFFFFF"/>
        </w:rPr>
        <w:t>, C. (2019) “It’s like hating puppies!” Employee disengagement and corporate social responsibility. </w:t>
      </w:r>
      <w:r w:rsidRPr="00E905D7">
        <w:rPr>
          <w:rFonts w:cs="Arial"/>
          <w:i/>
          <w:iCs/>
          <w:color w:val="222222"/>
          <w:shd w:val="clear" w:color="auto" w:fill="FFFFFF"/>
        </w:rPr>
        <w:t>Journal of Business Ethics</w:t>
      </w:r>
      <w:r w:rsidRPr="00E905D7">
        <w:rPr>
          <w:rFonts w:cs="Arial"/>
          <w:color w:val="222222"/>
          <w:shd w:val="clear" w:color="auto" w:fill="FFFFFF"/>
        </w:rPr>
        <w:t>, </w:t>
      </w:r>
      <w:r w:rsidRPr="00E905D7">
        <w:rPr>
          <w:rFonts w:cs="Arial"/>
          <w:i/>
          <w:iCs/>
          <w:color w:val="222222"/>
          <w:shd w:val="clear" w:color="auto" w:fill="FFFFFF"/>
        </w:rPr>
        <w:t>157</w:t>
      </w:r>
      <w:r w:rsidRPr="00E905D7">
        <w:rPr>
          <w:rFonts w:cs="Arial"/>
          <w:color w:val="222222"/>
          <w:shd w:val="clear" w:color="auto" w:fill="FFFFFF"/>
        </w:rPr>
        <w:t>(2), pp.319-337.</w:t>
      </w:r>
    </w:p>
    <w:p w14:paraId="31B924E1" w14:textId="77777777" w:rsidR="00F84D2D" w:rsidRPr="00E905D7" w:rsidRDefault="00F84D2D" w:rsidP="003544CC">
      <w:pPr>
        <w:rPr>
          <w:rFonts w:cs="Arial"/>
        </w:rPr>
      </w:pPr>
      <w:r w:rsidRPr="00E905D7">
        <w:rPr>
          <w:rFonts w:cs="Arial"/>
          <w:color w:val="222222"/>
          <w:shd w:val="clear" w:color="auto" w:fill="FFFFFF"/>
        </w:rPr>
        <w:t>Jeanes, E. (</w:t>
      </w:r>
      <w:proofErr w:type="gramStart"/>
      <w:r w:rsidRPr="00E905D7">
        <w:rPr>
          <w:rFonts w:cs="Arial"/>
          <w:color w:val="222222"/>
          <w:shd w:val="clear" w:color="auto" w:fill="FFFFFF"/>
        </w:rPr>
        <w:t>2017)Are</w:t>
      </w:r>
      <w:proofErr w:type="gramEnd"/>
      <w:r w:rsidRPr="00E905D7">
        <w:rPr>
          <w:rFonts w:cs="Arial"/>
          <w:color w:val="222222"/>
          <w:shd w:val="clear" w:color="auto" w:fill="FFFFFF"/>
        </w:rPr>
        <w:t xml:space="preserve"> we ethical? Approaches to ethics in management and organisation research. </w:t>
      </w:r>
      <w:r w:rsidRPr="00E905D7">
        <w:rPr>
          <w:rFonts w:cs="Arial"/>
          <w:i/>
          <w:iCs/>
          <w:color w:val="222222"/>
          <w:shd w:val="clear" w:color="auto" w:fill="FFFFFF"/>
        </w:rPr>
        <w:t>Organization</w:t>
      </w:r>
      <w:r w:rsidRPr="00E905D7">
        <w:rPr>
          <w:rFonts w:cs="Arial"/>
          <w:color w:val="222222"/>
          <w:shd w:val="clear" w:color="auto" w:fill="FFFFFF"/>
        </w:rPr>
        <w:t>, </w:t>
      </w:r>
      <w:r w:rsidRPr="00E905D7">
        <w:rPr>
          <w:rFonts w:cs="Arial"/>
          <w:i/>
          <w:iCs/>
          <w:color w:val="222222"/>
          <w:shd w:val="clear" w:color="auto" w:fill="FFFFFF"/>
        </w:rPr>
        <w:t>24</w:t>
      </w:r>
      <w:r w:rsidRPr="00E905D7">
        <w:rPr>
          <w:rFonts w:cs="Arial"/>
          <w:color w:val="222222"/>
          <w:shd w:val="clear" w:color="auto" w:fill="FFFFFF"/>
        </w:rPr>
        <w:t>(2), pp.174-197.</w:t>
      </w:r>
    </w:p>
    <w:p w14:paraId="26C8A2CF" w14:textId="77777777" w:rsidR="00F84D2D" w:rsidRPr="00E905D7" w:rsidRDefault="00F84D2D" w:rsidP="00F84D2D">
      <w:pPr>
        <w:rPr>
          <w:rFonts w:cs="Arial"/>
        </w:rPr>
      </w:pPr>
      <w:r w:rsidRPr="00E905D7">
        <w:rPr>
          <w:rFonts w:cs="Arial"/>
        </w:rPr>
        <w:t xml:space="preserve">Johnson, J., </w:t>
      </w:r>
      <w:r w:rsidR="00E905D7" w:rsidRPr="00E905D7">
        <w:rPr>
          <w:rFonts w:cs="Arial"/>
        </w:rPr>
        <w:t>(</w:t>
      </w:r>
      <w:r w:rsidRPr="00E905D7">
        <w:rPr>
          <w:rFonts w:cs="Arial"/>
        </w:rPr>
        <w:t>2020</w:t>
      </w:r>
      <w:r w:rsidR="00E905D7" w:rsidRPr="00E905D7">
        <w:rPr>
          <w:rFonts w:cs="Arial"/>
        </w:rPr>
        <w:t>)</w:t>
      </w:r>
      <w:r w:rsidRPr="00E905D7">
        <w:rPr>
          <w:rFonts w:cs="Arial"/>
        </w:rPr>
        <w:t>. </w:t>
      </w:r>
      <w:r w:rsidRPr="00E905D7">
        <w:rPr>
          <w:rFonts w:cs="Arial"/>
          <w:i/>
          <w:iCs/>
        </w:rPr>
        <w:t xml:space="preserve">Topic: Internet Usage </w:t>
      </w:r>
      <w:proofErr w:type="gramStart"/>
      <w:r w:rsidRPr="00E905D7">
        <w:rPr>
          <w:rFonts w:cs="Arial"/>
          <w:i/>
          <w:iCs/>
        </w:rPr>
        <w:t>In</w:t>
      </w:r>
      <w:proofErr w:type="gramEnd"/>
      <w:r w:rsidRPr="00E905D7">
        <w:rPr>
          <w:rFonts w:cs="Arial"/>
          <w:i/>
          <w:iCs/>
        </w:rPr>
        <w:t xml:space="preserve"> The UK</w:t>
      </w:r>
      <w:r w:rsidRPr="00E905D7">
        <w:rPr>
          <w:rFonts w:cs="Arial"/>
        </w:rPr>
        <w:t>. [online] Statista. Available at: &lt;https://www.statista.com/topics/3246/interne</w:t>
      </w:r>
      <w:r w:rsidR="003C301E">
        <w:rPr>
          <w:rFonts w:cs="Arial"/>
        </w:rPr>
        <w:t>t-usage-in-the-uk/&gt; [Accessed 25</w:t>
      </w:r>
      <w:r w:rsidRPr="00E905D7">
        <w:rPr>
          <w:rFonts w:cs="Arial"/>
        </w:rPr>
        <w:t xml:space="preserve"> November 2020].</w:t>
      </w:r>
    </w:p>
    <w:p w14:paraId="7A1A9538" w14:textId="77777777" w:rsidR="00F84D2D" w:rsidRPr="00E905D7" w:rsidRDefault="00F84D2D" w:rsidP="003544CC">
      <w:pPr>
        <w:rPr>
          <w:rFonts w:cs="Arial"/>
          <w:sz w:val="24"/>
        </w:rPr>
      </w:pPr>
      <w:r w:rsidRPr="00E905D7">
        <w:rPr>
          <w:rFonts w:cs="Arial"/>
          <w:color w:val="222222"/>
          <w:shd w:val="clear" w:color="auto" w:fill="FFFFFF"/>
        </w:rPr>
        <w:t xml:space="preserve">Lee, Y., Howe, M. and </w:t>
      </w:r>
      <w:proofErr w:type="spellStart"/>
      <w:r w:rsidRPr="00E905D7">
        <w:rPr>
          <w:rFonts w:cs="Arial"/>
          <w:color w:val="222222"/>
          <w:shd w:val="clear" w:color="auto" w:fill="FFFFFF"/>
        </w:rPr>
        <w:t>Kreiser</w:t>
      </w:r>
      <w:proofErr w:type="spellEnd"/>
      <w:r w:rsidRPr="00E905D7">
        <w:rPr>
          <w:rFonts w:cs="Arial"/>
          <w:color w:val="222222"/>
          <w:shd w:val="clear" w:color="auto" w:fill="FFFFFF"/>
        </w:rPr>
        <w:t>, P.M. (2019) Organisational culture and entrepreneurial orientation: An orthogonal perspective of individualism and collectivism. </w:t>
      </w:r>
      <w:r w:rsidRPr="00E905D7">
        <w:rPr>
          <w:rFonts w:cs="Arial"/>
          <w:i/>
          <w:iCs/>
          <w:color w:val="222222"/>
          <w:shd w:val="clear" w:color="auto" w:fill="FFFFFF"/>
        </w:rPr>
        <w:t>International Small Business Journal</w:t>
      </w:r>
      <w:r w:rsidRPr="00E905D7">
        <w:rPr>
          <w:rFonts w:cs="Arial"/>
          <w:color w:val="222222"/>
          <w:shd w:val="clear" w:color="auto" w:fill="FFFFFF"/>
        </w:rPr>
        <w:t>, </w:t>
      </w:r>
      <w:r w:rsidRPr="00E905D7">
        <w:rPr>
          <w:rFonts w:cs="Arial"/>
          <w:i/>
          <w:iCs/>
          <w:color w:val="222222"/>
          <w:shd w:val="clear" w:color="auto" w:fill="FFFFFF"/>
        </w:rPr>
        <w:t>37</w:t>
      </w:r>
      <w:r w:rsidRPr="00E905D7">
        <w:rPr>
          <w:rFonts w:cs="Arial"/>
          <w:color w:val="222222"/>
          <w:shd w:val="clear" w:color="auto" w:fill="FFFFFF"/>
        </w:rPr>
        <w:t>(2), pp.125-152.</w:t>
      </w:r>
    </w:p>
    <w:p w14:paraId="68DB841F" w14:textId="77777777" w:rsidR="00F84D2D" w:rsidRPr="00E905D7" w:rsidRDefault="00F84D2D" w:rsidP="00F84D2D">
      <w:pPr>
        <w:rPr>
          <w:rFonts w:cs="Arial"/>
        </w:rPr>
      </w:pPr>
      <w:r w:rsidRPr="00E905D7">
        <w:rPr>
          <w:rFonts w:cs="Arial"/>
        </w:rPr>
        <w:t>Legislation.gov.uk. 2020. </w:t>
      </w:r>
      <w:r w:rsidRPr="00E905D7">
        <w:rPr>
          <w:rFonts w:cs="Arial"/>
          <w:i/>
          <w:iCs/>
        </w:rPr>
        <w:t>Equality Act 2010</w:t>
      </w:r>
      <w:r w:rsidRPr="00E905D7">
        <w:rPr>
          <w:rFonts w:cs="Arial"/>
        </w:rPr>
        <w:t>. [online] Available at: &lt;https://www.legislation.gov.uk/ukpga/2010/15/contents&gt; [Accessed 24 November 2020].</w:t>
      </w:r>
    </w:p>
    <w:p w14:paraId="48687FFD" w14:textId="77777777" w:rsidR="00F84D2D" w:rsidRPr="00E905D7" w:rsidRDefault="00F84D2D" w:rsidP="00D52DA9">
      <w:pPr>
        <w:rPr>
          <w:rFonts w:cs="Arial"/>
        </w:rPr>
      </w:pPr>
      <w:r w:rsidRPr="00E905D7">
        <w:rPr>
          <w:rFonts w:cs="Arial"/>
        </w:rPr>
        <w:t>Li, Y., Zhang, Q., Liu, B., McLellan, B., Gao, Y. and Tang, Y., (2018). ‘Substitution effect of new-energy vehicle credit program and corporate average fuel consumption regulation for green-car subsidy’. </w:t>
      </w:r>
      <w:r w:rsidRPr="00E905D7">
        <w:rPr>
          <w:rFonts w:cs="Arial"/>
          <w:i/>
          <w:iCs/>
        </w:rPr>
        <w:t>Energy</w:t>
      </w:r>
      <w:r w:rsidRPr="00E905D7">
        <w:rPr>
          <w:rFonts w:cs="Arial"/>
        </w:rPr>
        <w:t>, </w:t>
      </w:r>
      <w:r w:rsidRPr="00E905D7">
        <w:rPr>
          <w:rFonts w:cs="Arial"/>
          <w:i/>
          <w:iCs/>
        </w:rPr>
        <w:t>152</w:t>
      </w:r>
      <w:r w:rsidRPr="00E905D7">
        <w:rPr>
          <w:rFonts w:cs="Arial"/>
        </w:rPr>
        <w:t>, pp.223-236.</w:t>
      </w:r>
    </w:p>
    <w:p w14:paraId="6C02E7DF" w14:textId="77777777" w:rsidR="00F84D2D" w:rsidRPr="00E905D7" w:rsidRDefault="00F84D2D" w:rsidP="00D52DA9">
      <w:pPr>
        <w:rPr>
          <w:rFonts w:cs="Arial"/>
        </w:rPr>
      </w:pPr>
      <w:r w:rsidRPr="00E905D7">
        <w:rPr>
          <w:rFonts w:cs="Arial"/>
        </w:rPr>
        <w:t xml:space="preserve">Liu, S., (2020). </w:t>
      </w:r>
      <w:r w:rsidRPr="00E905D7">
        <w:rPr>
          <w:rFonts w:cs="Arial"/>
          <w:i/>
        </w:rPr>
        <w:t>Microsoft - Statistics &amp;</w:t>
      </w:r>
      <w:proofErr w:type="spellStart"/>
      <w:r w:rsidRPr="00E905D7">
        <w:rPr>
          <w:rFonts w:cs="Arial"/>
          <w:i/>
        </w:rPr>
        <w:t>Facts.</w:t>
      </w:r>
      <w:r w:rsidRPr="00E905D7">
        <w:rPr>
          <w:rFonts w:cs="Arial"/>
        </w:rPr>
        <w:t>Available</w:t>
      </w:r>
      <w:proofErr w:type="spellEnd"/>
      <w:r w:rsidRPr="00E905D7">
        <w:rPr>
          <w:rFonts w:cs="Arial"/>
        </w:rPr>
        <w:t xml:space="preserve"> at: https://www.statista.com/topics/823/microsoft/ (Accessed: 21 November 2020)</w:t>
      </w:r>
    </w:p>
    <w:p w14:paraId="4686437B" w14:textId="77777777" w:rsidR="00F84D2D" w:rsidRPr="00E905D7" w:rsidRDefault="00F84D2D" w:rsidP="00D52DA9">
      <w:pPr>
        <w:rPr>
          <w:rFonts w:cs="Arial"/>
        </w:rPr>
      </w:pPr>
      <w:r w:rsidRPr="00E905D7">
        <w:rPr>
          <w:rFonts w:cs="Arial"/>
        </w:rPr>
        <w:lastRenderedPageBreak/>
        <w:t xml:space="preserve">Liu, S., (2020). </w:t>
      </w:r>
      <w:r w:rsidRPr="00E905D7">
        <w:rPr>
          <w:rFonts w:cs="Arial"/>
          <w:i/>
        </w:rPr>
        <w:t>Number of Microsoft employees 2005-2020.</w:t>
      </w:r>
      <w:r w:rsidRPr="00E905D7">
        <w:rPr>
          <w:rFonts w:cs="Arial"/>
        </w:rPr>
        <w:t>Available at: https://www.statista.com/statistics/273475/number-of-employees-at-the-microsoft-corporation-since-2005/#:~:text=The%20American%20technology%20company%20Microsoft,home%20country%20the%</w:t>
      </w:r>
      <w:r w:rsidR="003C301E">
        <w:rPr>
          <w:rFonts w:cs="Arial"/>
        </w:rPr>
        <w:t>20United%20States. (Accessed: 20</w:t>
      </w:r>
      <w:r w:rsidRPr="00E905D7">
        <w:rPr>
          <w:rFonts w:cs="Arial"/>
        </w:rPr>
        <w:t xml:space="preserve"> November 2020)</w:t>
      </w:r>
    </w:p>
    <w:p w14:paraId="27D7AE0F" w14:textId="77777777" w:rsidR="00F84D2D" w:rsidRPr="00E905D7" w:rsidRDefault="00F84D2D" w:rsidP="003544CC">
      <w:pPr>
        <w:rPr>
          <w:rFonts w:cs="Arial"/>
          <w:color w:val="000000"/>
          <w:shd w:val="clear" w:color="auto" w:fill="FFFFFF"/>
        </w:rPr>
      </w:pPr>
      <w:r w:rsidRPr="00E905D7">
        <w:rPr>
          <w:rFonts w:cs="Arial"/>
          <w:color w:val="000000"/>
          <w:shd w:val="clear" w:color="auto" w:fill="FFFFFF"/>
        </w:rPr>
        <w:t>Lombardo, J. (2017) </w:t>
      </w:r>
      <w:r w:rsidRPr="00E905D7">
        <w:rPr>
          <w:rFonts w:cs="Arial"/>
          <w:i/>
          <w:iCs/>
          <w:color w:val="000000"/>
          <w:shd w:val="clear" w:color="auto" w:fill="FFFFFF"/>
        </w:rPr>
        <w:t xml:space="preserve">Microsoft </w:t>
      </w:r>
      <w:proofErr w:type="spellStart"/>
      <w:r w:rsidRPr="00E905D7">
        <w:rPr>
          <w:rFonts w:cs="Arial"/>
          <w:i/>
          <w:iCs/>
          <w:color w:val="000000"/>
          <w:shd w:val="clear" w:color="auto" w:fill="FFFFFF"/>
        </w:rPr>
        <w:t>Corporation’S</w:t>
      </w:r>
      <w:proofErr w:type="spellEnd"/>
      <w:r w:rsidRPr="00E905D7">
        <w:rPr>
          <w:rFonts w:cs="Arial"/>
          <w:i/>
          <w:iCs/>
          <w:color w:val="000000"/>
          <w:shd w:val="clear" w:color="auto" w:fill="FFFFFF"/>
        </w:rPr>
        <w:t xml:space="preserve"> Organizational Culture &amp; Its Characteristics (An Analysis) - </w:t>
      </w:r>
      <w:proofErr w:type="spellStart"/>
      <w:r w:rsidRPr="00E905D7">
        <w:rPr>
          <w:rFonts w:cs="Arial"/>
          <w:i/>
          <w:iCs/>
          <w:color w:val="000000"/>
          <w:shd w:val="clear" w:color="auto" w:fill="FFFFFF"/>
        </w:rPr>
        <w:t>Panmore</w:t>
      </w:r>
      <w:proofErr w:type="spellEnd"/>
      <w:r w:rsidRPr="00E905D7">
        <w:rPr>
          <w:rFonts w:cs="Arial"/>
          <w:i/>
          <w:iCs/>
          <w:color w:val="000000"/>
          <w:shd w:val="clear" w:color="auto" w:fill="FFFFFF"/>
        </w:rPr>
        <w:t xml:space="preserve"> Institute</w:t>
      </w:r>
      <w:r w:rsidRPr="00E905D7">
        <w:rPr>
          <w:rFonts w:cs="Arial"/>
          <w:color w:val="000000"/>
          <w:shd w:val="clear" w:color="auto" w:fill="FFFFFF"/>
        </w:rPr>
        <w:t xml:space="preserve">. [online] </w:t>
      </w:r>
      <w:proofErr w:type="spellStart"/>
      <w:r w:rsidRPr="00E905D7">
        <w:rPr>
          <w:rFonts w:cs="Arial"/>
          <w:color w:val="000000"/>
          <w:shd w:val="clear" w:color="auto" w:fill="FFFFFF"/>
        </w:rPr>
        <w:t>Panmore</w:t>
      </w:r>
      <w:proofErr w:type="spellEnd"/>
      <w:r w:rsidRPr="00E905D7">
        <w:rPr>
          <w:rFonts w:cs="Arial"/>
          <w:color w:val="000000"/>
          <w:shd w:val="clear" w:color="auto" w:fill="FFFFFF"/>
        </w:rPr>
        <w:t xml:space="preserve"> Institute. Available at: &lt;http://panmore.com/microsoft-corporation-organizational-culture-characteristics-analysis&gt; [Accessed 24 November 2020].</w:t>
      </w:r>
    </w:p>
    <w:p w14:paraId="183D5044" w14:textId="77777777" w:rsidR="00F84D2D" w:rsidRPr="00E905D7" w:rsidRDefault="00F84D2D" w:rsidP="00F84D2D">
      <w:pPr>
        <w:rPr>
          <w:rFonts w:cs="Arial"/>
        </w:rPr>
      </w:pPr>
      <w:proofErr w:type="spellStart"/>
      <w:r w:rsidRPr="00E905D7">
        <w:rPr>
          <w:rFonts w:cs="Arial"/>
        </w:rPr>
        <w:t>Mahy</w:t>
      </w:r>
      <w:proofErr w:type="spellEnd"/>
      <w:r w:rsidRPr="00E905D7">
        <w:rPr>
          <w:rFonts w:cs="Arial"/>
        </w:rPr>
        <w:t xml:space="preserve">, E., </w:t>
      </w:r>
      <w:r w:rsidR="00E905D7">
        <w:rPr>
          <w:rFonts w:cs="Arial"/>
        </w:rPr>
        <w:t>(</w:t>
      </w:r>
      <w:r w:rsidRPr="00E905D7">
        <w:rPr>
          <w:rFonts w:cs="Arial"/>
        </w:rPr>
        <w:t>2020</w:t>
      </w:r>
      <w:r w:rsidR="00E905D7">
        <w:rPr>
          <w:rFonts w:cs="Arial"/>
        </w:rPr>
        <w:t>)</w:t>
      </w:r>
      <w:r w:rsidRPr="00E905D7">
        <w:rPr>
          <w:rFonts w:cs="Arial"/>
        </w:rPr>
        <w:t>. </w:t>
      </w:r>
      <w:r w:rsidRPr="00E905D7">
        <w:rPr>
          <w:rFonts w:cs="Arial"/>
          <w:i/>
          <w:iCs/>
        </w:rPr>
        <w:t xml:space="preserve">Can We Fix Our Way Out Of The Growing E-Waste </w:t>
      </w:r>
      <w:proofErr w:type="gramStart"/>
      <w:r w:rsidRPr="00E905D7">
        <w:rPr>
          <w:rFonts w:cs="Arial"/>
          <w:i/>
          <w:iCs/>
        </w:rPr>
        <w:t>Problem?</w:t>
      </w:r>
      <w:r w:rsidRPr="00E905D7">
        <w:rPr>
          <w:rFonts w:cs="Arial"/>
        </w:rPr>
        <w:t>.</w:t>
      </w:r>
      <w:proofErr w:type="gramEnd"/>
      <w:r w:rsidRPr="00E905D7">
        <w:rPr>
          <w:rFonts w:cs="Arial"/>
        </w:rPr>
        <w:t xml:space="preserve"> [online] BBC News. Available at: &lt;https://www.bbc.com/news/business-51385344&gt; [Accessed 24 November 2020].</w:t>
      </w:r>
    </w:p>
    <w:p w14:paraId="033CF9E1" w14:textId="77777777" w:rsidR="00F84D2D" w:rsidRPr="00E905D7" w:rsidRDefault="00F84D2D" w:rsidP="00D52DA9">
      <w:pPr>
        <w:rPr>
          <w:rFonts w:cs="Arial"/>
        </w:rPr>
      </w:pPr>
      <w:proofErr w:type="spellStart"/>
      <w:r w:rsidRPr="00E905D7">
        <w:rPr>
          <w:rFonts w:cs="Arial"/>
        </w:rPr>
        <w:t>Mehjabeen</w:t>
      </w:r>
      <w:proofErr w:type="spellEnd"/>
      <w:r w:rsidRPr="00E905D7">
        <w:rPr>
          <w:rFonts w:cs="Arial"/>
        </w:rPr>
        <w:t>, L., (2018). ‘Assessing Attractiveness of Banking Industry of Bangladesh by Applying Porter’s 5 Forces Model’. </w:t>
      </w:r>
      <w:r w:rsidRPr="00E905D7">
        <w:rPr>
          <w:rFonts w:cs="Arial"/>
          <w:i/>
          <w:iCs/>
        </w:rPr>
        <w:t>International Journal of Business and Management Future</w:t>
      </w:r>
      <w:r w:rsidRPr="00E905D7">
        <w:rPr>
          <w:rFonts w:cs="Arial"/>
        </w:rPr>
        <w:t>, </w:t>
      </w:r>
      <w:r w:rsidRPr="00E905D7">
        <w:rPr>
          <w:rFonts w:cs="Arial"/>
          <w:i/>
          <w:iCs/>
        </w:rPr>
        <w:t>2</w:t>
      </w:r>
      <w:r w:rsidRPr="00E905D7">
        <w:rPr>
          <w:rFonts w:cs="Arial"/>
        </w:rPr>
        <w:t>(1), pp.55-62.</w:t>
      </w:r>
    </w:p>
    <w:p w14:paraId="554AD08E" w14:textId="77777777" w:rsidR="00F84D2D" w:rsidRPr="00E905D7" w:rsidRDefault="00F84D2D" w:rsidP="00F84D2D">
      <w:pPr>
        <w:rPr>
          <w:rFonts w:cs="Arial"/>
        </w:rPr>
      </w:pPr>
      <w:r w:rsidRPr="00E905D7">
        <w:rPr>
          <w:rFonts w:cs="Arial"/>
        </w:rPr>
        <w:t xml:space="preserve">Michael, K. and Abbas, R., </w:t>
      </w:r>
      <w:r w:rsidR="00E905D7">
        <w:rPr>
          <w:rFonts w:cs="Arial"/>
        </w:rPr>
        <w:t>(</w:t>
      </w:r>
      <w:r w:rsidRPr="00E905D7">
        <w:rPr>
          <w:rFonts w:cs="Arial"/>
        </w:rPr>
        <w:t>2020</w:t>
      </w:r>
      <w:r w:rsidR="00E905D7">
        <w:rPr>
          <w:rFonts w:cs="Arial"/>
        </w:rPr>
        <w:t>)</w:t>
      </w:r>
      <w:r w:rsidRPr="00E905D7">
        <w:rPr>
          <w:rFonts w:cs="Arial"/>
        </w:rPr>
        <w:t>. Behind COVID-19 contact trace apps: the Google–Apple partnership. </w:t>
      </w:r>
      <w:r w:rsidRPr="00E905D7">
        <w:rPr>
          <w:rFonts w:cs="Arial"/>
          <w:i/>
          <w:iCs/>
        </w:rPr>
        <w:t>IEEE Consumer Electronics Magazine</w:t>
      </w:r>
      <w:r w:rsidRPr="00E905D7">
        <w:rPr>
          <w:rFonts w:cs="Arial"/>
        </w:rPr>
        <w:t>, </w:t>
      </w:r>
      <w:r w:rsidRPr="00E905D7">
        <w:rPr>
          <w:rFonts w:cs="Arial"/>
          <w:i/>
          <w:iCs/>
        </w:rPr>
        <w:t>9</w:t>
      </w:r>
      <w:r w:rsidRPr="00E905D7">
        <w:rPr>
          <w:rFonts w:cs="Arial"/>
        </w:rPr>
        <w:t>(5), pp.71-76.</w:t>
      </w:r>
    </w:p>
    <w:p w14:paraId="322FAAAF" w14:textId="77777777" w:rsidR="00F84D2D" w:rsidRPr="00E905D7" w:rsidRDefault="00F84D2D" w:rsidP="003544CC">
      <w:pPr>
        <w:rPr>
          <w:rFonts w:cs="Arial"/>
          <w:color w:val="000000"/>
          <w:shd w:val="clear" w:color="auto" w:fill="FFFFFF"/>
        </w:rPr>
      </w:pPr>
      <w:r w:rsidRPr="00E905D7">
        <w:rPr>
          <w:rFonts w:cs="Arial"/>
          <w:color w:val="000000"/>
          <w:shd w:val="clear" w:color="auto" w:fill="FFFFFF"/>
        </w:rPr>
        <w:t>Microsoft (2020) </w:t>
      </w:r>
      <w:r w:rsidRPr="00E905D7">
        <w:rPr>
          <w:rFonts w:cs="Arial"/>
          <w:i/>
          <w:iCs/>
          <w:color w:val="000000"/>
          <w:shd w:val="clear" w:color="auto" w:fill="FFFFFF"/>
        </w:rPr>
        <w:t>About - Values</w:t>
      </w:r>
      <w:r w:rsidRPr="00E905D7">
        <w:rPr>
          <w:rFonts w:cs="Arial"/>
          <w:color w:val="000000"/>
          <w:shd w:val="clear" w:color="auto" w:fill="FFFFFF"/>
        </w:rPr>
        <w:t>. [online] Available at: &lt;https://www.microsoft.com/en-us/about/values&gt; [Accessed 24 November 2020].</w:t>
      </w:r>
    </w:p>
    <w:p w14:paraId="69B3D6E9" w14:textId="77777777" w:rsidR="00F84D2D" w:rsidRPr="00E905D7" w:rsidRDefault="00F84D2D" w:rsidP="003544CC">
      <w:pPr>
        <w:rPr>
          <w:rFonts w:cs="Arial"/>
          <w:color w:val="000000"/>
          <w:shd w:val="clear" w:color="auto" w:fill="FFFFFF"/>
        </w:rPr>
      </w:pPr>
      <w:r w:rsidRPr="00E905D7">
        <w:rPr>
          <w:rFonts w:cs="Arial"/>
          <w:color w:val="000000"/>
          <w:shd w:val="clear" w:color="auto" w:fill="FFFFFF"/>
        </w:rPr>
        <w:t>Microsoft (2020) </w:t>
      </w:r>
      <w:r w:rsidRPr="00E905D7">
        <w:rPr>
          <w:rFonts w:cs="Arial"/>
          <w:i/>
          <w:iCs/>
          <w:color w:val="000000"/>
          <w:shd w:val="clear" w:color="auto" w:fill="FFFFFF"/>
        </w:rPr>
        <w:t>Corporate Social Responsibility Report – Microsoft CSR</w:t>
      </w:r>
      <w:r w:rsidRPr="00E905D7">
        <w:rPr>
          <w:rFonts w:cs="Arial"/>
          <w:color w:val="000000"/>
          <w:shd w:val="clear" w:color="auto" w:fill="FFFFFF"/>
        </w:rPr>
        <w:t>. [online] Available at: &lt;https://www.microsoft.com/en-us/corporate-responsibility/report&gt; [Accessed 24 November 2020].</w:t>
      </w:r>
    </w:p>
    <w:p w14:paraId="33489298" w14:textId="77777777" w:rsidR="00F84D2D" w:rsidRPr="00E905D7" w:rsidRDefault="00F84D2D" w:rsidP="003544CC">
      <w:pPr>
        <w:rPr>
          <w:rFonts w:cs="Arial"/>
          <w:color w:val="000000"/>
          <w:shd w:val="clear" w:color="auto" w:fill="FFFFFF"/>
        </w:rPr>
      </w:pPr>
      <w:r w:rsidRPr="00E905D7">
        <w:rPr>
          <w:rFonts w:cs="Arial"/>
          <w:color w:val="000000"/>
          <w:shd w:val="clear" w:color="auto" w:fill="FFFFFF"/>
        </w:rPr>
        <w:t>Microsoft (2020) </w:t>
      </w:r>
      <w:r w:rsidRPr="00E905D7">
        <w:rPr>
          <w:rFonts w:cs="Arial"/>
          <w:i/>
          <w:iCs/>
          <w:color w:val="000000"/>
          <w:shd w:val="clear" w:color="auto" w:fill="FFFFFF"/>
        </w:rPr>
        <w:t>Environmental Sustainability – Microsoft CSR</w:t>
      </w:r>
      <w:r w:rsidRPr="00E905D7">
        <w:rPr>
          <w:rFonts w:cs="Arial"/>
          <w:color w:val="000000"/>
          <w:shd w:val="clear" w:color="auto" w:fill="FFFFFF"/>
        </w:rPr>
        <w:t>. [online] Available at: &lt;https://www.microsoft.com/en-us/corporate-responsibility/sustainability&gt; [Accessed 24 November 2020].</w:t>
      </w:r>
    </w:p>
    <w:p w14:paraId="022CA4EB" w14:textId="77777777" w:rsidR="00F84D2D" w:rsidRPr="00E905D7" w:rsidRDefault="00F84D2D" w:rsidP="003544CC">
      <w:pPr>
        <w:rPr>
          <w:rFonts w:cs="Arial"/>
          <w:color w:val="000000"/>
          <w:shd w:val="clear" w:color="auto" w:fill="FFFFFF"/>
        </w:rPr>
      </w:pPr>
      <w:r w:rsidRPr="00E905D7">
        <w:rPr>
          <w:rFonts w:cs="Arial"/>
          <w:color w:val="000000"/>
          <w:shd w:val="clear" w:color="auto" w:fill="FFFFFF"/>
        </w:rPr>
        <w:t>Microsoft (2020) </w:t>
      </w:r>
      <w:r w:rsidRPr="00E905D7">
        <w:rPr>
          <w:rFonts w:cs="Arial"/>
          <w:i/>
          <w:iCs/>
          <w:color w:val="000000"/>
          <w:shd w:val="clear" w:color="auto" w:fill="FFFFFF"/>
        </w:rPr>
        <w:t xml:space="preserve">Microsoft Code </w:t>
      </w:r>
      <w:proofErr w:type="gramStart"/>
      <w:r w:rsidRPr="00E905D7">
        <w:rPr>
          <w:rFonts w:cs="Arial"/>
          <w:i/>
          <w:iCs/>
          <w:color w:val="000000"/>
          <w:shd w:val="clear" w:color="auto" w:fill="FFFFFF"/>
        </w:rPr>
        <w:t>Of</w:t>
      </w:r>
      <w:proofErr w:type="gramEnd"/>
      <w:r w:rsidRPr="00E905D7">
        <w:rPr>
          <w:rFonts w:cs="Arial"/>
          <w:i/>
          <w:iCs/>
          <w:color w:val="000000"/>
          <w:shd w:val="clear" w:color="auto" w:fill="FFFFFF"/>
        </w:rPr>
        <w:t xml:space="preserve"> Conduct | Ethics &amp; Compliance</w:t>
      </w:r>
      <w:r w:rsidRPr="00E905D7">
        <w:rPr>
          <w:rFonts w:cs="Arial"/>
          <w:color w:val="000000"/>
          <w:shd w:val="clear" w:color="auto" w:fill="FFFFFF"/>
        </w:rPr>
        <w:t>. [online] Available at: &lt;https://www.microsoft.com/en-us/legal/compliance/default.aspx&gt; [Accessed 24 November 2020].</w:t>
      </w:r>
    </w:p>
    <w:p w14:paraId="05BF7ABB" w14:textId="77777777" w:rsidR="00F84D2D" w:rsidRPr="00E905D7" w:rsidRDefault="00F84D2D" w:rsidP="003544CC">
      <w:pPr>
        <w:rPr>
          <w:rFonts w:cs="Arial"/>
          <w:color w:val="000000"/>
          <w:shd w:val="clear" w:color="auto" w:fill="FFFFFF"/>
        </w:rPr>
      </w:pPr>
      <w:r w:rsidRPr="00E905D7">
        <w:rPr>
          <w:rFonts w:cs="Arial"/>
          <w:color w:val="000000"/>
          <w:shd w:val="clear" w:color="auto" w:fill="FFFFFF"/>
        </w:rPr>
        <w:t>Microsoft (2020) </w:t>
      </w:r>
      <w:r w:rsidRPr="00E905D7">
        <w:rPr>
          <w:rFonts w:cs="Arial"/>
          <w:i/>
          <w:iCs/>
          <w:color w:val="000000"/>
          <w:shd w:val="clear" w:color="auto" w:fill="FFFFFF"/>
        </w:rPr>
        <w:t>Microsoft Corporate Social Responsibility - Microsoft CSR</w:t>
      </w:r>
      <w:r w:rsidRPr="00E905D7">
        <w:rPr>
          <w:rFonts w:cs="Arial"/>
          <w:color w:val="000000"/>
          <w:shd w:val="clear" w:color="auto" w:fill="FFFFFF"/>
        </w:rPr>
        <w:t>. [online] Available at: &lt;https://www.microsoft.com/en-us/corporate-responsibility&gt; [Accessed 24 November 2020].</w:t>
      </w:r>
    </w:p>
    <w:p w14:paraId="1DD4039F" w14:textId="77777777" w:rsidR="00F84D2D" w:rsidRPr="00E905D7" w:rsidRDefault="00F84D2D" w:rsidP="003544CC">
      <w:pPr>
        <w:rPr>
          <w:rFonts w:cs="Arial"/>
          <w:color w:val="000000"/>
          <w:shd w:val="clear" w:color="auto" w:fill="FFFFFF"/>
        </w:rPr>
      </w:pPr>
      <w:r w:rsidRPr="00E905D7">
        <w:rPr>
          <w:rFonts w:cs="Arial"/>
        </w:rPr>
        <w:lastRenderedPageBreak/>
        <w:t>Microsoft</w:t>
      </w:r>
      <w:r w:rsidRPr="00E905D7">
        <w:rPr>
          <w:rFonts w:cs="Arial"/>
          <w:color w:val="000000"/>
          <w:shd w:val="clear" w:color="auto" w:fill="FFFFFF"/>
        </w:rPr>
        <w:t xml:space="preserve"> (2020) </w:t>
      </w:r>
      <w:r w:rsidRPr="00E905D7">
        <w:rPr>
          <w:rFonts w:cs="Arial"/>
          <w:i/>
          <w:iCs/>
          <w:color w:val="000000"/>
          <w:shd w:val="clear" w:color="auto" w:fill="FFFFFF"/>
        </w:rPr>
        <w:t>Microsoft Sustainability</w:t>
      </w:r>
      <w:r w:rsidRPr="00E905D7">
        <w:rPr>
          <w:rFonts w:cs="Arial"/>
          <w:color w:val="000000"/>
          <w:shd w:val="clear" w:color="auto" w:fill="FFFFFF"/>
        </w:rPr>
        <w:t>. [online] Available at: &lt;https://www.microsoft.com/en-us/sustainability&gt; [Accessed 24 November 2020].</w:t>
      </w:r>
    </w:p>
    <w:p w14:paraId="699BB142" w14:textId="77777777" w:rsidR="00F84D2D" w:rsidRPr="00E905D7" w:rsidRDefault="00F84D2D" w:rsidP="00F84D2D">
      <w:pPr>
        <w:rPr>
          <w:rFonts w:cs="Arial"/>
        </w:rPr>
      </w:pPr>
      <w:r w:rsidRPr="00E905D7">
        <w:rPr>
          <w:rFonts w:cs="Arial"/>
        </w:rPr>
        <w:t xml:space="preserve">Microsoft.com. </w:t>
      </w:r>
      <w:r w:rsidR="001026F6">
        <w:rPr>
          <w:rFonts w:cs="Arial"/>
        </w:rPr>
        <w:t>(</w:t>
      </w:r>
      <w:r w:rsidRPr="00E905D7">
        <w:rPr>
          <w:rFonts w:cs="Arial"/>
        </w:rPr>
        <w:t>2020</w:t>
      </w:r>
      <w:r w:rsidR="001026F6">
        <w:rPr>
          <w:rFonts w:cs="Arial"/>
        </w:rPr>
        <w:t>)</w:t>
      </w:r>
      <w:r w:rsidRPr="00E905D7">
        <w:rPr>
          <w:rFonts w:cs="Arial"/>
        </w:rPr>
        <w:t>. </w:t>
      </w:r>
      <w:r w:rsidRPr="00E905D7">
        <w:rPr>
          <w:rFonts w:cs="Arial"/>
          <w:i/>
          <w:iCs/>
        </w:rPr>
        <w:t xml:space="preserve">Microsoft Supplier Program Requirements </w:t>
      </w:r>
      <w:proofErr w:type="gramStart"/>
      <w:r w:rsidRPr="00E905D7">
        <w:rPr>
          <w:rFonts w:cs="Arial"/>
          <w:i/>
          <w:iCs/>
        </w:rPr>
        <w:t>And</w:t>
      </w:r>
      <w:proofErr w:type="gramEnd"/>
      <w:r w:rsidRPr="00E905D7">
        <w:rPr>
          <w:rFonts w:cs="Arial"/>
          <w:i/>
          <w:iCs/>
        </w:rPr>
        <w:t xml:space="preserve"> Benefits | Microsoft Procurement</w:t>
      </w:r>
      <w:r w:rsidRPr="00E905D7">
        <w:rPr>
          <w:rFonts w:cs="Arial"/>
        </w:rPr>
        <w:t>. [online] Available at: &lt;https://www.microsoft.com/en-us/procurement/msp-overview.aspx?activetab=pivot1%3aprimaryr3&gt; [Accessed 24 November 2020].</w:t>
      </w:r>
    </w:p>
    <w:p w14:paraId="14EC1F03" w14:textId="77777777" w:rsidR="00F84D2D" w:rsidRPr="00E905D7" w:rsidRDefault="00F84D2D" w:rsidP="00F84D2D">
      <w:pPr>
        <w:rPr>
          <w:rFonts w:cs="Arial"/>
        </w:rPr>
      </w:pPr>
      <w:r w:rsidRPr="00E905D7">
        <w:rPr>
          <w:rFonts w:cs="Arial"/>
        </w:rPr>
        <w:t xml:space="preserve">Microsoft.com. </w:t>
      </w:r>
      <w:r w:rsidR="001026F6">
        <w:rPr>
          <w:rFonts w:cs="Arial"/>
        </w:rPr>
        <w:t>(</w:t>
      </w:r>
      <w:r w:rsidRPr="00E905D7">
        <w:rPr>
          <w:rFonts w:cs="Arial"/>
        </w:rPr>
        <w:t>2020</w:t>
      </w:r>
      <w:r w:rsidR="001026F6">
        <w:rPr>
          <w:rFonts w:cs="Arial"/>
        </w:rPr>
        <w:t>)</w:t>
      </w:r>
      <w:r w:rsidRPr="00E905D7">
        <w:rPr>
          <w:rFonts w:cs="Arial"/>
        </w:rPr>
        <w:t>. </w:t>
      </w:r>
      <w:r w:rsidRPr="00E905D7">
        <w:rPr>
          <w:rFonts w:cs="Arial"/>
          <w:i/>
          <w:iCs/>
        </w:rPr>
        <w:t>News - Microsoft Cloud Strength Fuels First Quarter Results - Stories</w:t>
      </w:r>
      <w:r w:rsidRPr="00E905D7">
        <w:rPr>
          <w:rFonts w:cs="Arial"/>
        </w:rPr>
        <w:t>. [online] Available at: &lt;https://news.microsoft.com/2020/10/27/microsoft-cloud-strength-fuels-first-quarter-results-2/&gt; [Accessed 24 November 2020].</w:t>
      </w:r>
    </w:p>
    <w:p w14:paraId="416E72C8" w14:textId="77777777" w:rsidR="00F84D2D" w:rsidRPr="00E905D7" w:rsidRDefault="00F84D2D" w:rsidP="00D52DA9">
      <w:pPr>
        <w:rPr>
          <w:rFonts w:cs="Arial"/>
          <w:color w:val="222222"/>
          <w:shd w:val="clear" w:color="auto" w:fill="FFFFFF"/>
        </w:rPr>
      </w:pPr>
      <w:proofErr w:type="spellStart"/>
      <w:r w:rsidRPr="00E905D7">
        <w:rPr>
          <w:rFonts w:cs="Arial"/>
          <w:color w:val="222222"/>
          <w:shd w:val="clear" w:color="auto" w:fill="FFFFFF"/>
        </w:rPr>
        <w:t>Mitonga</w:t>
      </w:r>
      <w:proofErr w:type="spellEnd"/>
      <w:r w:rsidRPr="00E905D7">
        <w:rPr>
          <w:rFonts w:cs="Arial"/>
          <w:color w:val="222222"/>
          <w:shd w:val="clear" w:color="auto" w:fill="FFFFFF"/>
        </w:rPr>
        <w:t xml:space="preserve">-Monga, J., </w:t>
      </w:r>
      <w:proofErr w:type="spellStart"/>
      <w:r w:rsidRPr="00E905D7">
        <w:rPr>
          <w:rFonts w:cs="Arial"/>
          <w:color w:val="222222"/>
          <w:shd w:val="clear" w:color="auto" w:fill="FFFFFF"/>
        </w:rPr>
        <w:t>Flotman</w:t>
      </w:r>
      <w:proofErr w:type="spellEnd"/>
      <w:r w:rsidRPr="00E905D7">
        <w:rPr>
          <w:rFonts w:cs="Arial"/>
          <w:color w:val="222222"/>
          <w:shd w:val="clear" w:color="auto" w:fill="FFFFFF"/>
        </w:rPr>
        <w:t xml:space="preserve">, A.P. and </w:t>
      </w:r>
      <w:proofErr w:type="spellStart"/>
      <w:r w:rsidRPr="00E905D7">
        <w:rPr>
          <w:rFonts w:cs="Arial"/>
          <w:color w:val="222222"/>
          <w:shd w:val="clear" w:color="auto" w:fill="FFFFFF"/>
        </w:rPr>
        <w:t>Cilliers</w:t>
      </w:r>
      <w:proofErr w:type="spellEnd"/>
      <w:r w:rsidRPr="00E905D7">
        <w:rPr>
          <w:rFonts w:cs="Arial"/>
          <w:color w:val="222222"/>
          <w:shd w:val="clear" w:color="auto" w:fill="FFFFFF"/>
        </w:rPr>
        <w:t>, F. (2016) Workplace ethics culture and work engagement: The mediating effect of ethical leadership in a developing world context. </w:t>
      </w:r>
      <w:r w:rsidRPr="00E905D7">
        <w:rPr>
          <w:rFonts w:cs="Arial"/>
          <w:i/>
          <w:iCs/>
          <w:color w:val="222222"/>
          <w:shd w:val="clear" w:color="auto" w:fill="FFFFFF"/>
        </w:rPr>
        <w:t>Journal of Psychology in Africa</w:t>
      </w:r>
      <w:r w:rsidRPr="00E905D7">
        <w:rPr>
          <w:rFonts w:cs="Arial"/>
          <w:color w:val="222222"/>
          <w:shd w:val="clear" w:color="auto" w:fill="FFFFFF"/>
        </w:rPr>
        <w:t>, </w:t>
      </w:r>
      <w:r w:rsidRPr="00E905D7">
        <w:rPr>
          <w:rFonts w:cs="Arial"/>
          <w:i/>
          <w:iCs/>
          <w:color w:val="222222"/>
          <w:shd w:val="clear" w:color="auto" w:fill="FFFFFF"/>
        </w:rPr>
        <w:t>26</w:t>
      </w:r>
      <w:r w:rsidRPr="00E905D7">
        <w:rPr>
          <w:rFonts w:cs="Arial"/>
          <w:color w:val="222222"/>
          <w:shd w:val="clear" w:color="auto" w:fill="FFFFFF"/>
        </w:rPr>
        <w:t>(4), pp.326-333.</w:t>
      </w:r>
    </w:p>
    <w:p w14:paraId="45364171" w14:textId="77777777" w:rsidR="00F84D2D" w:rsidRPr="00E905D7" w:rsidRDefault="00F84D2D" w:rsidP="00F84D2D">
      <w:pPr>
        <w:rPr>
          <w:rFonts w:cs="Arial"/>
        </w:rPr>
      </w:pPr>
      <w:r w:rsidRPr="00E905D7">
        <w:rPr>
          <w:rFonts w:cs="Arial"/>
        </w:rPr>
        <w:t xml:space="preserve">Mustoe, H., </w:t>
      </w:r>
      <w:r w:rsidR="001026F6">
        <w:rPr>
          <w:rFonts w:cs="Arial"/>
        </w:rPr>
        <w:t>(</w:t>
      </w:r>
      <w:r w:rsidRPr="00E905D7">
        <w:rPr>
          <w:rFonts w:cs="Arial"/>
        </w:rPr>
        <w:t>2019</w:t>
      </w:r>
      <w:r w:rsidR="001026F6">
        <w:rPr>
          <w:rFonts w:cs="Arial"/>
        </w:rPr>
        <w:t>)</w:t>
      </w:r>
      <w:r w:rsidRPr="00E905D7">
        <w:rPr>
          <w:rFonts w:cs="Arial"/>
        </w:rPr>
        <w:t>. </w:t>
      </w:r>
      <w:r w:rsidRPr="00E905D7">
        <w:rPr>
          <w:rFonts w:cs="Arial"/>
          <w:i/>
          <w:iCs/>
        </w:rPr>
        <w:t xml:space="preserve">How Does Brexit Affect The </w:t>
      </w:r>
      <w:proofErr w:type="gramStart"/>
      <w:r w:rsidRPr="00E905D7">
        <w:rPr>
          <w:rFonts w:cs="Arial"/>
          <w:i/>
          <w:iCs/>
        </w:rPr>
        <w:t>Pound?</w:t>
      </w:r>
      <w:r w:rsidRPr="00E905D7">
        <w:rPr>
          <w:rFonts w:cs="Arial"/>
        </w:rPr>
        <w:t>.</w:t>
      </w:r>
      <w:proofErr w:type="gramEnd"/>
      <w:r w:rsidRPr="00E905D7">
        <w:rPr>
          <w:rFonts w:cs="Arial"/>
        </w:rPr>
        <w:t xml:space="preserve"> [online] BBC News. Available at: &lt;https://www.bbc.com/news/business-46862790&gt; [Accessed 24 November 2020].</w:t>
      </w:r>
    </w:p>
    <w:p w14:paraId="4D795D46" w14:textId="77777777" w:rsidR="00F84D2D" w:rsidRPr="00E905D7" w:rsidRDefault="00F84D2D" w:rsidP="00D52DA9">
      <w:pPr>
        <w:rPr>
          <w:rFonts w:cs="Arial"/>
        </w:rPr>
      </w:pPr>
      <w:proofErr w:type="spellStart"/>
      <w:r w:rsidRPr="00E905D7">
        <w:rPr>
          <w:rFonts w:cs="Arial"/>
        </w:rPr>
        <w:t>Nandonde</w:t>
      </w:r>
      <w:proofErr w:type="spellEnd"/>
      <w:r w:rsidRPr="00E905D7">
        <w:rPr>
          <w:rFonts w:cs="Arial"/>
        </w:rPr>
        <w:t>, F.A., (2019). ‘A PESTLE analysis of international retailing in the East African Community’. </w:t>
      </w:r>
      <w:r w:rsidRPr="00E905D7">
        <w:rPr>
          <w:rFonts w:cs="Arial"/>
          <w:i/>
          <w:iCs/>
        </w:rPr>
        <w:t>Global Business and Organizational Excellence</w:t>
      </w:r>
      <w:r w:rsidRPr="00E905D7">
        <w:rPr>
          <w:rFonts w:cs="Arial"/>
        </w:rPr>
        <w:t>, </w:t>
      </w:r>
      <w:r w:rsidRPr="00E905D7">
        <w:rPr>
          <w:rFonts w:cs="Arial"/>
          <w:i/>
          <w:iCs/>
        </w:rPr>
        <w:t>38</w:t>
      </w:r>
      <w:r w:rsidRPr="00E905D7">
        <w:rPr>
          <w:rFonts w:cs="Arial"/>
        </w:rPr>
        <w:t>(4), pp.54-61.</w:t>
      </w:r>
    </w:p>
    <w:p w14:paraId="43FC1C5F" w14:textId="77777777" w:rsidR="00F84D2D" w:rsidRPr="00E905D7" w:rsidRDefault="00F84D2D" w:rsidP="00F84D2D">
      <w:pPr>
        <w:rPr>
          <w:rFonts w:cs="Arial"/>
        </w:rPr>
      </w:pPr>
      <w:r w:rsidRPr="00E905D7">
        <w:rPr>
          <w:rFonts w:cs="Arial"/>
        </w:rPr>
        <w:t xml:space="preserve">O'Dea, S., </w:t>
      </w:r>
      <w:r w:rsidR="001026F6">
        <w:rPr>
          <w:rFonts w:cs="Arial"/>
        </w:rPr>
        <w:t>(</w:t>
      </w:r>
      <w:r w:rsidRPr="00E905D7">
        <w:rPr>
          <w:rFonts w:cs="Arial"/>
        </w:rPr>
        <w:t>2020</w:t>
      </w:r>
      <w:r w:rsidR="001026F6">
        <w:rPr>
          <w:rFonts w:cs="Arial"/>
        </w:rPr>
        <w:t>)</w:t>
      </w:r>
      <w:r w:rsidRPr="00E905D7">
        <w:rPr>
          <w:rFonts w:cs="Arial"/>
        </w:rPr>
        <w:t>. </w:t>
      </w:r>
      <w:r w:rsidRPr="00E905D7">
        <w:rPr>
          <w:rFonts w:cs="Arial"/>
          <w:i/>
          <w:iCs/>
        </w:rPr>
        <w:t xml:space="preserve">Mobile OS: Market Share </w:t>
      </w:r>
      <w:proofErr w:type="gramStart"/>
      <w:r w:rsidRPr="00E905D7">
        <w:rPr>
          <w:rFonts w:cs="Arial"/>
          <w:i/>
          <w:iCs/>
        </w:rPr>
        <w:t>In</w:t>
      </w:r>
      <w:proofErr w:type="gramEnd"/>
      <w:r w:rsidRPr="00E905D7">
        <w:rPr>
          <w:rFonts w:cs="Arial"/>
          <w:i/>
          <w:iCs/>
        </w:rPr>
        <w:t xml:space="preserve"> The United Kingdom 2011-2020 | Statista</w:t>
      </w:r>
      <w:r w:rsidRPr="00E905D7">
        <w:rPr>
          <w:rFonts w:cs="Arial"/>
        </w:rPr>
        <w:t>. [online] Statista. Available at: &lt;https://www.statista.com/statistics/262179/market-share-held-by-mobile-operating-systems-in-the-united-kingdom/#:~:text=Read%20more-,Mobile%20OS%3A%20market%20share%20in%20the,Kingdom%20(UK)%202011%2D2020&amp;text=June%202020%20saw%20Android%20and,46.53%20and%2053.24%20percent%20respectively.&gt; [Accessed 24 November 2020].</w:t>
      </w:r>
    </w:p>
    <w:p w14:paraId="39D94F77" w14:textId="77777777" w:rsidR="00F84D2D" w:rsidRPr="00E905D7" w:rsidRDefault="00F84D2D" w:rsidP="00D52DA9">
      <w:pPr>
        <w:rPr>
          <w:rFonts w:cs="Arial"/>
        </w:rPr>
      </w:pPr>
      <w:proofErr w:type="spellStart"/>
      <w:r w:rsidRPr="00E905D7">
        <w:rPr>
          <w:rFonts w:cs="Arial"/>
        </w:rPr>
        <w:t>Perera</w:t>
      </w:r>
      <w:proofErr w:type="spellEnd"/>
      <w:r w:rsidRPr="00E905D7">
        <w:rPr>
          <w:rFonts w:cs="Arial"/>
        </w:rPr>
        <w:t>, R., (2017). </w:t>
      </w:r>
      <w:r w:rsidRPr="00E905D7">
        <w:rPr>
          <w:rFonts w:cs="Arial"/>
          <w:i/>
          <w:iCs/>
        </w:rPr>
        <w:t>The PESTLE analysis</w:t>
      </w:r>
      <w:r w:rsidRPr="00E905D7">
        <w:rPr>
          <w:rFonts w:cs="Arial"/>
        </w:rPr>
        <w:t xml:space="preserve">. </w:t>
      </w:r>
      <w:proofErr w:type="spellStart"/>
      <w:r w:rsidRPr="00E905D7">
        <w:rPr>
          <w:rFonts w:cs="Arial"/>
        </w:rPr>
        <w:t>Nerdynaut</w:t>
      </w:r>
      <w:proofErr w:type="spellEnd"/>
      <w:r w:rsidRPr="00E905D7">
        <w:rPr>
          <w:rFonts w:cs="Arial"/>
        </w:rPr>
        <w:t>.</w:t>
      </w:r>
    </w:p>
    <w:p w14:paraId="60CA51BC" w14:textId="77777777" w:rsidR="00F84D2D" w:rsidRPr="00E905D7" w:rsidRDefault="00F84D2D" w:rsidP="00D52DA9">
      <w:pPr>
        <w:rPr>
          <w:rFonts w:cs="Arial"/>
        </w:rPr>
      </w:pPr>
      <w:r w:rsidRPr="00E905D7">
        <w:rPr>
          <w:rFonts w:cs="Arial"/>
        </w:rPr>
        <w:t>Prasad, S., Shankar, R. and Roy, S., (2019). ‘Impact of bargaining power on supply chain profit allocation: a game-theoretic study’. </w:t>
      </w:r>
      <w:r w:rsidRPr="00E905D7">
        <w:rPr>
          <w:rFonts w:cs="Arial"/>
          <w:i/>
          <w:iCs/>
        </w:rPr>
        <w:t xml:space="preserve">Journal of Advances in Management Research, </w:t>
      </w:r>
      <w:r w:rsidRPr="00E905D7">
        <w:rPr>
          <w:rFonts w:cs="Arial"/>
          <w:iCs/>
        </w:rPr>
        <w:t>45(2), pp.75-100</w:t>
      </w:r>
      <w:r w:rsidRPr="00E905D7">
        <w:rPr>
          <w:rFonts w:cs="Arial"/>
        </w:rPr>
        <w:t>.</w:t>
      </w:r>
    </w:p>
    <w:p w14:paraId="4CAE7A67" w14:textId="77777777" w:rsidR="00F84D2D" w:rsidRPr="00E905D7" w:rsidRDefault="00F84D2D" w:rsidP="00F84D2D">
      <w:pPr>
        <w:rPr>
          <w:rFonts w:cs="Arial"/>
        </w:rPr>
      </w:pPr>
      <w:r w:rsidRPr="00E905D7">
        <w:rPr>
          <w:rFonts w:cs="Arial"/>
        </w:rPr>
        <w:t xml:space="preserve">Smith, E., </w:t>
      </w:r>
      <w:r w:rsidR="001026F6">
        <w:rPr>
          <w:rFonts w:cs="Arial"/>
        </w:rPr>
        <w:t>(</w:t>
      </w:r>
      <w:r w:rsidRPr="00E905D7">
        <w:rPr>
          <w:rFonts w:cs="Arial"/>
        </w:rPr>
        <w:t>2020</w:t>
      </w:r>
      <w:r w:rsidR="001026F6">
        <w:rPr>
          <w:rFonts w:cs="Arial"/>
        </w:rPr>
        <w:t>)</w:t>
      </w:r>
      <w:r w:rsidRPr="00E905D7">
        <w:rPr>
          <w:rFonts w:cs="Arial"/>
        </w:rPr>
        <w:t>. </w:t>
      </w:r>
      <w:r w:rsidRPr="00E905D7">
        <w:rPr>
          <w:rFonts w:cs="Arial"/>
          <w:i/>
          <w:iCs/>
        </w:rPr>
        <w:t>UK Enters Recession After GDP Plunged By A Record 20.4% In The Second Quarter</w:t>
      </w:r>
      <w:r w:rsidRPr="00E905D7">
        <w:rPr>
          <w:rFonts w:cs="Arial"/>
        </w:rPr>
        <w:t>. [online] CNBC.com. Available at: &lt;https://www.cnbc.com/2020/08/12/uk-gdp-plunged-by-a-record-20point4percent-in-the-second-quarter.html#:~:text=Europe%20Economy-,UK%20enters%20recession%20after%20GDP%20plunged%20by,20.4%25%20in%20the%20s</w:t>
      </w:r>
      <w:r w:rsidRPr="00E905D7">
        <w:rPr>
          <w:rFonts w:cs="Arial"/>
        </w:rPr>
        <w:lastRenderedPageBreak/>
        <w:t>econd%20quarter&amp;text=GDP%20(gross%20domestic%20product)%20expanded,May%20following%20April's%2020.4%25%20contraction.&gt; [Accessed 24 November 2020].</w:t>
      </w:r>
    </w:p>
    <w:p w14:paraId="5C9AAAD7" w14:textId="77777777" w:rsidR="00F84D2D" w:rsidRPr="00E905D7" w:rsidRDefault="00F84D2D" w:rsidP="00D52DA9">
      <w:pPr>
        <w:rPr>
          <w:rFonts w:cs="Arial"/>
        </w:rPr>
      </w:pPr>
      <w:proofErr w:type="spellStart"/>
      <w:r w:rsidRPr="00E905D7">
        <w:rPr>
          <w:rFonts w:cs="Arial"/>
        </w:rPr>
        <w:t>Wenxi</w:t>
      </w:r>
      <w:proofErr w:type="spellEnd"/>
      <w:r w:rsidRPr="00E905D7">
        <w:rPr>
          <w:rFonts w:cs="Arial"/>
        </w:rPr>
        <w:t>, S., (2017). ‘THE IMPORTANCE OF STRATEGIC PLANNING FOR PARKGLASS COMPANY’. </w:t>
      </w:r>
      <w:r w:rsidRPr="00E905D7">
        <w:rPr>
          <w:rFonts w:cs="Arial"/>
          <w:i/>
          <w:iCs/>
        </w:rPr>
        <w:t>SBC</w:t>
      </w:r>
      <w:r w:rsidRPr="00E905D7">
        <w:rPr>
          <w:rFonts w:cs="Arial"/>
        </w:rPr>
        <w:t>, </w:t>
      </w:r>
      <w:r w:rsidRPr="00E905D7">
        <w:rPr>
          <w:rFonts w:cs="Arial"/>
          <w:i/>
          <w:iCs/>
        </w:rPr>
        <w:t>15</w:t>
      </w:r>
      <w:r w:rsidRPr="00E905D7">
        <w:rPr>
          <w:rFonts w:cs="Arial"/>
        </w:rPr>
        <w:t>, p.0153.</w:t>
      </w:r>
    </w:p>
    <w:p w14:paraId="3498E9C0" w14:textId="77777777" w:rsidR="00F84D2D" w:rsidRPr="00E905D7" w:rsidRDefault="00F84D2D" w:rsidP="00D52DA9">
      <w:pPr>
        <w:rPr>
          <w:rFonts w:cs="Arial"/>
        </w:rPr>
      </w:pPr>
      <w:r w:rsidRPr="00E905D7">
        <w:rPr>
          <w:rFonts w:cs="Arial"/>
        </w:rPr>
        <w:t xml:space="preserve">Wright, M. and </w:t>
      </w:r>
      <w:proofErr w:type="spellStart"/>
      <w:r w:rsidRPr="00E905D7">
        <w:rPr>
          <w:rFonts w:cs="Arial"/>
        </w:rPr>
        <w:t>Mustar</w:t>
      </w:r>
      <w:proofErr w:type="spellEnd"/>
      <w:r w:rsidRPr="00E905D7">
        <w:rPr>
          <w:rFonts w:cs="Arial"/>
        </w:rPr>
        <w:t xml:space="preserve">, P., </w:t>
      </w:r>
      <w:r w:rsidR="00CC28F3">
        <w:rPr>
          <w:rFonts w:cs="Arial"/>
        </w:rPr>
        <w:t>(</w:t>
      </w:r>
      <w:r w:rsidRPr="00E905D7">
        <w:rPr>
          <w:rFonts w:cs="Arial"/>
        </w:rPr>
        <w:t>2019</w:t>
      </w:r>
      <w:r w:rsidR="00CC28F3">
        <w:rPr>
          <w:rFonts w:cs="Arial"/>
        </w:rPr>
        <w:t>)</w:t>
      </w:r>
      <w:r w:rsidRPr="00E905D7">
        <w:rPr>
          <w:rFonts w:cs="Arial"/>
        </w:rPr>
        <w:t>. </w:t>
      </w:r>
      <w:r w:rsidRPr="00E905D7">
        <w:rPr>
          <w:rFonts w:cs="Arial"/>
          <w:i/>
          <w:iCs/>
        </w:rPr>
        <w:t>Student Start-Ups: The New Landscape of Academic Entrepreneurship</w:t>
      </w:r>
      <w:r w:rsidRPr="00E905D7">
        <w:rPr>
          <w:rFonts w:cs="Arial"/>
        </w:rPr>
        <w:t> (Vol. 1). World Scientific.</w:t>
      </w:r>
    </w:p>
    <w:sectPr w:rsidR="00F84D2D" w:rsidRPr="00E905D7" w:rsidSect="00F96488">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AD793" w14:textId="77777777" w:rsidR="00EE7421" w:rsidRDefault="00EE7421" w:rsidP="00F25616">
      <w:pPr>
        <w:spacing w:after="0" w:line="240" w:lineRule="auto"/>
      </w:pPr>
      <w:r>
        <w:separator/>
      </w:r>
    </w:p>
  </w:endnote>
  <w:endnote w:type="continuationSeparator" w:id="0">
    <w:p w14:paraId="31ABB48E" w14:textId="77777777" w:rsidR="00EE7421" w:rsidRDefault="00EE7421" w:rsidP="00F25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44292" w14:textId="77777777" w:rsidR="00F96488" w:rsidRDefault="00F96488">
    <w:pPr>
      <w:pStyle w:val="Footer"/>
      <w:jc w:val="center"/>
    </w:pPr>
  </w:p>
  <w:p w14:paraId="5FAA9FD2" w14:textId="77777777" w:rsidR="00F96488" w:rsidRDefault="00F964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4040602"/>
      <w:docPartObj>
        <w:docPartGallery w:val="Page Numbers (Bottom of Page)"/>
        <w:docPartUnique/>
      </w:docPartObj>
    </w:sdtPr>
    <w:sdtEndPr>
      <w:rPr>
        <w:noProof/>
      </w:rPr>
    </w:sdtEndPr>
    <w:sdtContent>
      <w:p w14:paraId="47FB7342" w14:textId="77777777" w:rsidR="00F96488" w:rsidRDefault="00F96488">
        <w:pPr>
          <w:pStyle w:val="Footer"/>
          <w:jc w:val="center"/>
        </w:pPr>
        <w:r>
          <w:fldChar w:fldCharType="begin"/>
        </w:r>
        <w:r>
          <w:instrText xml:space="preserve"> PAGE   \* MERGEFORMAT </w:instrText>
        </w:r>
        <w:r>
          <w:fldChar w:fldCharType="separate"/>
        </w:r>
        <w:r w:rsidR="00F92D8C">
          <w:rPr>
            <w:noProof/>
          </w:rPr>
          <w:t>21</w:t>
        </w:r>
        <w:r>
          <w:rPr>
            <w:noProof/>
          </w:rPr>
          <w:fldChar w:fldCharType="end"/>
        </w:r>
      </w:p>
    </w:sdtContent>
  </w:sdt>
  <w:p w14:paraId="14818305" w14:textId="77777777" w:rsidR="00F96488" w:rsidRDefault="00F964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851BE2" w14:textId="77777777" w:rsidR="00EE7421" w:rsidRDefault="00EE7421" w:rsidP="00F25616">
      <w:pPr>
        <w:spacing w:after="0" w:line="240" w:lineRule="auto"/>
      </w:pPr>
      <w:r>
        <w:separator/>
      </w:r>
    </w:p>
  </w:footnote>
  <w:footnote w:type="continuationSeparator" w:id="0">
    <w:p w14:paraId="67B86FC6" w14:textId="77777777" w:rsidR="00EE7421" w:rsidRDefault="00EE7421" w:rsidP="00F256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F518F"/>
    <w:multiLevelType w:val="hybridMultilevel"/>
    <w:tmpl w:val="61E4D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E5C9F"/>
    <w:multiLevelType w:val="hybridMultilevel"/>
    <w:tmpl w:val="9496A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3F6631"/>
    <w:multiLevelType w:val="hybridMultilevel"/>
    <w:tmpl w:val="75E2F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00E04"/>
    <w:rsid w:val="00000E04"/>
    <w:rsid w:val="00042C77"/>
    <w:rsid w:val="000473A3"/>
    <w:rsid w:val="00077B1D"/>
    <w:rsid w:val="000B5E4D"/>
    <w:rsid w:val="001026F6"/>
    <w:rsid w:val="00105DDC"/>
    <w:rsid w:val="001434D1"/>
    <w:rsid w:val="00167387"/>
    <w:rsid w:val="00230FAC"/>
    <w:rsid w:val="00251343"/>
    <w:rsid w:val="00275657"/>
    <w:rsid w:val="002913E6"/>
    <w:rsid w:val="002A5AE9"/>
    <w:rsid w:val="002B289E"/>
    <w:rsid w:val="002F4AA1"/>
    <w:rsid w:val="003544CC"/>
    <w:rsid w:val="0036043C"/>
    <w:rsid w:val="003A5959"/>
    <w:rsid w:val="003C301E"/>
    <w:rsid w:val="003F7366"/>
    <w:rsid w:val="00424739"/>
    <w:rsid w:val="00466C82"/>
    <w:rsid w:val="00487D99"/>
    <w:rsid w:val="004B6EB6"/>
    <w:rsid w:val="004F5E6B"/>
    <w:rsid w:val="00544DC9"/>
    <w:rsid w:val="00553035"/>
    <w:rsid w:val="00557554"/>
    <w:rsid w:val="005667B8"/>
    <w:rsid w:val="00571AEC"/>
    <w:rsid w:val="005B2229"/>
    <w:rsid w:val="005D7642"/>
    <w:rsid w:val="005E4C7C"/>
    <w:rsid w:val="005F2FDD"/>
    <w:rsid w:val="00601AA7"/>
    <w:rsid w:val="006020B3"/>
    <w:rsid w:val="006100A1"/>
    <w:rsid w:val="00642562"/>
    <w:rsid w:val="006878C3"/>
    <w:rsid w:val="006A609D"/>
    <w:rsid w:val="006B0D99"/>
    <w:rsid w:val="006C7A1F"/>
    <w:rsid w:val="0072332F"/>
    <w:rsid w:val="007D5A1B"/>
    <w:rsid w:val="0083056F"/>
    <w:rsid w:val="008C3480"/>
    <w:rsid w:val="00961461"/>
    <w:rsid w:val="009718EB"/>
    <w:rsid w:val="00A94960"/>
    <w:rsid w:val="00AA7E5E"/>
    <w:rsid w:val="00AE374F"/>
    <w:rsid w:val="00AF7E97"/>
    <w:rsid w:val="00B028E9"/>
    <w:rsid w:val="00B05EF0"/>
    <w:rsid w:val="00B30D72"/>
    <w:rsid w:val="00B36D1B"/>
    <w:rsid w:val="00BB2DDC"/>
    <w:rsid w:val="00BE3932"/>
    <w:rsid w:val="00C05A5A"/>
    <w:rsid w:val="00C11B93"/>
    <w:rsid w:val="00C676A0"/>
    <w:rsid w:val="00C7126E"/>
    <w:rsid w:val="00CA64C1"/>
    <w:rsid w:val="00CC00C2"/>
    <w:rsid w:val="00CC28F3"/>
    <w:rsid w:val="00D52DA9"/>
    <w:rsid w:val="00D9422D"/>
    <w:rsid w:val="00DA1DD4"/>
    <w:rsid w:val="00E105E3"/>
    <w:rsid w:val="00E366EE"/>
    <w:rsid w:val="00E547D6"/>
    <w:rsid w:val="00E73E14"/>
    <w:rsid w:val="00E81C0F"/>
    <w:rsid w:val="00E905D7"/>
    <w:rsid w:val="00E9721F"/>
    <w:rsid w:val="00EE7421"/>
    <w:rsid w:val="00F25616"/>
    <w:rsid w:val="00F84D2D"/>
    <w:rsid w:val="00F86DEB"/>
    <w:rsid w:val="00F92D8C"/>
    <w:rsid w:val="00F96488"/>
    <w:rsid w:val="00FA330A"/>
    <w:rsid w:val="00FB7E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5CD19"/>
  <w15:docId w15:val="{5EBA67F3-A3E5-41BA-BB84-AD41F6663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DA9"/>
    <w:pPr>
      <w:spacing w:line="360" w:lineRule="auto"/>
      <w:jc w:val="both"/>
    </w:pPr>
    <w:rPr>
      <w:rFonts w:ascii="Arial" w:hAnsi="Arial"/>
      <w:lang w:val="en-GB"/>
    </w:rPr>
  </w:style>
  <w:style w:type="paragraph" w:styleId="Heading1">
    <w:name w:val="heading 1"/>
    <w:basedOn w:val="Normal"/>
    <w:next w:val="Normal"/>
    <w:link w:val="Heading1Char"/>
    <w:uiPriority w:val="9"/>
    <w:qFormat/>
    <w:rsid w:val="005B222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878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E105E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229"/>
    <w:rPr>
      <w:rFonts w:ascii="Times New Roman" w:eastAsiaTheme="majorEastAsia" w:hAnsi="Times New Roman" w:cstheme="majorBidi"/>
      <w:b/>
      <w:sz w:val="24"/>
      <w:szCs w:val="32"/>
    </w:rPr>
  </w:style>
  <w:style w:type="paragraph" w:styleId="ListParagraph">
    <w:name w:val="List Paragraph"/>
    <w:basedOn w:val="Normal"/>
    <w:uiPriority w:val="34"/>
    <w:qFormat/>
    <w:rsid w:val="00000E04"/>
    <w:pPr>
      <w:ind w:left="720"/>
      <w:contextualSpacing/>
    </w:pPr>
  </w:style>
  <w:style w:type="character" w:customStyle="1" w:styleId="Heading4Char">
    <w:name w:val="Heading 4 Char"/>
    <w:basedOn w:val="DefaultParagraphFont"/>
    <w:link w:val="Heading4"/>
    <w:uiPriority w:val="9"/>
    <w:semiHidden/>
    <w:rsid w:val="00E105E3"/>
    <w:rPr>
      <w:rFonts w:asciiTheme="majorHAnsi" w:eastAsiaTheme="majorEastAsia" w:hAnsiTheme="majorHAnsi" w:cstheme="majorBidi"/>
      <w:i/>
      <w:iCs/>
      <w:color w:val="2E74B5" w:themeColor="accent1" w:themeShade="BF"/>
      <w:sz w:val="24"/>
      <w:lang w:val="en-GB"/>
    </w:rPr>
  </w:style>
  <w:style w:type="character" w:customStyle="1" w:styleId="Heading2Char">
    <w:name w:val="Heading 2 Char"/>
    <w:basedOn w:val="DefaultParagraphFont"/>
    <w:link w:val="Heading2"/>
    <w:uiPriority w:val="9"/>
    <w:rsid w:val="006878C3"/>
    <w:rPr>
      <w:rFonts w:asciiTheme="majorHAnsi" w:eastAsiaTheme="majorEastAsia" w:hAnsiTheme="majorHAnsi" w:cstheme="majorBidi"/>
      <w:color w:val="2E74B5" w:themeColor="accent1" w:themeShade="BF"/>
      <w:sz w:val="26"/>
      <w:szCs w:val="26"/>
      <w:lang w:val="en-GB"/>
    </w:rPr>
  </w:style>
  <w:style w:type="paragraph" w:styleId="Caption">
    <w:name w:val="caption"/>
    <w:basedOn w:val="Normal"/>
    <w:next w:val="Normal"/>
    <w:uiPriority w:val="35"/>
    <w:unhideWhenUsed/>
    <w:qFormat/>
    <w:rsid w:val="003A595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52D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DA9"/>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3544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4CC"/>
    <w:rPr>
      <w:rFonts w:ascii="Tahoma" w:hAnsi="Tahoma" w:cs="Tahoma"/>
      <w:sz w:val="16"/>
      <w:szCs w:val="16"/>
      <w:lang w:val="en-GB"/>
    </w:rPr>
  </w:style>
  <w:style w:type="paragraph" w:styleId="TOCHeading">
    <w:name w:val="TOC Heading"/>
    <w:basedOn w:val="Heading1"/>
    <w:next w:val="Normal"/>
    <w:uiPriority w:val="39"/>
    <w:semiHidden/>
    <w:unhideWhenUsed/>
    <w:qFormat/>
    <w:rsid w:val="00F25616"/>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F25616"/>
    <w:pPr>
      <w:spacing w:after="100"/>
    </w:pPr>
  </w:style>
  <w:style w:type="character" w:styleId="Hyperlink">
    <w:name w:val="Hyperlink"/>
    <w:basedOn w:val="DefaultParagraphFont"/>
    <w:uiPriority w:val="99"/>
    <w:unhideWhenUsed/>
    <w:rsid w:val="00F25616"/>
    <w:rPr>
      <w:color w:val="0563C1" w:themeColor="hyperlink"/>
      <w:u w:val="single"/>
    </w:rPr>
  </w:style>
  <w:style w:type="paragraph" w:styleId="Header">
    <w:name w:val="header"/>
    <w:basedOn w:val="Normal"/>
    <w:link w:val="HeaderChar"/>
    <w:uiPriority w:val="99"/>
    <w:unhideWhenUsed/>
    <w:rsid w:val="00F256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616"/>
    <w:rPr>
      <w:rFonts w:ascii="Arial" w:hAnsi="Arial"/>
      <w:lang w:val="en-GB"/>
    </w:rPr>
  </w:style>
  <w:style w:type="paragraph" w:styleId="Footer">
    <w:name w:val="footer"/>
    <w:basedOn w:val="Normal"/>
    <w:link w:val="FooterChar"/>
    <w:uiPriority w:val="99"/>
    <w:unhideWhenUsed/>
    <w:rsid w:val="00F256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616"/>
    <w:rPr>
      <w:rFonts w:ascii="Arial" w:hAnsi="Arial"/>
      <w:lang w:val="en-GB"/>
    </w:rPr>
  </w:style>
  <w:style w:type="paragraph" w:styleId="TOC2">
    <w:name w:val="toc 2"/>
    <w:basedOn w:val="Normal"/>
    <w:next w:val="Normal"/>
    <w:autoRedefine/>
    <w:uiPriority w:val="39"/>
    <w:unhideWhenUsed/>
    <w:rsid w:val="008305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659530">
      <w:bodyDiv w:val="1"/>
      <w:marLeft w:val="0"/>
      <w:marRight w:val="0"/>
      <w:marTop w:val="0"/>
      <w:marBottom w:val="0"/>
      <w:divBdr>
        <w:top w:val="none" w:sz="0" w:space="0" w:color="auto"/>
        <w:left w:val="none" w:sz="0" w:space="0" w:color="auto"/>
        <w:bottom w:val="none" w:sz="0" w:space="0" w:color="auto"/>
        <w:right w:val="none" w:sz="0" w:space="0" w:color="auto"/>
      </w:divBdr>
    </w:div>
    <w:div w:id="147942501">
      <w:bodyDiv w:val="1"/>
      <w:marLeft w:val="0"/>
      <w:marRight w:val="0"/>
      <w:marTop w:val="0"/>
      <w:marBottom w:val="0"/>
      <w:divBdr>
        <w:top w:val="none" w:sz="0" w:space="0" w:color="auto"/>
        <w:left w:val="none" w:sz="0" w:space="0" w:color="auto"/>
        <w:bottom w:val="none" w:sz="0" w:space="0" w:color="auto"/>
        <w:right w:val="none" w:sz="0" w:space="0" w:color="auto"/>
      </w:divBdr>
    </w:div>
    <w:div w:id="428429861">
      <w:bodyDiv w:val="1"/>
      <w:marLeft w:val="0"/>
      <w:marRight w:val="0"/>
      <w:marTop w:val="0"/>
      <w:marBottom w:val="0"/>
      <w:divBdr>
        <w:top w:val="none" w:sz="0" w:space="0" w:color="auto"/>
        <w:left w:val="none" w:sz="0" w:space="0" w:color="auto"/>
        <w:bottom w:val="none" w:sz="0" w:space="0" w:color="auto"/>
        <w:right w:val="none" w:sz="0" w:space="0" w:color="auto"/>
      </w:divBdr>
    </w:div>
    <w:div w:id="720594980">
      <w:bodyDiv w:val="1"/>
      <w:marLeft w:val="0"/>
      <w:marRight w:val="0"/>
      <w:marTop w:val="0"/>
      <w:marBottom w:val="0"/>
      <w:divBdr>
        <w:top w:val="none" w:sz="0" w:space="0" w:color="auto"/>
        <w:left w:val="none" w:sz="0" w:space="0" w:color="auto"/>
        <w:bottom w:val="none" w:sz="0" w:space="0" w:color="auto"/>
        <w:right w:val="none" w:sz="0" w:space="0" w:color="auto"/>
      </w:divBdr>
    </w:div>
    <w:div w:id="933051526">
      <w:bodyDiv w:val="1"/>
      <w:marLeft w:val="0"/>
      <w:marRight w:val="0"/>
      <w:marTop w:val="0"/>
      <w:marBottom w:val="0"/>
      <w:divBdr>
        <w:top w:val="none" w:sz="0" w:space="0" w:color="auto"/>
        <w:left w:val="none" w:sz="0" w:space="0" w:color="auto"/>
        <w:bottom w:val="none" w:sz="0" w:space="0" w:color="auto"/>
        <w:right w:val="none" w:sz="0" w:space="0" w:color="auto"/>
      </w:divBdr>
    </w:div>
    <w:div w:id="1119909880">
      <w:bodyDiv w:val="1"/>
      <w:marLeft w:val="0"/>
      <w:marRight w:val="0"/>
      <w:marTop w:val="0"/>
      <w:marBottom w:val="0"/>
      <w:divBdr>
        <w:top w:val="none" w:sz="0" w:space="0" w:color="auto"/>
        <w:left w:val="none" w:sz="0" w:space="0" w:color="auto"/>
        <w:bottom w:val="none" w:sz="0" w:space="0" w:color="auto"/>
        <w:right w:val="none" w:sz="0" w:space="0" w:color="auto"/>
      </w:divBdr>
    </w:div>
    <w:div w:id="1155880240">
      <w:bodyDiv w:val="1"/>
      <w:marLeft w:val="0"/>
      <w:marRight w:val="0"/>
      <w:marTop w:val="0"/>
      <w:marBottom w:val="0"/>
      <w:divBdr>
        <w:top w:val="none" w:sz="0" w:space="0" w:color="auto"/>
        <w:left w:val="none" w:sz="0" w:space="0" w:color="auto"/>
        <w:bottom w:val="none" w:sz="0" w:space="0" w:color="auto"/>
        <w:right w:val="none" w:sz="0" w:space="0" w:color="auto"/>
      </w:divBdr>
    </w:div>
    <w:div w:id="1159342202">
      <w:bodyDiv w:val="1"/>
      <w:marLeft w:val="0"/>
      <w:marRight w:val="0"/>
      <w:marTop w:val="0"/>
      <w:marBottom w:val="0"/>
      <w:divBdr>
        <w:top w:val="none" w:sz="0" w:space="0" w:color="auto"/>
        <w:left w:val="none" w:sz="0" w:space="0" w:color="auto"/>
        <w:bottom w:val="none" w:sz="0" w:space="0" w:color="auto"/>
        <w:right w:val="none" w:sz="0" w:space="0" w:color="auto"/>
      </w:divBdr>
      <w:divsChild>
        <w:div w:id="1817449845">
          <w:marLeft w:val="0"/>
          <w:marRight w:val="0"/>
          <w:marTop w:val="0"/>
          <w:marBottom w:val="0"/>
          <w:divBdr>
            <w:top w:val="none" w:sz="0" w:space="0" w:color="auto"/>
            <w:left w:val="none" w:sz="0" w:space="0" w:color="auto"/>
            <w:bottom w:val="none" w:sz="0" w:space="0" w:color="auto"/>
            <w:right w:val="none" w:sz="0" w:space="0" w:color="auto"/>
          </w:divBdr>
          <w:divsChild>
            <w:div w:id="48701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798006">
      <w:bodyDiv w:val="1"/>
      <w:marLeft w:val="0"/>
      <w:marRight w:val="0"/>
      <w:marTop w:val="0"/>
      <w:marBottom w:val="0"/>
      <w:divBdr>
        <w:top w:val="none" w:sz="0" w:space="0" w:color="auto"/>
        <w:left w:val="none" w:sz="0" w:space="0" w:color="auto"/>
        <w:bottom w:val="none" w:sz="0" w:space="0" w:color="auto"/>
        <w:right w:val="none" w:sz="0" w:space="0" w:color="auto"/>
      </w:divBdr>
    </w:div>
    <w:div w:id="1751124647">
      <w:bodyDiv w:val="1"/>
      <w:marLeft w:val="0"/>
      <w:marRight w:val="0"/>
      <w:marTop w:val="0"/>
      <w:marBottom w:val="0"/>
      <w:divBdr>
        <w:top w:val="none" w:sz="0" w:space="0" w:color="auto"/>
        <w:left w:val="none" w:sz="0" w:space="0" w:color="auto"/>
        <w:bottom w:val="none" w:sz="0" w:space="0" w:color="auto"/>
        <w:right w:val="none" w:sz="0" w:space="0" w:color="auto"/>
      </w:divBdr>
      <w:divsChild>
        <w:div w:id="1668090500">
          <w:marLeft w:val="0"/>
          <w:marRight w:val="0"/>
          <w:marTop w:val="0"/>
          <w:marBottom w:val="0"/>
          <w:divBdr>
            <w:top w:val="none" w:sz="0" w:space="0" w:color="auto"/>
            <w:left w:val="none" w:sz="0" w:space="0" w:color="auto"/>
            <w:bottom w:val="none" w:sz="0" w:space="0" w:color="auto"/>
            <w:right w:val="none" w:sz="0" w:space="0" w:color="auto"/>
          </w:divBdr>
          <w:divsChild>
            <w:div w:id="101904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965157">
      <w:bodyDiv w:val="1"/>
      <w:marLeft w:val="0"/>
      <w:marRight w:val="0"/>
      <w:marTop w:val="0"/>
      <w:marBottom w:val="0"/>
      <w:divBdr>
        <w:top w:val="none" w:sz="0" w:space="0" w:color="auto"/>
        <w:left w:val="none" w:sz="0" w:space="0" w:color="auto"/>
        <w:bottom w:val="none" w:sz="0" w:space="0" w:color="auto"/>
        <w:right w:val="none" w:sz="0" w:space="0" w:color="auto"/>
      </w:divBdr>
      <w:divsChild>
        <w:div w:id="269968513">
          <w:marLeft w:val="0"/>
          <w:marRight w:val="360"/>
          <w:marTop w:val="0"/>
          <w:marBottom w:val="0"/>
          <w:divBdr>
            <w:top w:val="none" w:sz="0" w:space="0" w:color="auto"/>
            <w:left w:val="none" w:sz="0" w:space="0" w:color="auto"/>
            <w:bottom w:val="none" w:sz="0" w:space="0" w:color="auto"/>
            <w:right w:val="none" w:sz="0" w:space="0" w:color="auto"/>
          </w:divBdr>
        </w:div>
        <w:div w:id="19665150">
          <w:marLeft w:val="0"/>
          <w:marRight w:val="0"/>
          <w:marTop w:val="0"/>
          <w:marBottom w:val="0"/>
          <w:divBdr>
            <w:top w:val="none" w:sz="0" w:space="0" w:color="auto"/>
            <w:left w:val="none" w:sz="0" w:space="0" w:color="auto"/>
            <w:bottom w:val="none" w:sz="0" w:space="0" w:color="auto"/>
            <w:right w:val="none" w:sz="0" w:space="0" w:color="auto"/>
          </w:divBdr>
          <w:divsChild>
            <w:div w:id="146257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e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employees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2020</c:v>
                </c:pt>
                <c:pt idx="1">
                  <c:v>2019</c:v>
                </c:pt>
                <c:pt idx="2">
                  <c:v>2018</c:v>
                </c:pt>
                <c:pt idx="3">
                  <c:v>2017</c:v>
                </c:pt>
              </c:numCache>
            </c:numRef>
          </c:cat>
          <c:val>
            <c:numRef>
              <c:f>Sheet1!$B$2:$B$5</c:f>
              <c:numCache>
                <c:formatCode>General</c:formatCode>
                <c:ptCount val="4"/>
                <c:pt idx="0">
                  <c:v>163000</c:v>
                </c:pt>
                <c:pt idx="1">
                  <c:v>144000</c:v>
                </c:pt>
                <c:pt idx="2">
                  <c:v>131000</c:v>
                </c:pt>
                <c:pt idx="3">
                  <c:v>124000</c:v>
                </c:pt>
              </c:numCache>
            </c:numRef>
          </c:val>
          <c:extLst>
            <c:ext xmlns:c16="http://schemas.microsoft.com/office/drawing/2014/chart" uri="{C3380CC4-5D6E-409C-BE32-E72D297353CC}">
              <c16:uniqueId val="{00000000-95F4-4F88-9CB2-776102971CCE}"/>
            </c:ext>
          </c:extLst>
        </c:ser>
        <c:dLbls>
          <c:showLegendKey val="0"/>
          <c:showVal val="1"/>
          <c:showCatName val="0"/>
          <c:showSerName val="0"/>
          <c:showPercent val="0"/>
          <c:showBubbleSize val="0"/>
        </c:dLbls>
        <c:gapWidth val="65"/>
        <c:axId val="126181760"/>
        <c:axId val="169202432"/>
      </c:barChart>
      <c:catAx>
        <c:axId val="1261817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9202432"/>
        <c:crosses val="autoZero"/>
        <c:auto val="1"/>
        <c:lblAlgn val="ctr"/>
        <c:lblOffset val="100"/>
        <c:noMultiLvlLbl val="0"/>
      </c:catAx>
      <c:valAx>
        <c:axId val="1692024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2618176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tx1"/>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FEBCFE-3CFC-4722-82F7-1697F1470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23</Pages>
  <Words>6336</Words>
  <Characters>36121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Mila</dc:creator>
  <cp:lastModifiedBy>pavlin grancharov</cp:lastModifiedBy>
  <cp:revision>9</cp:revision>
  <dcterms:created xsi:type="dcterms:W3CDTF">2021-01-01T13:31:00Z</dcterms:created>
  <dcterms:modified xsi:type="dcterms:W3CDTF">2021-01-03T14:32:00Z</dcterms:modified>
</cp:coreProperties>
</file>