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2190" w:rsidRPr="00BA2AA3" w:rsidRDefault="006C2190" w:rsidP="00BA2AA3">
      <w:pPr>
        <w:spacing w:line="480" w:lineRule="auto"/>
        <w:jc w:val="both"/>
        <w:rPr>
          <w:rFonts w:ascii="Times New Roman" w:hAnsi="Times New Roman"/>
          <w:sz w:val="24"/>
          <w:szCs w:val="24"/>
          <w:u w:val="single"/>
        </w:rPr>
      </w:pPr>
      <w:r w:rsidRPr="00BA2AA3">
        <w:rPr>
          <w:rFonts w:ascii="Times New Roman" w:hAnsi="Times New Roman"/>
          <w:sz w:val="24"/>
          <w:szCs w:val="24"/>
          <w:u w:val="single"/>
        </w:rPr>
        <w:t>Title Page</w:t>
      </w:r>
    </w:p>
    <w:p w:rsidR="006C2190" w:rsidRPr="00BA2AA3" w:rsidRDefault="006C2190" w:rsidP="00BA2AA3">
      <w:pPr>
        <w:spacing w:line="480" w:lineRule="auto"/>
        <w:jc w:val="both"/>
        <w:rPr>
          <w:rFonts w:ascii="Times New Roman" w:hAnsi="Times New Roman"/>
          <w:sz w:val="24"/>
          <w:szCs w:val="24"/>
        </w:rPr>
      </w:pPr>
      <w:r w:rsidRPr="00BA2AA3">
        <w:rPr>
          <w:rFonts w:ascii="Times New Roman" w:hAnsi="Times New Roman"/>
          <w:sz w:val="24"/>
          <w:szCs w:val="24"/>
        </w:rPr>
        <w:t xml:space="preserve">The Title Page for this manuscript is missing, however a previous owner has written the title and other missing information in on the first blank page of the work opposite the cover. </w:t>
      </w:r>
      <w:proofErr w:type="gramStart"/>
      <w:r w:rsidRPr="00BA2AA3">
        <w:rPr>
          <w:rFonts w:ascii="Times New Roman" w:hAnsi="Times New Roman"/>
          <w:sz w:val="24"/>
          <w:szCs w:val="24"/>
        </w:rPr>
        <w:t>This reads</w:t>
      </w:r>
      <w:proofErr w:type="gramEnd"/>
      <w:r w:rsidRPr="00BA2AA3">
        <w:rPr>
          <w:rFonts w:ascii="Times New Roman" w:hAnsi="Times New Roman"/>
          <w:sz w:val="24"/>
          <w:szCs w:val="24"/>
        </w:rPr>
        <w:t>:</w:t>
      </w:r>
    </w:p>
    <w:p w:rsidR="006C2190" w:rsidRPr="00BA2AA3" w:rsidRDefault="006C2190" w:rsidP="00BA2AA3">
      <w:pPr>
        <w:spacing w:line="480" w:lineRule="auto"/>
        <w:jc w:val="both"/>
        <w:rPr>
          <w:rFonts w:ascii="Times New Roman" w:hAnsi="Times New Roman"/>
          <w:sz w:val="24"/>
          <w:szCs w:val="24"/>
        </w:rPr>
      </w:pPr>
      <w:r w:rsidRPr="00BA2AA3">
        <w:rPr>
          <w:rFonts w:ascii="Times New Roman" w:hAnsi="Times New Roman"/>
          <w:sz w:val="24"/>
          <w:szCs w:val="24"/>
        </w:rPr>
        <w:t>‘??mundus Episcopul salisburiensis, qui abiit</w:t>
      </w:r>
    </w:p>
    <w:p w:rsidR="006C2190" w:rsidRPr="00BA2AA3" w:rsidRDefault="006C2190" w:rsidP="00BA2AA3">
      <w:pPr>
        <w:spacing w:line="480" w:lineRule="auto"/>
        <w:jc w:val="both"/>
        <w:rPr>
          <w:rFonts w:ascii="Times New Roman" w:hAnsi="Times New Roman"/>
          <w:sz w:val="24"/>
          <w:szCs w:val="24"/>
        </w:rPr>
      </w:pPr>
      <w:r w:rsidRPr="00BA2AA3">
        <w:rPr>
          <w:rFonts w:ascii="Times New Roman" w:hAnsi="Times New Roman"/>
          <w:sz w:val="24"/>
          <w:szCs w:val="24"/>
        </w:rPr>
        <w:t>A.D. 1097 novum missale concinnavit quod missale</w:t>
      </w:r>
    </w:p>
    <w:p w:rsidR="006C2190" w:rsidRPr="00BA2AA3" w:rsidRDefault="006C2190" w:rsidP="00BA2AA3">
      <w:pPr>
        <w:spacing w:line="480" w:lineRule="auto"/>
        <w:jc w:val="both"/>
        <w:rPr>
          <w:rFonts w:ascii="Times New Roman" w:hAnsi="Times New Roman"/>
          <w:sz w:val="24"/>
          <w:szCs w:val="24"/>
        </w:rPr>
      </w:pPr>
      <w:r w:rsidRPr="00BA2AA3">
        <w:rPr>
          <w:rFonts w:ascii="Times New Roman" w:hAnsi="Times New Roman"/>
          <w:sz w:val="24"/>
          <w:szCs w:val="24"/>
        </w:rPr>
        <w:t xml:space="preserve">Secundum Urum Sarum dictum per Brittanniam </w:t>
      </w:r>
    </w:p>
    <w:p w:rsidR="006C2190" w:rsidRPr="00BA2AA3" w:rsidRDefault="006C2190" w:rsidP="00BA2AA3">
      <w:pPr>
        <w:spacing w:line="480" w:lineRule="auto"/>
        <w:jc w:val="both"/>
        <w:rPr>
          <w:rFonts w:ascii="Times New Roman" w:hAnsi="Times New Roman"/>
          <w:sz w:val="24"/>
          <w:szCs w:val="24"/>
        </w:rPr>
      </w:pPr>
      <w:r w:rsidRPr="00BA2AA3">
        <w:rPr>
          <w:rFonts w:ascii="Times New Roman" w:hAnsi="Times New Roman"/>
          <w:sz w:val="24"/>
          <w:szCs w:val="24"/>
        </w:rPr>
        <w:t>et Hiberniam Usu receptum ev? Vide Biblotheiam</w:t>
      </w:r>
    </w:p>
    <w:p w:rsidR="006C2190" w:rsidRPr="00BA2AA3" w:rsidRDefault="006C2190" w:rsidP="00BA2AA3">
      <w:pPr>
        <w:spacing w:line="480" w:lineRule="auto"/>
        <w:jc w:val="both"/>
        <w:rPr>
          <w:rFonts w:ascii="Times New Roman" w:hAnsi="Times New Roman"/>
          <w:sz w:val="24"/>
          <w:szCs w:val="24"/>
        </w:rPr>
      </w:pPr>
      <w:r w:rsidRPr="00BA2AA3">
        <w:rPr>
          <w:rFonts w:ascii="Times New Roman" w:hAnsi="Times New Roman"/>
          <w:sz w:val="24"/>
          <w:szCs w:val="24"/>
        </w:rPr>
        <w:t xml:space="preserve">Harleianam Tom. J. Pag. 83. </w:t>
      </w:r>
    </w:p>
    <w:p w:rsidR="006C2190" w:rsidRPr="00BA2AA3" w:rsidRDefault="006C2190" w:rsidP="00BA2AA3">
      <w:pPr>
        <w:spacing w:line="480" w:lineRule="auto"/>
        <w:jc w:val="both"/>
        <w:rPr>
          <w:rFonts w:ascii="Times New Roman" w:hAnsi="Times New Roman"/>
          <w:sz w:val="24"/>
          <w:szCs w:val="24"/>
        </w:rPr>
      </w:pPr>
      <w:r w:rsidRPr="00BA2AA3">
        <w:rPr>
          <w:rFonts w:ascii="Times New Roman" w:hAnsi="Times New Roman"/>
          <w:sz w:val="24"/>
          <w:szCs w:val="24"/>
        </w:rPr>
        <w:t>Vide Cononem et Aufricas</w:t>
      </w:r>
    </w:p>
    <w:p w:rsidR="006C2190" w:rsidRPr="00BA2AA3" w:rsidRDefault="006C2190" w:rsidP="00BA2AA3">
      <w:pPr>
        <w:spacing w:line="480" w:lineRule="auto"/>
        <w:jc w:val="both"/>
        <w:rPr>
          <w:rFonts w:ascii="Times New Roman" w:hAnsi="Times New Roman"/>
          <w:sz w:val="24"/>
          <w:szCs w:val="24"/>
        </w:rPr>
      </w:pPr>
      <w:r w:rsidRPr="00BA2AA3">
        <w:rPr>
          <w:rFonts w:ascii="Times New Roman" w:hAnsi="Times New Roman"/>
          <w:sz w:val="24"/>
          <w:szCs w:val="24"/>
        </w:rPr>
        <w:t>Missalis ??ch sarisbiriensis Editud est Parisiis apud</w:t>
      </w:r>
    </w:p>
    <w:p w:rsidR="006C2190" w:rsidRPr="00BA2AA3" w:rsidRDefault="006C2190" w:rsidP="00BA2AA3">
      <w:pPr>
        <w:spacing w:line="480" w:lineRule="auto"/>
        <w:jc w:val="both"/>
        <w:rPr>
          <w:rFonts w:ascii="Times New Roman" w:hAnsi="Times New Roman" w:cstheme="minorHAnsi"/>
          <w:sz w:val="24"/>
          <w:szCs w:val="24"/>
        </w:rPr>
      </w:pPr>
      <w:r w:rsidRPr="00BA2AA3">
        <w:rPr>
          <w:rFonts w:ascii="Times New Roman" w:hAnsi="Times New Roman"/>
          <w:sz w:val="24"/>
          <w:szCs w:val="24"/>
        </w:rPr>
        <w:t>Woffgangum Hopylium A</w:t>
      </w:r>
      <w:r w:rsidRPr="00BA2AA3">
        <w:rPr>
          <w:rFonts w:ascii="Times New Roman" w:hAnsi="Times New Roman" w:cstheme="minorHAnsi"/>
          <w:sz w:val="24"/>
          <w:szCs w:val="24"/>
        </w:rPr>
        <w:t xml:space="preserve">ᵒ </w:t>
      </w:r>
      <w:r w:rsidR="007E4F55" w:rsidRPr="00BA2AA3">
        <w:rPr>
          <w:rFonts w:ascii="Times New Roman" w:hAnsi="Times New Roman" w:cstheme="minorHAnsi"/>
          <w:sz w:val="24"/>
          <w:szCs w:val="24"/>
        </w:rPr>
        <w:t xml:space="preserve">1511 7 Febrarii </w:t>
      </w:r>
    </w:p>
    <w:p w:rsidR="002C6F69" w:rsidRPr="00BA2AA3" w:rsidRDefault="002C6F69" w:rsidP="00BA2AA3">
      <w:pPr>
        <w:spacing w:line="480" w:lineRule="auto"/>
        <w:jc w:val="both"/>
        <w:rPr>
          <w:rFonts w:ascii="Times New Roman" w:hAnsi="Times New Roman" w:cstheme="minorHAnsi"/>
          <w:sz w:val="24"/>
          <w:szCs w:val="24"/>
        </w:rPr>
      </w:pPr>
      <w:r w:rsidRPr="00BA2AA3">
        <w:rPr>
          <w:rFonts w:ascii="Times New Roman" w:hAnsi="Times New Roman" w:cstheme="minorHAnsi"/>
          <w:sz w:val="24"/>
          <w:szCs w:val="24"/>
        </w:rPr>
        <w:t>Vide Saginam pernultimam</w:t>
      </w:r>
    </w:p>
    <w:p w:rsidR="007E4F55" w:rsidRPr="00BA2AA3" w:rsidRDefault="007E4F55" w:rsidP="00BA2AA3">
      <w:pPr>
        <w:spacing w:line="480" w:lineRule="auto"/>
        <w:jc w:val="both"/>
        <w:rPr>
          <w:rFonts w:ascii="Times New Roman" w:hAnsi="Times New Roman" w:cstheme="minorHAnsi"/>
          <w:sz w:val="24"/>
          <w:szCs w:val="24"/>
          <w:u w:val="single"/>
        </w:rPr>
      </w:pPr>
      <w:r w:rsidRPr="00BA2AA3">
        <w:rPr>
          <w:rFonts w:ascii="Times New Roman" w:hAnsi="Times New Roman" w:cstheme="minorHAnsi"/>
          <w:sz w:val="24"/>
          <w:szCs w:val="24"/>
          <w:u w:val="single"/>
        </w:rPr>
        <w:t xml:space="preserve">Class Mark </w:t>
      </w:r>
    </w:p>
    <w:p w:rsidR="007E4F55" w:rsidRPr="00BA2AA3" w:rsidRDefault="007E4F55" w:rsidP="00BA2AA3">
      <w:pPr>
        <w:spacing w:line="480" w:lineRule="auto"/>
        <w:jc w:val="both"/>
        <w:rPr>
          <w:rFonts w:ascii="Times New Roman" w:hAnsi="Times New Roman" w:cstheme="minorHAnsi"/>
          <w:sz w:val="24"/>
          <w:szCs w:val="24"/>
        </w:rPr>
      </w:pPr>
      <w:r w:rsidRPr="00BA2AA3">
        <w:rPr>
          <w:rFonts w:ascii="Times New Roman" w:hAnsi="Times New Roman" w:cstheme="minorHAnsi"/>
          <w:sz w:val="24"/>
          <w:szCs w:val="24"/>
        </w:rPr>
        <w:t xml:space="preserve">The class mark for this work is again hand written, this time on the inside of the cover board. It is originally written in the same </w:t>
      </w:r>
      <w:r w:rsidR="002C6F69" w:rsidRPr="00BA2AA3">
        <w:rPr>
          <w:rFonts w:ascii="Times New Roman" w:hAnsi="Times New Roman" w:cstheme="minorHAnsi"/>
          <w:sz w:val="24"/>
          <w:szCs w:val="24"/>
        </w:rPr>
        <w:t xml:space="preserve">ink as the title </w:t>
      </w:r>
      <w:proofErr w:type="gramStart"/>
      <w:r w:rsidR="002C6F69" w:rsidRPr="00BA2AA3">
        <w:rPr>
          <w:rFonts w:ascii="Times New Roman" w:hAnsi="Times New Roman" w:cstheme="minorHAnsi"/>
          <w:sz w:val="24"/>
          <w:szCs w:val="24"/>
        </w:rPr>
        <w:t>page, but</w:t>
      </w:r>
      <w:proofErr w:type="gramEnd"/>
      <w:r w:rsidR="002C6F69" w:rsidRPr="00BA2AA3">
        <w:rPr>
          <w:rFonts w:ascii="Times New Roman" w:hAnsi="Times New Roman" w:cstheme="minorHAnsi"/>
          <w:sz w:val="24"/>
          <w:szCs w:val="24"/>
        </w:rPr>
        <w:t xml:space="preserve"> has since had an identification label stuck over the top of this, and the reference of ‘PHI01221’ pencilled onto this. </w:t>
      </w:r>
    </w:p>
    <w:p w:rsidR="002C6F69" w:rsidRPr="00BA2AA3" w:rsidRDefault="002C6F69" w:rsidP="00BA2AA3">
      <w:pPr>
        <w:spacing w:line="480" w:lineRule="auto"/>
        <w:jc w:val="both"/>
        <w:rPr>
          <w:rFonts w:ascii="Times New Roman" w:hAnsi="Times New Roman" w:cstheme="minorHAnsi"/>
          <w:sz w:val="24"/>
          <w:szCs w:val="24"/>
          <w:u w:val="single"/>
        </w:rPr>
      </w:pPr>
      <w:r w:rsidRPr="00BA2AA3">
        <w:rPr>
          <w:rFonts w:ascii="Times New Roman" w:hAnsi="Times New Roman" w:cstheme="minorHAnsi"/>
          <w:sz w:val="24"/>
          <w:szCs w:val="24"/>
          <w:u w:val="single"/>
        </w:rPr>
        <w:t xml:space="preserve">Format </w:t>
      </w:r>
    </w:p>
    <w:p w:rsidR="002C6F69" w:rsidRPr="00BA2AA3" w:rsidRDefault="002C6F69" w:rsidP="00BA2AA3">
      <w:pPr>
        <w:spacing w:line="480" w:lineRule="auto"/>
        <w:jc w:val="both"/>
        <w:rPr>
          <w:rFonts w:ascii="Times New Roman" w:hAnsi="Times New Roman" w:cstheme="minorHAnsi"/>
          <w:sz w:val="24"/>
          <w:szCs w:val="24"/>
        </w:rPr>
      </w:pPr>
      <w:r w:rsidRPr="00BA2AA3">
        <w:rPr>
          <w:rFonts w:ascii="Times New Roman" w:hAnsi="Times New Roman" w:cstheme="minorHAnsi"/>
          <w:sz w:val="24"/>
          <w:szCs w:val="24"/>
        </w:rPr>
        <w:t xml:space="preserve">This work is formatted with eight pages to a side of paper, indicating that the original sheets used were rather large, as the completed work measures 325mm x 230 mm (height x width). This format is indicated by the format numbering which can be seen in the lower </w:t>
      </w:r>
      <w:proofErr w:type="gramStart"/>
      <w:r w:rsidRPr="00BA2AA3">
        <w:rPr>
          <w:rFonts w:ascii="Times New Roman" w:hAnsi="Times New Roman" w:cstheme="minorHAnsi"/>
          <w:sz w:val="24"/>
          <w:szCs w:val="24"/>
        </w:rPr>
        <w:t>right hand</w:t>
      </w:r>
      <w:proofErr w:type="gramEnd"/>
      <w:r w:rsidRPr="00BA2AA3">
        <w:rPr>
          <w:rFonts w:ascii="Times New Roman" w:hAnsi="Times New Roman" w:cstheme="minorHAnsi"/>
          <w:sz w:val="24"/>
          <w:szCs w:val="24"/>
        </w:rPr>
        <w:t xml:space="preserve"> </w:t>
      </w:r>
      <w:r w:rsidRPr="00BA2AA3">
        <w:rPr>
          <w:rFonts w:ascii="Times New Roman" w:hAnsi="Times New Roman" w:cstheme="minorHAnsi"/>
          <w:sz w:val="24"/>
          <w:szCs w:val="24"/>
        </w:rPr>
        <w:lastRenderedPageBreak/>
        <w:t>corner of each right hand page. This carries the format of eight numbered sides to a section, following a pattern of Ai – viii, then eight blank sections, then bi-viii. This continues throughout the work in a similar style, thus showing that the work is an octavo. The pages are then consecutively numbered, using roman numerals, with each page being numbered. These numbers are in the exterior top corner of each page, following the format of ‘</w:t>
      </w:r>
      <w:proofErr w:type="gramStart"/>
      <w:r w:rsidRPr="00BA2AA3">
        <w:rPr>
          <w:rFonts w:ascii="Times New Roman" w:hAnsi="Times New Roman" w:cstheme="minorHAnsi"/>
          <w:sz w:val="24"/>
          <w:szCs w:val="24"/>
        </w:rPr>
        <w:t>Fo[</w:t>
      </w:r>
      <w:proofErr w:type="gramEnd"/>
      <w:r w:rsidRPr="00BA2AA3">
        <w:rPr>
          <w:rFonts w:ascii="Times New Roman" w:hAnsi="Times New Roman" w:cstheme="minorHAnsi"/>
          <w:sz w:val="24"/>
          <w:szCs w:val="24"/>
        </w:rPr>
        <w:t xml:space="preserve">roman numeral]’, such as FoI. There are breaks and starts in this numbering system, with different chapter numbering starting once again with ‘FoI’. </w:t>
      </w:r>
    </w:p>
    <w:p w:rsidR="002C6F69" w:rsidRPr="00BA2AA3" w:rsidRDefault="002C6F69" w:rsidP="00BA2AA3">
      <w:pPr>
        <w:spacing w:line="480" w:lineRule="auto"/>
        <w:jc w:val="both"/>
        <w:rPr>
          <w:rFonts w:ascii="Times New Roman" w:hAnsi="Times New Roman" w:cstheme="minorHAnsi"/>
          <w:sz w:val="24"/>
          <w:szCs w:val="24"/>
        </w:rPr>
      </w:pPr>
    </w:p>
    <w:p w:rsidR="002C6F69" w:rsidRPr="00BA2AA3" w:rsidRDefault="002C6F69" w:rsidP="00BA2AA3">
      <w:pPr>
        <w:spacing w:line="480" w:lineRule="auto"/>
        <w:jc w:val="both"/>
        <w:rPr>
          <w:rFonts w:ascii="Times New Roman" w:hAnsi="Times New Roman" w:cstheme="minorHAnsi"/>
          <w:sz w:val="24"/>
          <w:szCs w:val="24"/>
          <w:u w:val="single"/>
        </w:rPr>
      </w:pPr>
      <w:r w:rsidRPr="00BA2AA3">
        <w:rPr>
          <w:rFonts w:ascii="Times New Roman" w:hAnsi="Times New Roman" w:cstheme="minorHAnsi"/>
          <w:sz w:val="24"/>
          <w:szCs w:val="24"/>
          <w:u w:val="single"/>
        </w:rPr>
        <w:t xml:space="preserve">Physical Appearance </w:t>
      </w:r>
    </w:p>
    <w:p w:rsidR="002C6F69" w:rsidRPr="00BA2AA3" w:rsidRDefault="002C6F69" w:rsidP="00BA2AA3">
      <w:pPr>
        <w:spacing w:line="480" w:lineRule="auto"/>
        <w:jc w:val="both"/>
        <w:rPr>
          <w:rFonts w:ascii="Times New Roman" w:hAnsi="Times New Roman" w:cstheme="minorHAnsi"/>
          <w:sz w:val="24"/>
          <w:szCs w:val="24"/>
        </w:rPr>
      </w:pPr>
      <w:r w:rsidRPr="00BA2AA3">
        <w:rPr>
          <w:rFonts w:ascii="Times New Roman" w:hAnsi="Times New Roman" w:cstheme="minorHAnsi"/>
          <w:sz w:val="24"/>
          <w:szCs w:val="24"/>
        </w:rPr>
        <w:t xml:space="preserve">This work is bound in brown </w:t>
      </w:r>
      <w:proofErr w:type="gramStart"/>
      <w:r w:rsidRPr="00BA2AA3">
        <w:rPr>
          <w:rFonts w:ascii="Times New Roman" w:hAnsi="Times New Roman" w:cstheme="minorHAnsi"/>
          <w:sz w:val="24"/>
          <w:szCs w:val="24"/>
        </w:rPr>
        <w:t>calves</w:t>
      </w:r>
      <w:proofErr w:type="gramEnd"/>
      <w:r w:rsidRPr="00BA2AA3">
        <w:rPr>
          <w:rFonts w:ascii="Times New Roman" w:hAnsi="Times New Roman" w:cstheme="minorHAnsi"/>
          <w:sz w:val="24"/>
          <w:szCs w:val="24"/>
        </w:rPr>
        <w:t xml:space="preserve"> leather, which cover a hard wood, which has begun to deteriorate on the corners where the leather has broken, and the hard wood is starting to flake. This leather is then decorated on the spine, between the raised rope bindings and along the top edge of the boards. The spine is decorated using a stencilled pattern in gold, as is the top, although the pattern on the spine is larger, and therefore more elaborate. The spine decoration survives in a better condition, with the </w:t>
      </w:r>
      <w:r w:rsidR="00C85179" w:rsidRPr="00BA2AA3">
        <w:rPr>
          <w:rFonts w:ascii="Times New Roman" w:hAnsi="Times New Roman" w:cstheme="minorHAnsi"/>
          <w:sz w:val="24"/>
          <w:szCs w:val="24"/>
        </w:rPr>
        <w:t xml:space="preserve">top edge stencilling fading away. The spine bears the title of the work in the second segment, also in gold, titling the work as ‘Missale Sarisburiens in Anglia Anno MDXI’. In addition to illustration directly onto the cover boards, the work has been decorated through the colouration of the page edges, which now appears as red and blue. Except for the fading of the decoration and the peeling corners, the exterior of this work is in good condition, something which is mirrored by the interior of the work, where there are only a few greater pieces of unrepaired damage on the first blank pages, and the final page of the work. The cross which ends the first page also shows some unrepaired damage. Barring a few holes from wear, the damage to this work appears to have been repaired by fixing later pieces </w:t>
      </w:r>
      <w:r w:rsidR="00C85179" w:rsidRPr="00BA2AA3">
        <w:rPr>
          <w:rFonts w:ascii="Times New Roman" w:hAnsi="Times New Roman" w:cstheme="minorHAnsi"/>
          <w:sz w:val="24"/>
          <w:szCs w:val="24"/>
        </w:rPr>
        <w:lastRenderedPageBreak/>
        <w:t xml:space="preserve">of paper over tears, thus making it very clear that this work was printed onto new, high quality paper, rather than using recycled material or waste paper. </w:t>
      </w:r>
    </w:p>
    <w:p w:rsidR="00C85179" w:rsidRPr="00BA2AA3" w:rsidRDefault="00C85179" w:rsidP="00BA2AA3">
      <w:pPr>
        <w:spacing w:line="480" w:lineRule="auto"/>
        <w:jc w:val="both"/>
        <w:rPr>
          <w:rFonts w:ascii="Times New Roman" w:hAnsi="Times New Roman" w:cstheme="minorHAnsi"/>
          <w:sz w:val="24"/>
          <w:szCs w:val="24"/>
        </w:rPr>
      </w:pPr>
      <w:r w:rsidRPr="00BA2AA3">
        <w:rPr>
          <w:rFonts w:ascii="Times New Roman" w:hAnsi="Times New Roman" w:cstheme="minorHAnsi"/>
          <w:sz w:val="24"/>
          <w:szCs w:val="24"/>
        </w:rPr>
        <w:t xml:space="preserve">Inside the work, the ink colour alternates between red and black inks, and the text and images are all printed, as can be told from the consistency and standardisation of the lettering, something which is unusual in hand written manuscripts. The images appear to have been printed using metal plating, as the detail in these is great, and the lines are very fine, something which would be difficult to achieve if these had been printed using wood cuts. These images are often of a religious nature, which is unsurprising given the nature of the text. The images often serve as small page decorations, or as historiated initials, with there being large images only at the start of each new section of the text. These also follow the expected pattern, and are of a religious nature, such as the crucifixion </w:t>
      </w:r>
      <w:r w:rsidR="00CD456F" w:rsidRPr="00BA2AA3">
        <w:rPr>
          <w:rFonts w:ascii="Times New Roman" w:hAnsi="Times New Roman" w:cstheme="minorHAnsi"/>
          <w:sz w:val="24"/>
          <w:szCs w:val="24"/>
        </w:rPr>
        <w:t xml:space="preserve">or Mary and the Holy Spirit preaching to a gathered crowd. The one image in the entire work which differs from this theme is found on the final page of the work, and depicts St George slaying the dragon, and is watched by a king and queen from their castle, as well as by a woman who is depicted in mid-air, possibly Mary, as she is shown with a lamb. This image is further decorated with the royal crest of England emblazoned above St George. Because this image is of a saint and also contains Mary and the King (God’s representative on Earth), this image does have </w:t>
      </w:r>
      <w:proofErr w:type="gramStart"/>
      <w:r w:rsidR="00CD456F" w:rsidRPr="00BA2AA3">
        <w:rPr>
          <w:rFonts w:ascii="Times New Roman" w:hAnsi="Times New Roman" w:cstheme="minorHAnsi"/>
          <w:sz w:val="24"/>
          <w:szCs w:val="24"/>
        </w:rPr>
        <w:t>an</w:t>
      </w:r>
      <w:proofErr w:type="gramEnd"/>
      <w:r w:rsidR="00CD456F" w:rsidRPr="00BA2AA3">
        <w:rPr>
          <w:rFonts w:ascii="Times New Roman" w:hAnsi="Times New Roman" w:cstheme="minorHAnsi"/>
          <w:sz w:val="24"/>
          <w:szCs w:val="24"/>
        </w:rPr>
        <w:t xml:space="preserve"> covertly religious theme, although it is not as immediately obvious as that of the other images in this work. </w:t>
      </w:r>
    </w:p>
    <w:p w:rsidR="00CD456F" w:rsidRPr="00BA2AA3" w:rsidRDefault="00CD456F" w:rsidP="00BA2AA3">
      <w:pPr>
        <w:spacing w:line="480" w:lineRule="auto"/>
        <w:jc w:val="both"/>
        <w:rPr>
          <w:rFonts w:ascii="Times New Roman" w:hAnsi="Times New Roman" w:cstheme="minorHAnsi"/>
          <w:sz w:val="24"/>
          <w:szCs w:val="24"/>
        </w:rPr>
      </w:pPr>
      <w:r w:rsidRPr="00BA2AA3">
        <w:rPr>
          <w:rFonts w:ascii="Times New Roman" w:hAnsi="Times New Roman" w:cstheme="minorHAnsi"/>
          <w:sz w:val="24"/>
          <w:szCs w:val="24"/>
        </w:rPr>
        <w:t>In addition to these printed images, this work contains a large section of devotional early sheet music, suggesting that the use of this book was to instruct the Benedictine monks who were found in Salisbury from the 11</w:t>
      </w:r>
      <w:r w:rsidRPr="00BA2AA3">
        <w:rPr>
          <w:rFonts w:ascii="Times New Roman" w:hAnsi="Times New Roman" w:cstheme="minorHAnsi"/>
          <w:sz w:val="24"/>
          <w:szCs w:val="24"/>
          <w:vertAlign w:val="superscript"/>
        </w:rPr>
        <w:t>th</w:t>
      </w:r>
      <w:r w:rsidRPr="00BA2AA3">
        <w:rPr>
          <w:rFonts w:ascii="Times New Roman" w:hAnsi="Times New Roman" w:cstheme="minorHAnsi"/>
          <w:sz w:val="24"/>
          <w:szCs w:val="24"/>
        </w:rPr>
        <w:t xml:space="preserve"> century until the dissolution of the monasteries in the 16</w:t>
      </w:r>
      <w:r w:rsidRPr="00BA2AA3">
        <w:rPr>
          <w:rFonts w:ascii="Times New Roman" w:hAnsi="Times New Roman" w:cstheme="minorHAnsi"/>
          <w:sz w:val="24"/>
          <w:szCs w:val="24"/>
          <w:vertAlign w:val="superscript"/>
        </w:rPr>
        <w:t>th</w:t>
      </w:r>
      <w:r w:rsidRPr="00BA2AA3">
        <w:rPr>
          <w:rFonts w:ascii="Times New Roman" w:hAnsi="Times New Roman" w:cstheme="minorHAnsi"/>
          <w:sz w:val="24"/>
          <w:szCs w:val="24"/>
        </w:rPr>
        <w:t xml:space="preserve"> century. This provides some insight into why the work is so large, and bears a great deal of </w:t>
      </w:r>
      <w:r w:rsidRPr="00BA2AA3">
        <w:rPr>
          <w:rFonts w:ascii="Times New Roman" w:hAnsi="Times New Roman" w:cstheme="minorHAnsi"/>
          <w:sz w:val="24"/>
          <w:szCs w:val="24"/>
        </w:rPr>
        <w:lastRenderedPageBreak/>
        <w:t>religious icons throughout, as this suggests that it was used as an educational tool within the monastery at Salisbury, previously known as Sarum (its Latin name).</w:t>
      </w:r>
      <w:r w:rsidR="00BA2AA3">
        <w:rPr>
          <w:rStyle w:val="FootnoteReference"/>
          <w:rFonts w:ascii="Times New Roman" w:hAnsi="Times New Roman" w:cstheme="minorHAnsi"/>
          <w:sz w:val="24"/>
          <w:szCs w:val="24"/>
        </w:rPr>
        <w:footnoteReference w:id="1"/>
      </w:r>
      <w:r w:rsidRPr="00BA2AA3">
        <w:rPr>
          <w:rFonts w:ascii="Times New Roman" w:hAnsi="Times New Roman" w:cstheme="minorHAnsi"/>
          <w:sz w:val="24"/>
          <w:szCs w:val="24"/>
        </w:rPr>
        <w:t xml:space="preserve"> </w:t>
      </w:r>
    </w:p>
    <w:p w:rsidR="00CD456F" w:rsidRPr="00BA2AA3" w:rsidRDefault="00CD456F" w:rsidP="00BA2AA3">
      <w:pPr>
        <w:spacing w:line="480" w:lineRule="auto"/>
        <w:jc w:val="both"/>
        <w:rPr>
          <w:rFonts w:ascii="Times New Roman" w:hAnsi="Times New Roman" w:cstheme="minorHAnsi"/>
          <w:sz w:val="24"/>
          <w:szCs w:val="24"/>
          <w:u w:val="single"/>
        </w:rPr>
      </w:pPr>
      <w:r w:rsidRPr="00BA2AA3">
        <w:rPr>
          <w:rFonts w:ascii="Times New Roman" w:hAnsi="Times New Roman" w:cstheme="minorHAnsi"/>
          <w:sz w:val="24"/>
          <w:szCs w:val="24"/>
          <w:u w:val="single"/>
        </w:rPr>
        <w:t xml:space="preserve">Ownership </w:t>
      </w:r>
    </w:p>
    <w:p w:rsidR="00CD456F" w:rsidRDefault="00CD456F" w:rsidP="00BA2AA3">
      <w:pPr>
        <w:spacing w:line="480" w:lineRule="auto"/>
        <w:jc w:val="both"/>
        <w:rPr>
          <w:rFonts w:ascii="Times New Roman" w:hAnsi="Times New Roman" w:cstheme="minorHAnsi"/>
          <w:sz w:val="24"/>
          <w:szCs w:val="24"/>
        </w:rPr>
      </w:pPr>
      <w:r w:rsidRPr="00BA2AA3">
        <w:rPr>
          <w:rFonts w:ascii="Times New Roman" w:hAnsi="Times New Roman" w:cstheme="minorHAnsi"/>
          <w:sz w:val="24"/>
          <w:szCs w:val="24"/>
        </w:rPr>
        <w:t xml:space="preserve">In the 300year period between the dissolution of the monasteries and the foundation of St David’s College, it is unknown where this work was kept, as there are no other indicators of ownership, such as rebinding it or writing a name on the inside of a cover. Whilst it is possible that this has been lost to history in the same fashion as its title page, there are no other signs of damage, either to the page ends, or to the actual text, suggesting that this book has been well looked after, and has suffered little damage, hinting at the idea that there is no missing title page or ownership marks, and that it has simply never had these. </w:t>
      </w:r>
    </w:p>
    <w:p w:rsidR="00BA2AA3" w:rsidRDefault="00BA2AA3">
      <w:pPr>
        <w:rPr>
          <w:rFonts w:ascii="Times New Roman" w:hAnsi="Times New Roman" w:cstheme="minorHAnsi"/>
          <w:sz w:val="24"/>
          <w:szCs w:val="24"/>
        </w:rPr>
      </w:pPr>
      <w:r>
        <w:rPr>
          <w:rFonts w:ascii="Times New Roman" w:hAnsi="Times New Roman" w:cstheme="minorHAnsi"/>
          <w:sz w:val="24"/>
          <w:szCs w:val="24"/>
        </w:rPr>
        <w:br w:type="page"/>
      </w:r>
    </w:p>
    <w:p w:rsidR="00BA2AA3" w:rsidRDefault="00BA2AA3" w:rsidP="00BA2AA3">
      <w:pPr>
        <w:spacing w:line="480" w:lineRule="auto"/>
        <w:jc w:val="both"/>
        <w:rPr>
          <w:rFonts w:ascii="Times New Roman" w:hAnsi="Times New Roman" w:cstheme="minorHAnsi"/>
          <w:sz w:val="24"/>
          <w:szCs w:val="24"/>
          <w:u w:val="single"/>
        </w:rPr>
      </w:pPr>
      <w:r>
        <w:rPr>
          <w:rFonts w:ascii="Times New Roman" w:hAnsi="Times New Roman" w:cstheme="minorHAnsi"/>
          <w:sz w:val="24"/>
          <w:szCs w:val="24"/>
          <w:u w:val="single"/>
        </w:rPr>
        <w:lastRenderedPageBreak/>
        <w:t>Bibliography</w:t>
      </w:r>
    </w:p>
    <w:p w:rsidR="00BA2AA3" w:rsidRDefault="00BA2AA3" w:rsidP="00BA2AA3">
      <w:pPr>
        <w:spacing w:line="480" w:lineRule="auto"/>
        <w:jc w:val="both"/>
        <w:rPr>
          <w:rFonts w:ascii="Times New Roman" w:hAnsi="Times New Roman" w:cstheme="minorHAnsi"/>
          <w:sz w:val="24"/>
          <w:szCs w:val="24"/>
          <w:u w:val="single"/>
        </w:rPr>
      </w:pPr>
      <w:r>
        <w:rPr>
          <w:rFonts w:ascii="Times New Roman" w:hAnsi="Times New Roman" w:cstheme="minorHAnsi"/>
          <w:sz w:val="24"/>
          <w:szCs w:val="24"/>
          <w:u w:val="single"/>
        </w:rPr>
        <w:t xml:space="preserve"> Primary Sources</w:t>
      </w:r>
    </w:p>
    <w:p w:rsidR="00BA2AA3" w:rsidRPr="00BA2AA3" w:rsidRDefault="00BA2AA3" w:rsidP="00BA2AA3">
      <w:pPr>
        <w:spacing w:line="480" w:lineRule="auto"/>
        <w:jc w:val="both"/>
        <w:rPr>
          <w:rFonts w:ascii="Times New Roman" w:hAnsi="Times New Roman" w:cstheme="minorHAnsi"/>
          <w:sz w:val="24"/>
          <w:szCs w:val="24"/>
        </w:rPr>
      </w:pPr>
      <w:r>
        <w:rPr>
          <w:rFonts w:ascii="Times New Roman" w:hAnsi="Times New Roman" w:cstheme="minorHAnsi"/>
          <w:sz w:val="24"/>
          <w:szCs w:val="24"/>
        </w:rPr>
        <w:t xml:space="preserve">Roderic Bowen Library and Archive (RBLA), </w:t>
      </w:r>
      <w:proofErr w:type="spellStart"/>
      <w:r w:rsidRPr="00BA2AA3">
        <w:rPr>
          <w:rFonts w:ascii="Times New Roman" w:hAnsi="Times New Roman" w:cstheme="minorHAnsi"/>
          <w:sz w:val="24"/>
          <w:szCs w:val="24"/>
        </w:rPr>
        <w:t>Missale</w:t>
      </w:r>
      <w:proofErr w:type="spellEnd"/>
      <w:r w:rsidRPr="00BA2AA3">
        <w:rPr>
          <w:rFonts w:ascii="Times New Roman" w:hAnsi="Times New Roman" w:cstheme="minorHAnsi"/>
          <w:sz w:val="24"/>
          <w:szCs w:val="24"/>
        </w:rPr>
        <w:t xml:space="preserve"> </w:t>
      </w:r>
      <w:proofErr w:type="spellStart"/>
      <w:r w:rsidRPr="00BA2AA3">
        <w:rPr>
          <w:rFonts w:ascii="Times New Roman" w:hAnsi="Times New Roman" w:cstheme="minorHAnsi"/>
          <w:sz w:val="24"/>
          <w:szCs w:val="24"/>
        </w:rPr>
        <w:t>Sarisburiens</w:t>
      </w:r>
      <w:proofErr w:type="spellEnd"/>
      <w:r w:rsidRPr="00BA2AA3">
        <w:rPr>
          <w:rFonts w:ascii="Times New Roman" w:hAnsi="Times New Roman" w:cstheme="minorHAnsi"/>
          <w:sz w:val="24"/>
          <w:szCs w:val="24"/>
        </w:rPr>
        <w:t xml:space="preserve"> in Anglia Anno MDXI</w:t>
      </w:r>
      <w:r>
        <w:rPr>
          <w:rFonts w:ascii="Times New Roman" w:hAnsi="Times New Roman" w:cstheme="minorHAnsi"/>
          <w:sz w:val="24"/>
          <w:szCs w:val="24"/>
        </w:rPr>
        <w:t>,</w:t>
      </w:r>
      <w:r w:rsidR="00B06EDC">
        <w:rPr>
          <w:rFonts w:ascii="Times New Roman" w:hAnsi="Times New Roman" w:cstheme="minorHAnsi"/>
          <w:sz w:val="24"/>
          <w:szCs w:val="24"/>
        </w:rPr>
        <w:t xml:space="preserve"> PHI01221.</w:t>
      </w:r>
      <w:bookmarkStart w:id="0" w:name="_GoBack"/>
      <w:bookmarkEnd w:id="0"/>
    </w:p>
    <w:p w:rsidR="00BA2AA3" w:rsidRDefault="00BA2AA3" w:rsidP="00BA2AA3">
      <w:pPr>
        <w:spacing w:line="480" w:lineRule="auto"/>
        <w:jc w:val="both"/>
        <w:rPr>
          <w:rFonts w:ascii="Times New Roman" w:hAnsi="Times New Roman" w:cstheme="minorHAnsi"/>
          <w:sz w:val="24"/>
          <w:szCs w:val="24"/>
          <w:u w:val="single"/>
        </w:rPr>
      </w:pPr>
      <w:r>
        <w:rPr>
          <w:rFonts w:ascii="Times New Roman" w:hAnsi="Times New Roman" w:cstheme="minorHAnsi"/>
          <w:sz w:val="24"/>
          <w:szCs w:val="24"/>
          <w:u w:val="single"/>
        </w:rPr>
        <w:t xml:space="preserve">Web Sources </w:t>
      </w:r>
    </w:p>
    <w:p w:rsidR="00BA2AA3" w:rsidRDefault="00BA2AA3" w:rsidP="00BA2AA3">
      <w:pPr>
        <w:spacing w:line="480" w:lineRule="auto"/>
        <w:jc w:val="both"/>
        <w:rPr>
          <w:rFonts w:ascii="Times New Roman" w:hAnsi="Times New Roman"/>
          <w:sz w:val="24"/>
          <w:szCs w:val="24"/>
        </w:rPr>
      </w:pPr>
      <w:r w:rsidRPr="00BA2AA3">
        <w:rPr>
          <w:rFonts w:ascii="Times New Roman" w:hAnsi="Times New Roman"/>
          <w:sz w:val="24"/>
          <w:szCs w:val="24"/>
        </w:rPr>
        <w:t xml:space="preserve">British History Online, Religious Houses: Introduction, Available on: </w:t>
      </w:r>
    </w:p>
    <w:p w:rsidR="00BA2AA3" w:rsidRPr="00BA2AA3" w:rsidRDefault="00BA2AA3" w:rsidP="00BA2AA3">
      <w:pPr>
        <w:spacing w:line="480" w:lineRule="auto"/>
        <w:jc w:val="both"/>
        <w:rPr>
          <w:rFonts w:ascii="Times New Roman" w:hAnsi="Times New Roman" w:cstheme="minorHAnsi"/>
          <w:sz w:val="24"/>
          <w:szCs w:val="24"/>
          <w:u w:val="single"/>
        </w:rPr>
      </w:pPr>
      <w:hyperlink r:id="rId7" w:history="1">
        <w:r w:rsidRPr="00BA2AA3">
          <w:rPr>
            <w:rStyle w:val="Hyperlink"/>
            <w:rFonts w:ascii="Times New Roman" w:hAnsi="Times New Roman"/>
            <w:sz w:val="24"/>
            <w:szCs w:val="24"/>
          </w:rPr>
          <w:t>http://www.british-history.ac.uk/vch/wilts/vol3/pp150-155</w:t>
        </w:r>
      </w:hyperlink>
      <w:r w:rsidRPr="00BA2AA3">
        <w:rPr>
          <w:rFonts w:ascii="Times New Roman" w:hAnsi="Times New Roman"/>
          <w:sz w:val="24"/>
          <w:szCs w:val="24"/>
        </w:rPr>
        <w:t xml:space="preserve"> Accessed on [23/04/2018].</w:t>
      </w:r>
    </w:p>
    <w:p w:rsidR="002C6F69" w:rsidRPr="00BA2AA3" w:rsidRDefault="002C6F69" w:rsidP="00BA2AA3">
      <w:pPr>
        <w:spacing w:line="480" w:lineRule="auto"/>
        <w:jc w:val="both"/>
        <w:rPr>
          <w:rFonts w:ascii="Times New Roman" w:hAnsi="Times New Roman"/>
          <w:sz w:val="24"/>
          <w:szCs w:val="24"/>
          <w:u w:val="single"/>
        </w:rPr>
      </w:pPr>
    </w:p>
    <w:sectPr w:rsidR="002C6F69" w:rsidRPr="00BA2AA3">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2190" w:rsidRDefault="006C2190" w:rsidP="006C2190">
      <w:pPr>
        <w:spacing w:after="0" w:line="240" w:lineRule="auto"/>
      </w:pPr>
      <w:r>
        <w:separator/>
      </w:r>
    </w:p>
  </w:endnote>
  <w:endnote w:type="continuationSeparator" w:id="0">
    <w:p w:rsidR="006C2190" w:rsidRDefault="006C2190" w:rsidP="006C2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2190" w:rsidRDefault="006C2190" w:rsidP="006C2190">
      <w:pPr>
        <w:spacing w:after="0" w:line="240" w:lineRule="auto"/>
      </w:pPr>
      <w:r>
        <w:separator/>
      </w:r>
    </w:p>
  </w:footnote>
  <w:footnote w:type="continuationSeparator" w:id="0">
    <w:p w:rsidR="006C2190" w:rsidRDefault="006C2190" w:rsidP="006C2190">
      <w:pPr>
        <w:spacing w:after="0" w:line="240" w:lineRule="auto"/>
      </w:pPr>
      <w:r>
        <w:continuationSeparator/>
      </w:r>
    </w:p>
  </w:footnote>
  <w:footnote w:id="1">
    <w:p w:rsidR="00BA2AA3" w:rsidRDefault="00BA2AA3">
      <w:pPr>
        <w:pStyle w:val="FootnoteText"/>
      </w:pPr>
      <w:r>
        <w:rPr>
          <w:rStyle w:val="FootnoteReference"/>
        </w:rPr>
        <w:footnoteRef/>
      </w:r>
      <w:r>
        <w:t xml:space="preserve"> </w:t>
      </w:r>
      <w:r w:rsidRPr="00BA2AA3">
        <w:rPr>
          <w:rFonts w:ascii="Times New Roman" w:hAnsi="Times New Roman"/>
          <w:sz w:val="22"/>
          <w:szCs w:val="22"/>
        </w:rPr>
        <w:t xml:space="preserve">British History Online, Religious Houses: Introduction, Available on: </w:t>
      </w:r>
      <w:hyperlink r:id="rId1" w:history="1">
        <w:r w:rsidRPr="00BA2AA3">
          <w:rPr>
            <w:rStyle w:val="Hyperlink"/>
            <w:rFonts w:ascii="Times New Roman" w:hAnsi="Times New Roman"/>
            <w:sz w:val="22"/>
            <w:szCs w:val="22"/>
          </w:rPr>
          <w:t>http://www.british-history.ac.uk/vch/wilts/vol3/pp150-155</w:t>
        </w:r>
      </w:hyperlink>
      <w:r w:rsidRPr="00BA2AA3">
        <w:rPr>
          <w:rFonts w:ascii="Times New Roman" w:hAnsi="Times New Roman"/>
          <w:sz w:val="22"/>
          <w:szCs w:val="22"/>
        </w:rPr>
        <w:t xml:space="preserve"> Accessed on [23/04/2018].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2190" w:rsidRDefault="006C2190" w:rsidP="006C2190">
    <w:pPr>
      <w:pStyle w:val="Header"/>
      <w:jc w:val="right"/>
    </w:pPr>
    <w:r>
      <w:t>Book Bibliography Project</w:t>
    </w:r>
  </w:p>
  <w:p w:rsidR="006C2190" w:rsidRDefault="006C2190" w:rsidP="006C2190">
    <w:pPr>
      <w:pStyle w:val="Header"/>
      <w:jc w:val="right"/>
    </w:pPr>
    <w:r>
      <w:t>Due Thursday 26</w:t>
    </w:r>
    <w:r w:rsidRPr="006C2190">
      <w:rPr>
        <w:vertAlign w:val="superscript"/>
      </w:rPr>
      <w:t>th</w:t>
    </w:r>
    <w:r>
      <w:t xml:space="preserve"> April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190"/>
    <w:rsid w:val="002C6F69"/>
    <w:rsid w:val="006C2190"/>
    <w:rsid w:val="007E4F55"/>
    <w:rsid w:val="00B06EDC"/>
    <w:rsid w:val="00BA2AA3"/>
    <w:rsid w:val="00C85179"/>
    <w:rsid w:val="00CD4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60654"/>
  <w15:chartTrackingRefBased/>
  <w15:docId w15:val="{66A7491E-9118-433A-9BE1-A7A65FF4D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21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2190"/>
  </w:style>
  <w:style w:type="paragraph" w:styleId="Footer">
    <w:name w:val="footer"/>
    <w:basedOn w:val="Normal"/>
    <w:link w:val="FooterChar"/>
    <w:uiPriority w:val="99"/>
    <w:unhideWhenUsed/>
    <w:rsid w:val="006C21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2190"/>
  </w:style>
  <w:style w:type="paragraph" w:styleId="FootnoteText">
    <w:name w:val="footnote text"/>
    <w:basedOn w:val="Normal"/>
    <w:link w:val="FootnoteTextChar"/>
    <w:uiPriority w:val="99"/>
    <w:semiHidden/>
    <w:unhideWhenUsed/>
    <w:rsid w:val="00BA2AA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A2AA3"/>
    <w:rPr>
      <w:sz w:val="20"/>
      <w:szCs w:val="20"/>
    </w:rPr>
  </w:style>
  <w:style w:type="character" w:styleId="FootnoteReference">
    <w:name w:val="footnote reference"/>
    <w:basedOn w:val="DefaultParagraphFont"/>
    <w:uiPriority w:val="99"/>
    <w:semiHidden/>
    <w:unhideWhenUsed/>
    <w:rsid w:val="00BA2AA3"/>
    <w:rPr>
      <w:vertAlign w:val="superscript"/>
    </w:rPr>
  </w:style>
  <w:style w:type="character" w:styleId="Hyperlink">
    <w:name w:val="Hyperlink"/>
    <w:basedOn w:val="DefaultParagraphFont"/>
    <w:uiPriority w:val="99"/>
    <w:unhideWhenUsed/>
    <w:rsid w:val="00BA2AA3"/>
    <w:rPr>
      <w:color w:val="0563C1" w:themeColor="hyperlink"/>
      <w:u w:val="single"/>
    </w:rPr>
  </w:style>
  <w:style w:type="character" w:styleId="UnresolvedMention">
    <w:name w:val="Unresolved Mention"/>
    <w:basedOn w:val="DefaultParagraphFont"/>
    <w:uiPriority w:val="99"/>
    <w:semiHidden/>
    <w:unhideWhenUsed/>
    <w:rsid w:val="00BA2AA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ritish-history.ac.uk/vch/wilts/vol3/pp150-155"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british-history.ac.uk/vch/wilts/vol3/pp150-1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004926-58C8-4763-802C-5DE6F4394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5</Pages>
  <Words>938</Words>
  <Characters>5350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John Dobson</dc:creator>
  <cp:keywords/>
  <dc:description/>
  <cp:lastModifiedBy>Thomas Dobson (1500215)</cp:lastModifiedBy>
  <cp:revision>1</cp:revision>
  <dcterms:created xsi:type="dcterms:W3CDTF">2018-04-26T13:16:00Z</dcterms:created>
  <dcterms:modified xsi:type="dcterms:W3CDTF">2018-04-26T15:02:00Z</dcterms:modified>
</cp:coreProperties>
</file>